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right="1960"/>
        <w:spacing w:after="0" w:line="230" w:lineRule="auto"/>
        <w:rPr>
          <w:sz w:val="20"/>
          <w:szCs w:val="20"/>
          <w:color w:val="auto"/>
        </w:rPr>
      </w:pPr>
      <w:r>
        <w:rPr>
          <w:rFonts w:ascii="Arial" w:cs="Arial" w:eastAsia="Arial" w:hAnsi="Arial"/>
          <w:sz w:val="68"/>
          <w:szCs w:val="68"/>
          <w:color w:val="FFFFFF"/>
        </w:rPr>
        <w:t>Positioned and Prepared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9"/>
          <w:szCs w:val="19"/>
          <w:b w:val="1"/>
          <w:bCs w:val="1"/>
          <w:color w:val="FFFFFF"/>
        </w:rPr>
        <w:t>2 0 2 5  A N N U A L  R E P O R T</w:t>
      </w:r>
    </w:p>
    <w:p>
      <w:pPr>
        <w:sectPr>
          <w:pgSz w:w="11880" w:h="15480" w:orient="portrait"/>
          <w:cols w:equalWidth="0" w:num="2">
            <w:col w:w="6300" w:space="720"/>
            <w:col w:w="2940"/>
          </w:cols>
          <w:pgMar w:left="980" w:top="1440" w:right="940" w:bottom="303" w:gutter="0" w:footer="0" w:header="0"/>
        </w:sectPr>
      </w:pPr>
    </w:p>
    <w:bookmarkStart w:id="1" w:name="page2"/>
    <w:bookmarkEnd w:id="1"/>
    <w:p>
      <w:pPr>
        <w:spacing w:after="0"/>
        <w:rPr>
          <w:sz w:val="20"/>
          <w:szCs w:val="20"/>
          <w:color w:val="auto"/>
        </w:rPr>
      </w:pPr>
      <w:r>
        <w:rPr>
          <w:rFonts w:ascii="Arial" w:cs="Arial" w:eastAsia="Arial" w:hAnsi="Arial"/>
          <w:sz w:val="46"/>
          <w:szCs w:val="46"/>
          <w:b w:val="1"/>
          <w:bCs w:val="1"/>
          <w:color w:val="3E7EAC"/>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 xml:space="preserve">10 to 15 Years of High-Quality Inventory </w:t>
      </w:r>
      <w:r>
        <w:rPr>
          <w:rFonts w:ascii="Arial" w:cs="Arial" w:eastAsia="Arial" w:hAnsi="Arial"/>
          <w:sz w:val="19"/>
          <w:szCs w:val="19"/>
          <w:b w:val="1"/>
          <w:bCs w:val="1"/>
          <w:color w:val="3E7EAC"/>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600" w:type="dxa"/>
            <w:vAlign w:val="bottom"/>
            <w:gridSpan w:val="2"/>
          </w:tcPr>
          <w:p>
            <w:pPr>
              <w:jc w:val="center"/>
              <w:ind w:right="480"/>
              <w:spacing w:after="0"/>
              <w:rPr>
                <w:sz w:val="20"/>
                <w:szCs w:val="20"/>
                <w:color w:val="auto"/>
              </w:rPr>
            </w:pPr>
            <w:r>
              <w:rPr>
                <w:rFonts w:ascii="Arial" w:cs="Arial" w:eastAsia="Arial" w:hAnsi="Arial"/>
                <w:sz w:val="40"/>
                <w:szCs w:val="40"/>
                <w:b w:val="1"/>
                <w:bCs w:val="1"/>
                <w:color w:val="FB662D"/>
              </w:rPr>
              <w:t>IPO in 2012</w:t>
            </w:r>
          </w:p>
        </w:tc>
        <w:tc>
          <w:tcPr>
            <w:tcW w:w="3640" w:type="dxa"/>
            <w:vAlign w:val="bottom"/>
            <w:gridSpan w:val="2"/>
          </w:tcPr>
          <w:p>
            <w:pPr>
              <w:jc w:val="center"/>
              <w:ind w:right="660"/>
              <w:spacing w:after="0"/>
              <w:rPr>
                <w:sz w:val="20"/>
                <w:szCs w:val="20"/>
                <w:color w:val="auto"/>
              </w:rPr>
            </w:pPr>
            <w:r>
              <w:rPr>
                <w:rFonts w:ascii="Arial" w:cs="Arial" w:eastAsia="Arial" w:hAnsi="Arial"/>
                <w:sz w:val="40"/>
                <w:szCs w:val="40"/>
                <w:b w:val="1"/>
                <w:bCs w:val="1"/>
                <w:color w:val="FB662D"/>
              </w:rPr>
              <w:t>2017</w:t>
            </w:r>
          </w:p>
        </w:tc>
        <w:tc>
          <w:tcPr>
            <w:tcW w:w="2680" w:type="dxa"/>
            <w:vAlign w:val="bottom"/>
            <w:gridSpan w:val="2"/>
          </w:tcPr>
          <w:p>
            <w:pPr>
              <w:jc w:val="center"/>
              <w:ind w:left="333"/>
              <w:spacing w:after="0"/>
              <w:rPr>
                <w:sz w:val="20"/>
                <w:szCs w:val="20"/>
                <w:color w:val="auto"/>
              </w:rPr>
            </w:pPr>
            <w:r>
              <w:rPr>
                <w:rFonts w:ascii="Arial" w:cs="Arial" w:eastAsia="Arial" w:hAnsi="Arial"/>
                <w:sz w:val="40"/>
                <w:szCs w:val="40"/>
                <w:b w:val="1"/>
                <w:bCs w:val="1"/>
                <w:color w:val="FB662D"/>
                <w:w w:val="98"/>
              </w:rPr>
              <w:t>Today</w:t>
            </w:r>
          </w:p>
        </w:tc>
      </w:tr>
      <w:tr>
        <w:trPr>
          <w:trHeight w:val="325"/>
        </w:trPr>
        <w:tc>
          <w:tcPr>
            <w:tcW w:w="3600" w:type="dxa"/>
            <w:vAlign w:val="bottom"/>
            <w:gridSpan w:val="2"/>
          </w:tcPr>
          <w:p>
            <w:pPr>
              <w:jc w:val="center"/>
              <w:ind w:right="460"/>
              <w:spacing w:after="0"/>
              <w:rPr>
                <w:sz w:val="20"/>
                <w:szCs w:val="20"/>
                <w:color w:val="auto"/>
              </w:rPr>
            </w:pPr>
            <w:r>
              <w:rPr>
                <w:rFonts w:ascii="Arial" w:cs="Arial" w:eastAsia="Arial" w:hAnsi="Arial"/>
                <w:sz w:val="24"/>
                <w:szCs w:val="24"/>
                <w:color w:val="FFFFFF"/>
                <w:w w:val="99"/>
              </w:rPr>
              <w:t>~7,500 Net Acres</w:t>
            </w:r>
          </w:p>
        </w:tc>
        <w:tc>
          <w:tcPr>
            <w:tcW w:w="3640" w:type="dxa"/>
            <w:vAlign w:val="bottom"/>
            <w:gridSpan w:val="2"/>
          </w:tcPr>
          <w:p>
            <w:pPr>
              <w:jc w:val="center"/>
              <w:ind w:right="600"/>
              <w:spacing w:after="0"/>
              <w:rPr>
                <w:sz w:val="20"/>
                <w:szCs w:val="20"/>
                <w:color w:val="auto"/>
              </w:rPr>
            </w:pPr>
            <w:r>
              <w:rPr>
                <w:rFonts w:ascii="Arial" w:cs="Arial" w:eastAsia="Arial" w:hAnsi="Arial"/>
                <w:sz w:val="24"/>
                <w:szCs w:val="24"/>
                <w:color w:val="FFFFFF"/>
              </w:rPr>
              <w:t>~114,000 Net Acres</w:t>
            </w:r>
          </w:p>
        </w:tc>
        <w:tc>
          <w:tcPr>
            <w:tcW w:w="2680" w:type="dxa"/>
            <w:vAlign w:val="bottom"/>
            <w:gridSpan w:val="2"/>
          </w:tcPr>
          <w:p>
            <w:pPr>
              <w:jc w:val="center"/>
              <w:ind w:left="353"/>
              <w:spacing w:after="0"/>
              <w:rPr>
                <w:sz w:val="20"/>
                <w:szCs w:val="20"/>
                <w:color w:val="auto"/>
              </w:rPr>
            </w:pPr>
            <w:r>
              <w:rPr>
                <w:rFonts w:ascii="Arial" w:cs="Arial" w:eastAsia="Arial" w:hAnsi="Arial"/>
                <w:sz w:val="24"/>
                <w:szCs w:val="24"/>
                <w:color w:val="FFFFFF"/>
              </w:rPr>
              <w:t>~212,500 Net Acres</w:t>
            </w:r>
          </w:p>
        </w:tc>
      </w:tr>
      <w:tr>
        <w:trPr>
          <w:trHeight w:val="344"/>
        </w:trPr>
        <w:tc>
          <w:tcPr>
            <w:tcW w:w="3600" w:type="dxa"/>
            <w:vAlign w:val="bottom"/>
            <w:gridSpan w:val="2"/>
          </w:tcPr>
          <w:p>
            <w:pPr>
              <w:jc w:val="center"/>
              <w:ind w:right="460"/>
              <w:spacing w:after="0"/>
              <w:rPr>
                <w:sz w:val="20"/>
                <w:szCs w:val="20"/>
                <w:color w:val="auto"/>
              </w:rPr>
            </w:pPr>
            <w:r>
              <w:rPr>
                <w:rFonts w:ascii="Arial" w:cs="Arial" w:eastAsia="Arial" w:hAnsi="Arial"/>
                <w:sz w:val="24"/>
                <w:szCs w:val="24"/>
                <w:color w:val="FFFFFF"/>
              </w:rPr>
              <w:t>9,000 BOE/d</w:t>
            </w:r>
          </w:p>
        </w:tc>
        <w:tc>
          <w:tcPr>
            <w:tcW w:w="3640" w:type="dxa"/>
            <w:vAlign w:val="bottom"/>
            <w:gridSpan w:val="2"/>
          </w:tcPr>
          <w:p>
            <w:pPr>
              <w:jc w:val="center"/>
              <w:ind w:right="600"/>
              <w:spacing w:after="0"/>
              <w:rPr>
                <w:sz w:val="20"/>
                <w:szCs w:val="20"/>
                <w:color w:val="auto"/>
              </w:rPr>
            </w:pPr>
            <w:r>
              <w:rPr>
                <w:rFonts w:ascii="Arial" w:cs="Arial" w:eastAsia="Arial" w:hAnsi="Arial"/>
                <w:sz w:val="24"/>
                <w:szCs w:val="24"/>
                <w:color w:val="FFFFFF"/>
              </w:rPr>
              <w:t>38,900 BOE/d</w:t>
            </w:r>
          </w:p>
        </w:tc>
        <w:tc>
          <w:tcPr>
            <w:tcW w:w="2680" w:type="dxa"/>
            <w:vAlign w:val="bottom"/>
            <w:gridSpan w:val="2"/>
          </w:tcPr>
          <w:p>
            <w:pPr>
              <w:jc w:val="center"/>
              <w:ind w:left="333"/>
              <w:spacing w:after="0"/>
              <w:rPr>
                <w:sz w:val="20"/>
                <w:szCs w:val="20"/>
                <w:color w:val="auto"/>
              </w:rPr>
            </w:pPr>
            <w:r>
              <w:rPr>
                <w:rFonts w:ascii="Arial" w:cs="Arial" w:eastAsia="Arial" w:hAnsi="Arial"/>
                <w:sz w:val="24"/>
                <w:szCs w:val="24"/>
                <w:color w:val="FFFFFF"/>
                <w:w w:val="99"/>
              </w:rPr>
              <w:t>207,070 BOE/d</w:t>
            </w:r>
          </w:p>
        </w:tc>
      </w:tr>
      <w:tr>
        <w:trPr>
          <w:trHeight w:val="412"/>
        </w:trPr>
        <w:tc>
          <w:tcPr>
            <w:tcW w:w="1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51"/>
        </w:trPr>
        <w:tc>
          <w:tcPr>
            <w:tcW w:w="1580" w:type="dxa"/>
            <w:vAlign w:val="bottom"/>
            <w:tcBorders>
              <w:bottom w:val="single" w:sz="8" w:color="999999"/>
              <w:right w:val="single" w:sz="8" w:color="999999"/>
            </w:tcBorders>
          </w:tcPr>
          <w:p>
            <w:pPr>
              <w:spacing w:after="0"/>
              <w:rPr>
                <w:sz w:val="24"/>
                <w:szCs w:val="24"/>
                <w:color w:val="auto"/>
              </w:rPr>
            </w:pPr>
          </w:p>
        </w:tc>
        <w:tc>
          <w:tcPr>
            <w:tcW w:w="2020" w:type="dxa"/>
            <w:vAlign w:val="bottom"/>
          </w:tcPr>
          <w:p>
            <w:pPr>
              <w:spacing w:after="0"/>
              <w:rPr>
                <w:sz w:val="24"/>
                <w:szCs w:val="24"/>
                <w:color w:val="auto"/>
              </w:rPr>
            </w:pPr>
          </w:p>
        </w:tc>
        <w:tc>
          <w:tcPr>
            <w:tcW w:w="1640" w:type="dxa"/>
            <w:vAlign w:val="bottom"/>
            <w:tcBorders>
              <w:bottom w:val="single" w:sz="8" w:color="999999"/>
              <w:right w:val="single" w:sz="8" w:color="999999"/>
            </w:tcBorders>
          </w:tcPr>
          <w:p>
            <w:pPr>
              <w:spacing w:after="0"/>
              <w:rPr>
                <w:sz w:val="24"/>
                <w:szCs w:val="24"/>
                <w:color w:val="auto"/>
              </w:rPr>
            </w:pPr>
          </w:p>
        </w:tc>
        <w:tc>
          <w:tcPr>
            <w:tcW w:w="2000" w:type="dxa"/>
            <w:vAlign w:val="bottom"/>
          </w:tcPr>
          <w:p>
            <w:pPr>
              <w:spacing w:after="0"/>
              <w:rPr>
                <w:sz w:val="24"/>
                <w:szCs w:val="24"/>
                <w:color w:val="auto"/>
              </w:rPr>
            </w:pPr>
          </w:p>
        </w:tc>
        <w:tc>
          <w:tcPr>
            <w:tcW w:w="1640" w:type="dxa"/>
            <w:vAlign w:val="bottom"/>
            <w:tcBorders>
              <w:bottom w:val="single" w:sz="8" w:color="999999"/>
              <w:right w:val="single" w:sz="8" w:color="999999"/>
            </w:tcBorders>
          </w:tcPr>
          <w:p>
            <w:pPr>
              <w:spacing w:after="0"/>
              <w:rPr>
                <w:sz w:val="24"/>
                <w:szCs w:val="24"/>
                <w:color w:val="auto"/>
              </w:rPr>
            </w:pPr>
          </w:p>
        </w:tc>
        <w:tc>
          <w:tcPr>
            <w:tcW w:w="10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1100" w:type="dxa"/>
        <w:tblCellMar>
          <w:top w:w="0" w:type="dxa"/>
          <w:left w:w="0" w:type="dxa"/>
          <w:bottom w:w="0" w:type="dxa"/>
          <w:right w:w="0" w:type="dxa"/>
        </w:tblCellMar>
      </w:tblPr>
      <w:tr>
        <w:trPr>
          <w:trHeight w:val="150"/>
        </w:trPr>
        <w:tc>
          <w:tcPr>
            <w:tcW w:w="2720" w:type="dxa"/>
            <w:vAlign w:val="bottom"/>
          </w:tcPr>
          <w:p>
            <w:pPr>
              <w:ind w:left="1560"/>
              <w:spacing w:after="0"/>
              <w:rPr>
                <w:sz w:val="20"/>
                <w:szCs w:val="20"/>
                <w:color w:val="auto"/>
              </w:rPr>
            </w:pPr>
            <w:r>
              <w:rPr>
                <w:rFonts w:ascii="Arial" w:cs="Arial" w:eastAsia="Arial" w:hAnsi="Arial"/>
                <w:sz w:val="12"/>
                <w:szCs w:val="12"/>
                <w:b w:val="1"/>
                <w:bCs w:val="1"/>
                <w:color w:val="3E7EAC"/>
              </w:rPr>
              <w:t>LEA</w:t>
            </w:r>
          </w:p>
        </w:tc>
        <w:tc>
          <w:tcPr>
            <w:tcW w:w="1880" w:type="dxa"/>
            <w:vAlign w:val="bottom"/>
          </w:tcPr>
          <w:p>
            <w:pPr>
              <w:spacing w:after="0"/>
              <w:rPr>
                <w:sz w:val="13"/>
                <w:szCs w:val="13"/>
                <w:color w:val="auto"/>
              </w:rPr>
            </w:pPr>
          </w:p>
        </w:tc>
        <w:tc>
          <w:tcPr>
            <w:tcW w:w="3640" w:type="dxa"/>
            <w:vAlign w:val="bottom"/>
          </w:tcPr>
          <w:p>
            <w:pPr>
              <w:ind w:left="600"/>
              <w:spacing w:after="0"/>
              <w:rPr>
                <w:sz w:val="20"/>
                <w:szCs w:val="20"/>
                <w:color w:val="auto"/>
              </w:rPr>
            </w:pPr>
            <w:r>
              <w:rPr>
                <w:rFonts w:ascii="Arial" w:cs="Arial" w:eastAsia="Arial" w:hAnsi="Arial"/>
                <w:sz w:val="12"/>
                <w:szCs w:val="12"/>
                <w:b w:val="1"/>
                <w:bCs w:val="1"/>
                <w:color w:val="3E7EAC"/>
              </w:rPr>
              <w:t>LEA</w:t>
            </w:r>
          </w:p>
        </w:tc>
        <w:tc>
          <w:tcPr>
            <w:tcW w:w="840" w:type="dxa"/>
            <w:vAlign w:val="bottom"/>
            <w:vMerge w:val="restart"/>
          </w:tcPr>
          <w:p>
            <w:pPr>
              <w:ind w:left="620"/>
              <w:spacing w:after="0"/>
              <w:rPr>
                <w:sz w:val="20"/>
                <w:szCs w:val="20"/>
                <w:color w:val="auto"/>
              </w:rPr>
            </w:pPr>
            <w:r>
              <w:rPr>
                <w:rFonts w:ascii="Arial" w:cs="Arial" w:eastAsia="Arial" w:hAnsi="Arial"/>
                <w:sz w:val="12"/>
                <w:szCs w:val="12"/>
                <w:b w:val="1"/>
                <w:bCs w:val="1"/>
                <w:color w:val="3E7EAC"/>
                <w:w w:val="83"/>
              </w:rPr>
              <w:t>LEA</w:t>
            </w:r>
          </w:p>
        </w:tc>
        <w:tc>
          <w:tcPr>
            <w:tcW w:w="0" w:type="dxa"/>
            <w:vAlign w:val="bottom"/>
          </w:tcPr>
          <w:p>
            <w:pPr>
              <w:spacing w:after="0"/>
              <w:rPr>
                <w:sz w:val="1"/>
                <w:szCs w:val="1"/>
                <w:color w:val="auto"/>
              </w:rPr>
            </w:pPr>
          </w:p>
        </w:tc>
      </w:tr>
      <w:tr>
        <w:trPr>
          <w:trHeight w:val="108"/>
        </w:trPr>
        <w:tc>
          <w:tcPr>
            <w:tcW w:w="2720" w:type="dxa"/>
            <w:vAlign w:val="bottom"/>
            <w:vMerge w:val="restart"/>
          </w:tcPr>
          <w:p>
            <w:pPr>
              <w:spacing w:after="0"/>
              <w:rPr>
                <w:sz w:val="20"/>
                <w:szCs w:val="20"/>
                <w:color w:val="auto"/>
              </w:rPr>
            </w:pPr>
            <w:r>
              <w:rPr>
                <w:rFonts w:ascii="Arial" w:cs="Arial" w:eastAsia="Arial" w:hAnsi="Arial"/>
                <w:sz w:val="12"/>
                <w:szCs w:val="12"/>
                <w:b w:val="1"/>
                <w:bCs w:val="1"/>
                <w:color w:val="3E7EAC"/>
              </w:rPr>
              <w:t>EDDY</w:t>
            </w:r>
          </w:p>
        </w:tc>
        <w:tc>
          <w:tcPr>
            <w:tcW w:w="1880" w:type="dxa"/>
            <w:vAlign w:val="bottom"/>
            <w:vMerge w:val="restart"/>
          </w:tcPr>
          <w:p>
            <w:pPr>
              <w:ind w:left="940"/>
              <w:spacing w:after="0"/>
              <w:rPr>
                <w:sz w:val="20"/>
                <w:szCs w:val="20"/>
                <w:color w:val="auto"/>
              </w:rPr>
            </w:pPr>
            <w:r>
              <w:rPr>
                <w:rFonts w:ascii="Arial" w:cs="Arial" w:eastAsia="Arial" w:hAnsi="Arial"/>
                <w:sz w:val="12"/>
                <w:szCs w:val="12"/>
                <w:b w:val="1"/>
                <w:bCs w:val="1"/>
                <w:color w:val="3E7EAC"/>
              </w:rPr>
              <w:t>EDDY</w:t>
            </w:r>
          </w:p>
        </w:tc>
        <w:tc>
          <w:tcPr>
            <w:tcW w:w="3640" w:type="dxa"/>
            <w:vAlign w:val="bottom"/>
            <w:vMerge w:val="restart"/>
          </w:tcPr>
          <w:p>
            <w:pPr>
              <w:ind w:left="2700"/>
              <w:spacing w:after="0"/>
              <w:rPr>
                <w:sz w:val="20"/>
                <w:szCs w:val="20"/>
                <w:color w:val="auto"/>
              </w:rPr>
            </w:pPr>
            <w:r>
              <w:rPr>
                <w:rFonts w:ascii="Arial" w:cs="Arial" w:eastAsia="Arial" w:hAnsi="Arial"/>
                <w:sz w:val="12"/>
                <w:szCs w:val="12"/>
                <w:b w:val="1"/>
                <w:bCs w:val="1"/>
                <w:color w:val="3E7EAC"/>
              </w:rPr>
              <w:t>EDDY</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720" w:type="dxa"/>
            <w:vAlign w:val="bottom"/>
            <w:vMerge w:val="continue"/>
          </w:tcPr>
          <w:p>
            <w:pPr>
              <w:spacing w:after="0"/>
              <w:rPr>
                <w:sz w:val="6"/>
                <w:szCs w:val="6"/>
                <w:color w:val="auto"/>
              </w:rPr>
            </w:pPr>
          </w:p>
        </w:tc>
        <w:tc>
          <w:tcPr>
            <w:tcW w:w="1880" w:type="dxa"/>
            <w:vAlign w:val="bottom"/>
            <w:vMerge w:val="continue"/>
          </w:tcPr>
          <w:p>
            <w:pPr>
              <w:spacing w:after="0"/>
              <w:rPr>
                <w:sz w:val="6"/>
                <w:szCs w:val="6"/>
                <w:color w:val="auto"/>
              </w:rPr>
            </w:pPr>
          </w:p>
        </w:tc>
        <w:tc>
          <w:tcPr>
            <w:tcW w:w="364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1780" w:type="dxa"/>
        <w:tblCellMar>
          <w:top w:w="0" w:type="dxa"/>
          <w:left w:w="0" w:type="dxa"/>
          <w:bottom w:w="0" w:type="dxa"/>
          <w:right w:w="0" w:type="dxa"/>
        </w:tblCellMar>
      </w:tblPr>
      <w:tr>
        <w:trPr>
          <w:trHeight w:val="150"/>
        </w:trPr>
        <w:tc>
          <w:tcPr>
            <w:tcW w:w="2060" w:type="dxa"/>
            <w:vAlign w:val="bottom"/>
          </w:tcPr>
          <w:p>
            <w:pPr>
              <w:spacing w:after="0"/>
              <w:rPr>
                <w:sz w:val="20"/>
                <w:szCs w:val="20"/>
                <w:color w:val="auto"/>
              </w:rPr>
            </w:pPr>
            <w:r>
              <w:rPr>
                <w:rFonts w:ascii="Arial" w:cs="Arial" w:eastAsia="Arial" w:hAnsi="Arial"/>
                <w:sz w:val="12"/>
                <w:szCs w:val="12"/>
                <w:b w:val="1"/>
                <w:bCs w:val="1"/>
                <w:color w:val="3E7EAC"/>
              </w:rPr>
              <w:t>LOVING</w:t>
            </w:r>
          </w:p>
        </w:tc>
        <w:tc>
          <w:tcPr>
            <w:tcW w:w="3660" w:type="dxa"/>
            <w:vAlign w:val="bottom"/>
          </w:tcPr>
          <w:p>
            <w:pPr>
              <w:ind w:left="1580"/>
              <w:spacing w:after="0"/>
              <w:rPr>
                <w:sz w:val="20"/>
                <w:szCs w:val="20"/>
                <w:color w:val="auto"/>
              </w:rPr>
            </w:pPr>
            <w:r>
              <w:rPr>
                <w:rFonts w:ascii="Arial" w:cs="Arial" w:eastAsia="Arial" w:hAnsi="Arial"/>
                <w:sz w:val="12"/>
                <w:szCs w:val="12"/>
                <w:b w:val="1"/>
                <w:bCs w:val="1"/>
                <w:color w:val="3E7EAC"/>
              </w:rPr>
              <w:t>LOVING</w:t>
            </w:r>
          </w:p>
        </w:tc>
        <w:tc>
          <w:tcPr>
            <w:tcW w:w="2180" w:type="dxa"/>
            <w:vAlign w:val="bottom"/>
          </w:tcPr>
          <w:p>
            <w:pPr>
              <w:ind w:left="1580"/>
              <w:spacing w:after="0"/>
              <w:rPr>
                <w:sz w:val="20"/>
                <w:szCs w:val="20"/>
                <w:color w:val="auto"/>
              </w:rPr>
            </w:pPr>
            <w:r>
              <w:rPr>
                <w:rFonts w:ascii="Arial" w:cs="Arial" w:eastAsia="Arial" w:hAnsi="Arial"/>
                <w:sz w:val="12"/>
                <w:szCs w:val="12"/>
                <w:b w:val="1"/>
                <w:bCs w:val="1"/>
                <w:color w:val="3E7EAC"/>
              </w:rPr>
              <w:t>LOVING</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3E7EAC"/>
                <w:w w:val="99"/>
              </w:rPr>
              <w:t>WINKLER</w:t>
            </w:r>
          </w:p>
        </w:tc>
        <w:tc>
          <w:tcPr>
            <w:tcW w:w="0" w:type="dxa"/>
            <w:vAlign w:val="bottom"/>
          </w:tcPr>
          <w:p>
            <w:pPr>
              <w:spacing w:after="0"/>
              <w:rPr>
                <w:sz w:val="1"/>
                <w:szCs w:val="1"/>
                <w:color w:val="auto"/>
              </w:rPr>
            </w:pPr>
          </w:p>
        </w:tc>
      </w:tr>
      <w:tr>
        <w:trPr>
          <w:trHeight w:val="84"/>
        </w:trPr>
        <w:tc>
          <w:tcPr>
            <w:tcW w:w="2060" w:type="dxa"/>
            <w:vAlign w:val="bottom"/>
          </w:tcPr>
          <w:p>
            <w:pPr>
              <w:spacing w:after="0"/>
              <w:rPr>
                <w:sz w:val="7"/>
                <w:szCs w:val="7"/>
                <w:color w:val="auto"/>
              </w:rPr>
            </w:pPr>
          </w:p>
        </w:tc>
        <w:tc>
          <w:tcPr>
            <w:tcW w:w="3660" w:type="dxa"/>
            <w:vAlign w:val="bottom"/>
          </w:tcPr>
          <w:p>
            <w:pPr>
              <w:spacing w:after="0"/>
              <w:rPr>
                <w:sz w:val="7"/>
                <w:szCs w:val="7"/>
                <w:color w:val="auto"/>
              </w:rPr>
            </w:pPr>
          </w:p>
        </w:tc>
        <w:tc>
          <w:tcPr>
            <w:tcW w:w="21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ind w:left="6220"/>
        <w:spacing w:after="0"/>
        <w:rPr>
          <w:sz w:val="20"/>
          <w:szCs w:val="20"/>
          <w:color w:val="auto"/>
        </w:rPr>
      </w:pPr>
      <w:r>
        <w:rPr>
          <w:rFonts w:ascii="Arial" w:cs="Arial" w:eastAsia="Arial" w:hAnsi="Arial"/>
          <w:sz w:val="12"/>
          <w:szCs w:val="12"/>
          <w:b w:val="1"/>
          <w:bCs w:val="1"/>
          <w:color w:val="3E7EAC"/>
        </w:rPr>
        <w:t>WARD</w:t>
      </w:r>
    </w:p>
    <w:p>
      <w:pPr>
        <w:ind w:left="9860"/>
        <w:spacing w:after="0"/>
        <w:rPr>
          <w:sz w:val="20"/>
          <w:szCs w:val="20"/>
          <w:color w:val="auto"/>
        </w:rPr>
      </w:pPr>
      <w:r>
        <w:rPr>
          <w:rFonts w:ascii="Arial" w:cs="Arial" w:eastAsia="Arial" w:hAnsi="Arial"/>
          <w:sz w:val="12"/>
          <w:szCs w:val="12"/>
          <w:b w:val="1"/>
          <w:bCs w:val="1"/>
          <w:color w:val="3E7EAC"/>
        </w:rPr>
        <w:t>WARD</w:t>
      </w:r>
    </w:p>
    <w:p>
      <w:pPr>
        <w:sectPr>
          <w:pgSz w:w="11880" w:h="15480" w:orient="portrait"/>
          <w:cols w:equalWidth="0" w:num="1">
            <w:col w:w="10360"/>
          </w:cols>
          <w:pgMar w:left="540" w:top="660" w:right="980" w:bottom="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600"/>
        <w:spacing w:after="0"/>
        <w:rPr>
          <w:sz w:val="20"/>
          <w:szCs w:val="20"/>
          <w:color w:val="auto"/>
        </w:rPr>
      </w:pPr>
      <w:r>
        <w:rPr>
          <w:rFonts w:ascii="Arial" w:cs="Arial" w:eastAsia="Arial" w:hAnsi="Arial"/>
          <w:sz w:val="15"/>
          <w:szCs w:val="15"/>
          <w:color w:val="FFFFFF"/>
        </w:rPr>
        <w:t>Note: All acreage as of</w:t>
      </w:r>
    </w:p>
    <w:p>
      <w:pPr>
        <w:spacing w:after="0" w:line="27" w:lineRule="exact"/>
        <w:rPr>
          <w:sz w:val="20"/>
          <w:szCs w:val="20"/>
          <w:color w:val="auto"/>
        </w:rPr>
      </w:pPr>
    </w:p>
    <w:p>
      <w:pPr>
        <w:jc w:val="center"/>
        <w:ind w:right="600"/>
        <w:spacing w:after="0"/>
        <w:rPr>
          <w:sz w:val="20"/>
          <w:szCs w:val="20"/>
          <w:color w:val="auto"/>
        </w:rPr>
      </w:pPr>
      <w:r>
        <w:rPr>
          <w:rFonts w:ascii="Arial" w:cs="Arial" w:eastAsia="Arial" w:hAnsi="Arial"/>
          <w:sz w:val="15"/>
          <w:szCs w:val="15"/>
          <w:color w:val="FFFFFF"/>
        </w:rPr>
        <w:t>September 30, 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jc w:val="center"/>
        <w:ind w:right="1300"/>
        <w:spacing w:after="0"/>
        <w:rPr>
          <w:sz w:val="20"/>
          <w:szCs w:val="20"/>
          <w:color w:val="auto"/>
        </w:rPr>
      </w:pPr>
      <w:r>
        <w:rPr>
          <w:rFonts w:ascii="Arial" w:cs="Arial" w:eastAsia="Arial" w:hAnsi="Arial"/>
          <w:sz w:val="15"/>
          <w:szCs w:val="15"/>
          <w:color w:val="FFFFFF"/>
        </w:rPr>
        <w:t>Note: All acreage as of</w:t>
      </w:r>
    </w:p>
    <w:p>
      <w:pPr>
        <w:spacing w:after="0" w:line="27" w:lineRule="exact"/>
        <w:rPr>
          <w:sz w:val="20"/>
          <w:szCs w:val="20"/>
          <w:color w:val="auto"/>
        </w:rPr>
      </w:pPr>
    </w:p>
    <w:p>
      <w:pPr>
        <w:jc w:val="center"/>
        <w:ind w:right="1300"/>
        <w:spacing w:after="0"/>
        <w:rPr>
          <w:sz w:val="20"/>
          <w:szCs w:val="20"/>
          <w:color w:val="auto"/>
        </w:rPr>
      </w:pPr>
      <w:r>
        <w:rPr>
          <w:rFonts w:ascii="Arial" w:cs="Arial" w:eastAsia="Arial" w:hAnsi="Arial"/>
          <w:sz w:val="15"/>
          <w:szCs w:val="15"/>
          <w:color w:val="FFFFFF"/>
        </w:rPr>
        <w:t>December 31,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jc w:val="center"/>
        <w:ind w:right="720"/>
        <w:spacing w:after="0"/>
        <w:rPr>
          <w:sz w:val="20"/>
          <w:szCs w:val="20"/>
          <w:color w:val="auto"/>
        </w:rPr>
      </w:pPr>
      <w:r>
        <w:rPr>
          <w:rFonts w:ascii="Arial" w:cs="Arial" w:eastAsia="Arial" w:hAnsi="Arial"/>
          <w:sz w:val="15"/>
          <w:szCs w:val="15"/>
          <w:color w:val="FFFFFF"/>
        </w:rPr>
        <w:t>Note: All acreage as of</w:t>
      </w:r>
    </w:p>
    <w:p>
      <w:pPr>
        <w:spacing w:after="0" w:line="27" w:lineRule="exact"/>
        <w:rPr>
          <w:sz w:val="20"/>
          <w:szCs w:val="20"/>
          <w:color w:val="auto"/>
        </w:rPr>
      </w:pPr>
    </w:p>
    <w:p>
      <w:pPr>
        <w:jc w:val="center"/>
        <w:ind w:right="720"/>
        <w:spacing w:after="0"/>
        <w:rPr>
          <w:sz w:val="20"/>
          <w:szCs w:val="20"/>
          <w:color w:val="auto"/>
        </w:rPr>
      </w:pPr>
      <w:r>
        <w:rPr>
          <w:rFonts w:ascii="Arial" w:cs="Arial" w:eastAsia="Arial" w:hAnsi="Arial"/>
          <w:sz w:val="15"/>
          <w:szCs w:val="15"/>
          <w:color w:val="FFFFFF"/>
        </w:rPr>
        <w:t>December 31, 2025.</w:t>
      </w:r>
    </w:p>
    <w:p>
      <w:pPr>
        <w:spacing w:after="0" w:line="201" w:lineRule="exact"/>
        <w:rPr>
          <w:sz w:val="20"/>
          <w:szCs w:val="20"/>
          <w:color w:val="auto"/>
        </w:rPr>
      </w:pPr>
    </w:p>
    <w:p>
      <w:pPr>
        <w:sectPr>
          <w:pgSz w:w="11880" w:h="15480" w:orient="portrait"/>
          <w:cols w:equalWidth="0" w:num="3">
            <w:col w:w="3640" w:space="720"/>
            <w:col w:w="2940" w:space="720"/>
            <w:col w:w="2340"/>
          </w:cols>
          <w:pgMar w:left="540" w:top="660"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sz w:val="1"/>
          <w:szCs w:val="1"/>
          <w:color w:val="auto"/>
        </w:rPr>
        <w:drawing>
          <wp:inline distT="0" distB="0" distL="0" distR="0">
            <wp:extent cx="109220" cy="1193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220" cy="119380"/>
                    </a:xfrm>
                    <a:prstGeom prst="rect">
                      <a:avLst/>
                    </a:prstGeom>
                    <a:noFill/>
                    <a:ln>
                      <a:noFill/>
                    </a:ln>
                  </pic:spPr>
                </pic:pic>
              </a:graphicData>
            </a:graphic>
          </wp:inline>
        </w:drawing>
      </w:r>
      <w:r>
        <w:rPr>
          <w:rFonts w:ascii="Arial" w:cs="Arial" w:eastAsia="Arial" w:hAnsi="Arial"/>
          <w:sz w:val="17"/>
          <w:szCs w:val="17"/>
          <w:color w:val="FFFFFF"/>
        </w:rPr>
        <w:t xml:space="preserve"> Matador Acreage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4"/>
          <w:szCs w:val="14"/>
          <w:color w:val="FFFFFF"/>
        </w:rPr>
        <w:t>Note: Some tracts are not shown on the maps. Stated production represents the annual average for 2012, 2017 and 2025.</w:t>
      </w:r>
    </w:p>
    <w:p>
      <w:pPr>
        <w:spacing w:after="0" w:line="97" w:lineRule="exact"/>
        <w:rPr>
          <w:sz w:val="20"/>
          <w:szCs w:val="20"/>
          <w:color w:val="auto"/>
        </w:rPr>
      </w:pPr>
    </w:p>
    <w:p>
      <w:pPr>
        <w:ind w:left="180" w:right="60" w:hanging="161"/>
        <w:spacing w:after="0" w:line="390" w:lineRule="auto"/>
        <w:tabs>
          <w:tab w:leader="none" w:pos="178" w:val="left"/>
        </w:tabs>
        <w:numPr>
          <w:ilvl w:val="0"/>
          <w:numId w:val="1"/>
        </w:numPr>
        <w:rPr>
          <w:rFonts w:ascii="Arial" w:cs="Arial" w:eastAsia="Arial" w:hAnsi="Arial"/>
          <w:sz w:val="8"/>
          <w:szCs w:val="8"/>
          <w:color w:val="FFFFFF"/>
        </w:rPr>
      </w:pPr>
      <w:r>
        <w:rPr>
          <w:rFonts w:ascii="Arial" w:cs="Arial" w:eastAsia="Arial" w:hAnsi="Arial"/>
          <w:sz w:val="14"/>
          <w:szCs w:val="14"/>
          <w:color w:val="FFFFFF"/>
        </w:rPr>
        <w:t>Average rates of return in excess of 50% based on flat long-term pricing of either (i) $70/Bbl oil, $3/MMBtu natural gas or (ii) $60/Bbl oil, $4/MMBtu natural gas and 2026 expected activity levels.</w:t>
      </w:r>
    </w:p>
    <w:p>
      <w:pPr>
        <w:sectPr>
          <w:pgSz w:w="11880" w:h="15480" w:orient="portrait"/>
          <w:cols w:equalWidth="0" w:num="1">
            <w:col w:w="10360"/>
          </w:cols>
          <w:pgMar w:left="540" w:top="660" w:right="980" w:bottom="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43"/>
          <w:szCs w:val="43"/>
          <w:b w:val="1"/>
          <w:bCs w:val="1"/>
          <w:color w:val="3E7EAC"/>
        </w:rPr>
        <w:t>Areas of Operation</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FB662D"/>
        </w:rPr>
        <w:t>Matador Resources Company Totals</w:t>
      </w:r>
    </w:p>
    <w:p>
      <w:pPr>
        <w:ind w:left="20"/>
        <w:spacing w:after="0" w:line="226" w:lineRule="auto"/>
        <w:rPr>
          <w:sz w:val="20"/>
          <w:szCs w:val="20"/>
          <w:color w:val="auto"/>
        </w:rPr>
      </w:pPr>
      <w:r>
        <w:rPr>
          <w:rFonts w:ascii="Arial" w:cs="Arial" w:eastAsia="Arial" w:hAnsi="Arial"/>
          <w:sz w:val="18"/>
          <w:szCs w:val="18"/>
          <w:color w:val="191919"/>
        </w:rPr>
        <w:t>Production: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91919"/>
        </w:rPr>
        <w:t>211,290 BOE/d</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color w:val="191919"/>
        </w:rPr>
        <w:t>Proved Reserves:</w:t>
      </w:r>
    </w:p>
    <w:p>
      <w:pPr>
        <w:ind w:left="20"/>
        <w:spacing w:after="0"/>
        <w:rPr>
          <w:sz w:val="20"/>
          <w:szCs w:val="20"/>
          <w:color w:val="auto"/>
        </w:rPr>
      </w:pPr>
      <w:r>
        <w:rPr>
          <w:rFonts w:ascii="Arial" w:cs="Arial" w:eastAsia="Arial" w:hAnsi="Arial"/>
          <w:sz w:val="18"/>
          <w:szCs w:val="18"/>
          <w:b w:val="1"/>
          <w:bCs w:val="1"/>
          <w:color w:val="191919"/>
        </w:rPr>
        <w:t>667.0 MMBOE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color w:val="191919"/>
        </w:rPr>
        <w:t>Acreage:</w:t>
      </w:r>
    </w:p>
    <w:p>
      <w:pPr>
        <w:ind w:left="20"/>
        <w:spacing w:after="0"/>
        <w:rPr>
          <w:sz w:val="20"/>
          <w:szCs w:val="20"/>
          <w:color w:val="auto"/>
        </w:rPr>
      </w:pPr>
      <w:r>
        <w:rPr>
          <w:rFonts w:ascii="Arial" w:cs="Arial" w:eastAsia="Arial" w:hAnsi="Arial"/>
          <w:sz w:val="18"/>
          <w:szCs w:val="18"/>
          <w:b w:val="1"/>
          <w:bCs w:val="1"/>
          <w:color w:val="191919"/>
        </w:rPr>
        <w:t>373,100 gross / 229,800 net</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8"/>
          <w:szCs w:val="18"/>
          <w:color w:val="191919"/>
        </w:rPr>
        <w:t>Locations: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91919"/>
        </w:rPr>
        <w:t>5,568 gross / 1,852 net</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FB662D"/>
        </w:rPr>
        <w:t>Southeast New Mexico &amp; West Texas</w:t>
      </w:r>
    </w:p>
    <w:p>
      <w:pPr>
        <w:ind w:left="20"/>
        <w:spacing w:after="0" w:line="226" w:lineRule="auto"/>
        <w:rPr>
          <w:sz w:val="20"/>
          <w:szCs w:val="20"/>
          <w:color w:val="auto"/>
        </w:rPr>
      </w:pPr>
      <w:r>
        <w:rPr>
          <w:rFonts w:ascii="Arial" w:cs="Arial" w:eastAsia="Arial" w:hAnsi="Arial"/>
          <w:sz w:val="18"/>
          <w:szCs w:val="18"/>
          <w:color w:val="191919"/>
        </w:rPr>
        <w:t>Production: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91919"/>
        </w:rPr>
        <w:t>208,375 BOE/d</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color w:val="191919"/>
        </w:rPr>
        <w:t>Proved Reserves:</w:t>
      </w:r>
    </w:p>
    <w:p>
      <w:pPr>
        <w:ind w:left="20"/>
        <w:spacing w:after="0"/>
        <w:rPr>
          <w:sz w:val="20"/>
          <w:szCs w:val="20"/>
          <w:color w:val="auto"/>
        </w:rPr>
      </w:pPr>
      <w:r>
        <w:rPr>
          <w:rFonts w:ascii="Arial" w:cs="Arial" w:eastAsia="Arial" w:hAnsi="Arial"/>
          <w:sz w:val="18"/>
          <w:szCs w:val="18"/>
          <w:b w:val="1"/>
          <w:bCs w:val="1"/>
          <w:color w:val="191919"/>
        </w:rPr>
        <w:t>662.2 MMBOE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color w:val="191919"/>
        </w:rPr>
        <w:t>Acreage:</w:t>
      </w:r>
    </w:p>
    <w:p>
      <w:pPr>
        <w:ind w:left="20"/>
        <w:spacing w:after="0"/>
        <w:rPr>
          <w:sz w:val="20"/>
          <w:szCs w:val="20"/>
          <w:color w:val="auto"/>
        </w:rPr>
      </w:pPr>
      <w:r>
        <w:rPr>
          <w:rFonts w:ascii="Arial" w:cs="Arial" w:eastAsia="Arial" w:hAnsi="Arial"/>
          <w:sz w:val="18"/>
          <w:szCs w:val="18"/>
          <w:b w:val="1"/>
          <w:bCs w:val="1"/>
          <w:color w:val="191919"/>
        </w:rPr>
        <w:t>354,600 gross / 212,500 net</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8"/>
          <w:szCs w:val="18"/>
          <w:color w:val="191919"/>
        </w:rPr>
        <w:t>Locations: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91919"/>
        </w:rPr>
        <w:t>5,295 gross / 1,802 net</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FB662D"/>
        </w:rPr>
        <w:t>Northwest Louisiana</w:t>
      </w:r>
    </w:p>
    <w:p>
      <w:pPr>
        <w:ind w:left="20"/>
        <w:spacing w:after="0" w:line="226" w:lineRule="auto"/>
        <w:rPr>
          <w:sz w:val="20"/>
          <w:szCs w:val="20"/>
          <w:color w:val="auto"/>
        </w:rPr>
      </w:pPr>
      <w:r>
        <w:rPr>
          <w:rFonts w:ascii="Arial" w:cs="Arial" w:eastAsia="Arial" w:hAnsi="Arial"/>
          <w:sz w:val="18"/>
          <w:szCs w:val="18"/>
          <w:color w:val="191919"/>
        </w:rPr>
        <w:t>Production: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91919"/>
        </w:rPr>
        <w:t>2,915 BOE/d</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color w:val="191919"/>
        </w:rPr>
        <w:t>Proved Reserves:</w:t>
      </w:r>
    </w:p>
    <w:p>
      <w:pPr>
        <w:ind w:left="20"/>
        <w:spacing w:after="0"/>
        <w:rPr>
          <w:sz w:val="20"/>
          <w:szCs w:val="20"/>
          <w:color w:val="auto"/>
        </w:rPr>
      </w:pPr>
      <w:r>
        <w:rPr>
          <w:rFonts w:ascii="Arial" w:cs="Arial" w:eastAsia="Arial" w:hAnsi="Arial"/>
          <w:sz w:val="18"/>
          <w:szCs w:val="18"/>
          <w:b w:val="1"/>
          <w:bCs w:val="1"/>
          <w:color w:val="191919"/>
        </w:rPr>
        <w:t>4.8 MMBOE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color w:val="191919"/>
        </w:rPr>
        <w:t>Acreage:</w:t>
      </w:r>
    </w:p>
    <w:p>
      <w:pPr>
        <w:ind w:left="20"/>
        <w:spacing w:after="0"/>
        <w:rPr>
          <w:sz w:val="20"/>
          <w:szCs w:val="20"/>
          <w:color w:val="auto"/>
        </w:rPr>
      </w:pPr>
      <w:r>
        <w:rPr>
          <w:rFonts w:ascii="Arial" w:cs="Arial" w:eastAsia="Arial" w:hAnsi="Arial"/>
          <w:sz w:val="18"/>
          <w:szCs w:val="18"/>
          <w:b w:val="1"/>
          <w:bCs w:val="1"/>
          <w:color w:val="191919"/>
        </w:rPr>
        <w:t>18,500 gross / 17,300 net</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color w:val="191919"/>
        </w:rPr>
        <w:t>Locations:</w:t>
      </w:r>
    </w:p>
    <w:p>
      <w:pPr>
        <w:ind w:left="20"/>
        <w:spacing w:after="0"/>
        <w:rPr>
          <w:sz w:val="20"/>
          <w:szCs w:val="20"/>
          <w:color w:val="auto"/>
        </w:rPr>
      </w:pPr>
      <w:r>
        <w:rPr>
          <w:rFonts w:ascii="Arial" w:cs="Arial" w:eastAsia="Arial" w:hAnsi="Arial"/>
          <w:sz w:val="18"/>
          <w:szCs w:val="18"/>
          <w:b w:val="1"/>
          <w:bCs w:val="1"/>
          <w:color w:val="191919"/>
        </w:rPr>
        <w:t>273 gross / 50 net</w:t>
      </w:r>
    </w:p>
    <w:p>
      <w:pPr>
        <w:spacing w:after="0" w:line="341" w:lineRule="exact"/>
        <w:rPr>
          <w:sz w:val="20"/>
          <w:szCs w:val="20"/>
          <w:color w:val="auto"/>
        </w:rPr>
      </w:pPr>
    </w:p>
    <w:p>
      <w:pPr>
        <w:jc w:val="both"/>
        <w:ind w:left="20" w:right="200" w:firstLine="9"/>
        <w:spacing w:after="0" w:line="344" w:lineRule="auto"/>
        <w:rPr>
          <w:sz w:val="20"/>
          <w:szCs w:val="20"/>
          <w:color w:val="auto"/>
        </w:rPr>
      </w:pPr>
      <w:r>
        <w:rPr>
          <w:rFonts w:ascii="Arial" w:cs="Arial" w:eastAsia="Arial" w:hAnsi="Arial"/>
          <w:sz w:val="14"/>
          <w:szCs w:val="14"/>
          <w:color w:val="00002F"/>
        </w:rPr>
        <w:t>Note: Production for the three months ended December 31, 2025. All proved reserves, acreage, and locations as of December 31, 2025. Some tracts not shown on map.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80" w:type="dxa"/>
        <w:tblCellMar>
          <w:top w:w="0" w:type="dxa"/>
          <w:left w:w="0" w:type="dxa"/>
          <w:bottom w:w="0" w:type="dxa"/>
          <w:right w:w="0" w:type="dxa"/>
        </w:tblCellMar>
      </w:tblPr>
      <w:tr>
        <w:trPr>
          <w:trHeight w:val="663"/>
        </w:trPr>
        <w:tc>
          <w:tcPr>
            <w:tcW w:w="1300" w:type="dxa"/>
            <w:vAlign w:val="bottom"/>
            <w:vMerge w:val="restart"/>
          </w:tcPr>
          <w:p>
            <w:pPr>
              <w:ind w:left="500"/>
              <w:spacing w:after="0"/>
              <w:rPr>
                <w:sz w:val="20"/>
                <w:szCs w:val="20"/>
                <w:color w:val="auto"/>
              </w:rPr>
            </w:pPr>
            <w:r>
              <w:rPr>
                <w:rFonts w:ascii="Arial" w:cs="Arial" w:eastAsia="Arial" w:hAnsi="Arial"/>
                <w:sz w:val="14"/>
                <w:szCs w:val="14"/>
                <w:b w:val="1"/>
                <w:bCs w:val="1"/>
                <w:color w:val="B5C2E0"/>
              </w:rPr>
              <w:t>C H A V E S</w:t>
            </w:r>
          </w:p>
        </w:tc>
        <w:tc>
          <w:tcPr>
            <w:tcW w:w="1860" w:type="dxa"/>
            <w:vAlign w:val="bottom"/>
            <w:tcBorders>
              <w:right w:val="single" w:sz="8" w:color="999999"/>
            </w:tcBorders>
          </w:tcPr>
          <w:p>
            <w:pPr>
              <w:spacing w:after="0"/>
              <w:rPr>
                <w:sz w:val="24"/>
                <w:szCs w:val="24"/>
                <w:color w:val="auto"/>
              </w:rPr>
            </w:pPr>
          </w:p>
        </w:tc>
        <w:tc>
          <w:tcPr>
            <w:tcW w:w="1440" w:type="dxa"/>
            <w:vAlign w:val="bottom"/>
          </w:tcPr>
          <w:p>
            <w:pPr>
              <w:ind w:left="220"/>
              <w:spacing w:after="0"/>
              <w:rPr>
                <w:sz w:val="20"/>
                <w:szCs w:val="20"/>
                <w:color w:val="auto"/>
              </w:rPr>
            </w:pPr>
            <w:r>
              <w:rPr>
                <w:rFonts w:ascii="Arial" w:cs="Arial" w:eastAsia="Arial" w:hAnsi="Arial"/>
                <w:sz w:val="17"/>
                <w:szCs w:val="17"/>
                <w:b w:val="1"/>
                <w:bCs w:val="1"/>
                <w:color w:val="3E7EAC"/>
              </w:rPr>
              <w:t>TWIN LAKES</w:t>
            </w: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1860" w:type="dxa"/>
            <w:vAlign w:val="bottom"/>
            <w:tcBorders>
              <w:right w:val="single" w:sz="8" w:color="999999"/>
            </w:tcBorders>
          </w:tcPr>
          <w:p>
            <w:pPr>
              <w:spacing w:after="0"/>
              <w:rPr>
                <w:sz w:val="9"/>
                <w:szCs w:val="9"/>
                <w:color w:val="auto"/>
              </w:rPr>
            </w:pPr>
          </w:p>
        </w:tc>
        <w:tc>
          <w:tcPr>
            <w:tcW w:w="1440" w:type="dxa"/>
            <w:vAlign w:val="bottom"/>
            <w:vMerge w:val="restart"/>
          </w:tcPr>
          <w:p>
            <w:pPr>
              <w:ind w:left="220"/>
              <w:spacing w:after="0"/>
              <w:rPr>
                <w:sz w:val="20"/>
                <w:szCs w:val="20"/>
                <w:color w:val="auto"/>
              </w:rPr>
            </w:pPr>
            <w:r>
              <w:rPr>
                <w:rFonts w:ascii="Arial" w:cs="Arial" w:eastAsia="Arial" w:hAnsi="Arial"/>
                <w:sz w:val="14"/>
                <w:szCs w:val="14"/>
                <w:color w:val="00002F"/>
              </w:rPr>
              <w:t>~32,100 net acres</w:t>
            </w:r>
          </w:p>
        </w:tc>
        <w:tc>
          <w:tcPr>
            <w:tcW w:w="0" w:type="dxa"/>
            <w:vAlign w:val="bottom"/>
          </w:tcPr>
          <w:p>
            <w:pPr>
              <w:spacing w:after="0"/>
              <w:rPr>
                <w:sz w:val="1"/>
                <w:szCs w:val="1"/>
                <w:color w:val="auto"/>
              </w:rPr>
            </w:pPr>
          </w:p>
        </w:tc>
      </w:tr>
      <w:tr>
        <w:trPr>
          <w:trHeight w:val="121"/>
        </w:trPr>
        <w:tc>
          <w:tcPr>
            <w:tcW w:w="1300" w:type="dxa"/>
            <w:vAlign w:val="bottom"/>
          </w:tcPr>
          <w:p>
            <w:pPr>
              <w:spacing w:after="0"/>
              <w:rPr>
                <w:sz w:val="10"/>
                <w:szCs w:val="10"/>
                <w:color w:val="auto"/>
              </w:rPr>
            </w:pPr>
          </w:p>
        </w:tc>
        <w:tc>
          <w:tcPr>
            <w:tcW w:w="1860" w:type="dxa"/>
            <w:vAlign w:val="bottom"/>
            <w:tcBorders>
              <w:right w:val="single" w:sz="8" w:color="999999"/>
            </w:tcBorders>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300" w:type="dxa"/>
            <w:vAlign w:val="bottom"/>
            <w:tcBorders>
              <w:bottom w:val="single" w:sz="8" w:color="999999"/>
            </w:tcBorders>
          </w:tcPr>
          <w:p>
            <w:pPr>
              <w:spacing w:after="0"/>
              <w:rPr>
                <w:sz w:val="15"/>
                <w:szCs w:val="15"/>
                <w:color w:val="auto"/>
              </w:rPr>
            </w:pPr>
          </w:p>
        </w:tc>
        <w:tc>
          <w:tcPr>
            <w:tcW w:w="1860" w:type="dxa"/>
            <w:vAlign w:val="bottom"/>
            <w:tcBorders>
              <w:bottom w:val="single" w:sz="8" w:color="999999"/>
              <w:right w:val="single" w:sz="8" w:color="999999"/>
            </w:tcBorders>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300" w:type="dxa"/>
            <w:vAlign w:val="bottom"/>
          </w:tcPr>
          <w:p>
            <w:pPr>
              <w:spacing w:after="0"/>
              <w:rPr>
                <w:sz w:val="19"/>
                <w:szCs w:val="19"/>
                <w:color w:val="auto"/>
              </w:rPr>
            </w:pPr>
          </w:p>
        </w:tc>
        <w:tc>
          <w:tcPr>
            <w:tcW w:w="3300" w:type="dxa"/>
            <w:vAlign w:val="bottom"/>
            <w:gridSpan w:val="2"/>
          </w:tcPr>
          <w:p>
            <w:pPr>
              <w:ind w:left="120"/>
              <w:spacing w:after="0"/>
              <w:rPr>
                <w:sz w:val="20"/>
                <w:szCs w:val="20"/>
                <w:color w:val="auto"/>
              </w:rPr>
            </w:pPr>
            <w:r>
              <w:rPr>
                <w:rFonts w:ascii="Arial" w:cs="Arial" w:eastAsia="Arial" w:hAnsi="Arial"/>
                <w:sz w:val="17"/>
                <w:szCs w:val="17"/>
                <w:b w:val="1"/>
                <w:bCs w:val="1"/>
                <w:color w:val="3E7EAC"/>
              </w:rPr>
              <w:t>ARROWHEAD</w:t>
            </w:r>
          </w:p>
        </w:tc>
        <w:tc>
          <w:tcPr>
            <w:tcW w:w="0" w:type="dxa"/>
            <w:vAlign w:val="bottom"/>
          </w:tcPr>
          <w:p>
            <w:pPr>
              <w:spacing w:after="0"/>
              <w:rPr>
                <w:sz w:val="1"/>
                <w:szCs w:val="1"/>
                <w:color w:val="auto"/>
              </w:rPr>
            </w:pPr>
          </w:p>
        </w:tc>
      </w:tr>
      <w:tr>
        <w:trPr>
          <w:trHeight w:val="233"/>
        </w:trPr>
        <w:tc>
          <w:tcPr>
            <w:tcW w:w="1300" w:type="dxa"/>
            <w:vAlign w:val="bottom"/>
          </w:tcPr>
          <w:p>
            <w:pPr>
              <w:spacing w:after="0"/>
              <w:rPr>
                <w:sz w:val="20"/>
                <w:szCs w:val="20"/>
                <w:color w:val="auto"/>
              </w:rPr>
            </w:pPr>
          </w:p>
        </w:tc>
        <w:tc>
          <w:tcPr>
            <w:tcW w:w="3300" w:type="dxa"/>
            <w:vAlign w:val="bottom"/>
            <w:gridSpan w:val="2"/>
          </w:tcPr>
          <w:p>
            <w:pPr>
              <w:ind w:left="120"/>
              <w:spacing w:after="0"/>
              <w:rPr>
                <w:sz w:val="20"/>
                <w:szCs w:val="20"/>
                <w:color w:val="auto"/>
              </w:rPr>
            </w:pPr>
            <w:r>
              <w:rPr>
                <w:rFonts w:ascii="Arial" w:cs="Arial" w:eastAsia="Arial" w:hAnsi="Arial"/>
                <w:sz w:val="14"/>
                <w:szCs w:val="14"/>
                <w:color w:val="00002F"/>
              </w:rPr>
              <w:t>~26,300 net acres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-3174365</wp:posOffset>
            </wp:positionH>
            <wp:positionV relativeFrom="paragraph">
              <wp:posOffset>-1000125</wp:posOffset>
            </wp:positionV>
            <wp:extent cx="7543800" cy="9829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80" w:type="dxa"/>
            <w:vAlign w:val="bottom"/>
          </w:tcPr>
          <w:p>
            <w:pPr>
              <w:spacing w:after="0"/>
              <w:rPr>
                <w:sz w:val="16"/>
                <w:szCs w:val="16"/>
                <w:color w:val="auto"/>
              </w:rPr>
            </w:pPr>
          </w:p>
        </w:tc>
        <w:tc>
          <w:tcPr>
            <w:tcW w:w="3300" w:type="dxa"/>
            <w:vAlign w:val="bottom"/>
          </w:tcPr>
          <w:p>
            <w:pPr>
              <w:ind w:left="1800"/>
              <w:spacing w:after="0"/>
              <w:rPr>
                <w:sz w:val="20"/>
                <w:szCs w:val="20"/>
                <w:color w:val="auto"/>
              </w:rPr>
            </w:pPr>
            <w:r>
              <w:rPr>
                <w:rFonts w:ascii="Arial" w:cs="Arial" w:eastAsia="Arial" w:hAnsi="Arial"/>
                <w:sz w:val="17"/>
                <w:szCs w:val="17"/>
                <w:b w:val="1"/>
                <w:bCs w:val="1"/>
                <w:color w:val="3E7EAC"/>
              </w:rPr>
              <w:t>RANGER</w:t>
            </w:r>
          </w:p>
        </w:tc>
        <w:tc>
          <w:tcPr>
            <w:tcW w:w="0" w:type="dxa"/>
            <w:vAlign w:val="bottom"/>
          </w:tcPr>
          <w:p>
            <w:pPr>
              <w:spacing w:after="0"/>
              <w:rPr>
                <w:sz w:val="1"/>
                <w:szCs w:val="1"/>
                <w:color w:val="auto"/>
              </w:rPr>
            </w:pPr>
          </w:p>
        </w:tc>
      </w:tr>
      <w:tr>
        <w:trPr>
          <w:trHeight w:val="233"/>
        </w:trPr>
        <w:tc>
          <w:tcPr>
            <w:tcW w:w="3080" w:type="dxa"/>
            <w:vAlign w:val="bottom"/>
          </w:tcPr>
          <w:p>
            <w:pPr>
              <w:spacing w:after="0"/>
              <w:rPr>
                <w:sz w:val="20"/>
                <w:szCs w:val="20"/>
                <w:color w:val="auto"/>
              </w:rPr>
            </w:pPr>
          </w:p>
        </w:tc>
        <w:tc>
          <w:tcPr>
            <w:tcW w:w="3300" w:type="dxa"/>
            <w:vAlign w:val="bottom"/>
          </w:tcPr>
          <w:p>
            <w:pPr>
              <w:ind w:left="1800"/>
              <w:spacing w:after="0"/>
              <w:rPr>
                <w:sz w:val="20"/>
                <w:szCs w:val="20"/>
                <w:color w:val="auto"/>
              </w:rPr>
            </w:pPr>
            <w:r>
              <w:rPr>
                <w:rFonts w:ascii="Arial" w:cs="Arial" w:eastAsia="Arial" w:hAnsi="Arial"/>
                <w:sz w:val="14"/>
                <w:szCs w:val="14"/>
                <w:color w:val="00002F"/>
              </w:rPr>
              <w:t>~42,800 net acres</w:t>
            </w:r>
          </w:p>
        </w:tc>
        <w:tc>
          <w:tcPr>
            <w:tcW w:w="0" w:type="dxa"/>
            <w:vAlign w:val="bottom"/>
          </w:tcPr>
          <w:p>
            <w:pPr>
              <w:spacing w:after="0"/>
              <w:rPr>
                <w:sz w:val="1"/>
                <w:szCs w:val="1"/>
                <w:color w:val="auto"/>
              </w:rPr>
            </w:pPr>
          </w:p>
        </w:tc>
      </w:tr>
      <w:tr>
        <w:trPr>
          <w:trHeight w:val="549"/>
        </w:trPr>
        <w:tc>
          <w:tcPr>
            <w:tcW w:w="3080" w:type="dxa"/>
            <w:vAlign w:val="bottom"/>
          </w:tcPr>
          <w:p>
            <w:pPr>
              <w:spacing w:after="0"/>
              <w:rPr>
                <w:sz w:val="20"/>
                <w:szCs w:val="20"/>
                <w:color w:val="auto"/>
              </w:rPr>
            </w:pPr>
            <w:r>
              <w:rPr>
                <w:rFonts w:ascii="Arial" w:cs="Arial" w:eastAsia="Arial" w:hAnsi="Arial"/>
                <w:sz w:val="17"/>
                <w:szCs w:val="17"/>
                <w:b w:val="1"/>
                <w:bCs w:val="1"/>
                <w:color w:val="3E7EAC"/>
              </w:rPr>
              <w:t>RUSTLER</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080" w:type="dxa"/>
            <w:vAlign w:val="bottom"/>
          </w:tcPr>
          <w:p>
            <w:pPr>
              <w:spacing w:after="0" w:line="175" w:lineRule="exact"/>
              <w:rPr>
                <w:sz w:val="20"/>
                <w:szCs w:val="20"/>
                <w:color w:val="auto"/>
              </w:rPr>
            </w:pPr>
            <w:r>
              <w:rPr>
                <w:rFonts w:ascii="Arial" w:cs="Arial" w:eastAsia="Arial" w:hAnsi="Arial"/>
                <w:sz w:val="17"/>
                <w:szCs w:val="17"/>
                <w:b w:val="1"/>
                <w:bCs w:val="1"/>
                <w:color w:val="3E7EAC"/>
              </w:rPr>
              <w:t>BREAKS</w:t>
            </w:r>
          </w:p>
        </w:tc>
        <w:tc>
          <w:tcPr>
            <w:tcW w:w="3300" w:type="dxa"/>
            <w:vAlign w:val="bottom"/>
            <w:vMerge w:val="restart"/>
          </w:tcPr>
          <w:p>
            <w:pPr>
              <w:ind w:left="2080"/>
              <w:spacing w:after="0"/>
              <w:rPr>
                <w:sz w:val="20"/>
                <w:szCs w:val="20"/>
                <w:color w:val="auto"/>
              </w:rPr>
            </w:pPr>
            <w:r>
              <w:rPr>
                <w:rFonts w:ascii="Arial" w:cs="Arial" w:eastAsia="Arial" w:hAnsi="Arial"/>
                <w:sz w:val="17"/>
                <w:szCs w:val="17"/>
                <w:b w:val="1"/>
                <w:bCs w:val="1"/>
                <w:color w:val="3E7EAC"/>
              </w:rPr>
              <w:t>ANTELOPE</w:t>
            </w:r>
          </w:p>
        </w:tc>
        <w:tc>
          <w:tcPr>
            <w:tcW w:w="0" w:type="dxa"/>
            <w:vAlign w:val="bottom"/>
          </w:tcPr>
          <w:p>
            <w:pPr>
              <w:spacing w:after="0"/>
              <w:rPr>
                <w:sz w:val="1"/>
                <w:szCs w:val="1"/>
                <w:color w:val="auto"/>
              </w:rPr>
            </w:pPr>
          </w:p>
        </w:tc>
      </w:tr>
      <w:tr>
        <w:trPr>
          <w:trHeight w:val="174"/>
        </w:trPr>
        <w:tc>
          <w:tcPr>
            <w:tcW w:w="3080" w:type="dxa"/>
            <w:vAlign w:val="bottom"/>
          </w:tcPr>
          <w:p>
            <w:pPr>
              <w:ind w:left="40"/>
              <w:spacing w:after="0"/>
              <w:rPr>
                <w:sz w:val="20"/>
                <w:szCs w:val="20"/>
                <w:color w:val="auto"/>
              </w:rPr>
            </w:pPr>
            <w:r>
              <w:rPr>
                <w:rFonts w:ascii="Arial" w:cs="Arial" w:eastAsia="Arial" w:hAnsi="Arial"/>
                <w:sz w:val="14"/>
                <w:szCs w:val="14"/>
                <w:color w:val="00002F"/>
              </w:rPr>
              <w:t>~26,600 net acres</w:t>
            </w:r>
          </w:p>
        </w:tc>
        <w:tc>
          <w:tcPr>
            <w:tcW w:w="3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tcPr>
          <w:p>
            <w:pPr>
              <w:spacing w:after="0"/>
              <w:rPr>
                <w:sz w:val="15"/>
                <w:szCs w:val="15"/>
                <w:color w:val="auto"/>
              </w:rPr>
            </w:pPr>
          </w:p>
        </w:tc>
        <w:tc>
          <w:tcPr>
            <w:tcW w:w="3300" w:type="dxa"/>
            <w:vAlign w:val="bottom"/>
          </w:tcPr>
          <w:p>
            <w:pPr>
              <w:ind w:left="2080"/>
              <w:spacing w:after="0" w:line="175" w:lineRule="exact"/>
              <w:rPr>
                <w:sz w:val="20"/>
                <w:szCs w:val="20"/>
                <w:color w:val="auto"/>
              </w:rPr>
            </w:pPr>
            <w:r>
              <w:rPr>
                <w:rFonts w:ascii="Arial" w:cs="Arial" w:eastAsia="Arial" w:hAnsi="Arial"/>
                <w:sz w:val="17"/>
                <w:szCs w:val="17"/>
                <w:b w:val="1"/>
                <w:bCs w:val="1"/>
                <w:color w:val="3E7EAC"/>
              </w:rPr>
              <w:t>RIDGE</w:t>
            </w:r>
          </w:p>
        </w:tc>
        <w:tc>
          <w:tcPr>
            <w:tcW w:w="0" w:type="dxa"/>
            <w:vAlign w:val="bottom"/>
          </w:tcPr>
          <w:p>
            <w:pPr>
              <w:spacing w:after="0"/>
              <w:rPr>
                <w:sz w:val="1"/>
                <w:szCs w:val="1"/>
                <w:color w:val="auto"/>
              </w:rPr>
            </w:pPr>
          </w:p>
        </w:tc>
      </w:tr>
      <w:tr>
        <w:trPr>
          <w:trHeight w:val="233"/>
        </w:trPr>
        <w:tc>
          <w:tcPr>
            <w:tcW w:w="3080" w:type="dxa"/>
            <w:vAlign w:val="bottom"/>
          </w:tcPr>
          <w:p>
            <w:pPr>
              <w:spacing w:after="0"/>
              <w:rPr>
                <w:sz w:val="20"/>
                <w:szCs w:val="20"/>
                <w:color w:val="auto"/>
              </w:rPr>
            </w:pPr>
          </w:p>
        </w:tc>
        <w:tc>
          <w:tcPr>
            <w:tcW w:w="3300" w:type="dxa"/>
            <w:vAlign w:val="bottom"/>
          </w:tcPr>
          <w:p>
            <w:pPr>
              <w:ind w:left="2080"/>
              <w:spacing w:after="0"/>
              <w:rPr>
                <w:sz w:val="20"/>
                <w:szCs w:val="20"/>
                <w:color w:val="auto"/>
              </w:rPr>
            </w:pPr>
            <w:r>
              <w:rPr>
                <w:rFonts w:ascii="Arial" w:cs="Arial" w:eastAsia="Arial" w:hAnsi="Arial"/>
                <w:sz w:val="14"/>
                <w:szCs w:val="14"/>
                <w:color w:val="00002F"/>
              </w:rPr>
              <w:t>~59,000 net acres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tbl>
      <w:tblPr>
        <w:tblLayout w:type="fixed"/>
        <w:tblInd w:w="3240" w:type="dxa"/>
        <w:tblCellMar>
          <w:top w:w="0" w:type="dxa"/>
          <w:left w:w="0" w:type="dxa"/>
          <w:bottom w:w="0" w:type="dxa"/>
          <w:right w:w="0" w:type="dxa"/>
        </w:tblCellMar>
      </w:tblPr>
      <w:tr>
        <w:trPr>
          <w:trHeight w:val="161"/>
        </w:trPr>
        <w:tc>
          <w:tcPr>
            <w:tcW w:w="280" w:type="dxa"/>
            <w:vAlign w:val="bottom"/>
          </w:tcPr>
          <w:p>
            <w:pPr>
              <w:ind w:left="20"/>
              <w:spacing w:after="0"/>
              <w:rPr>
                <w:sz w:val="20"/>
                <w:szCs w:val="20"/>
                <w:color w:val="auto"/>
              </w:rPr>
            </w:pPr>
            <w:r>
              <w:rPr>
                <w:rFonts w:ascii="Arial" w:cs="Arial" w:eastAsia="Arial" w:hAnsi="Arial"/>
                <w:sz w:val="14"/>
                <w:szCs w:val="14"/>
                <w:b w:val="1"/>
                <w:bCs w:val="1"/>
                <w:color w:val="B5C2E0"/>
              </w:rPr>
              <w:t>Y</w:t>
            </w:r>
          </w:p>
        </w:tc>
        <w:tc>
          <w:tcPr>
            <w:tcW w:w="280" w:type="dxa"/>
            <w:vAlign w:val="bottom"/>
            <w:vMerge w:val="restart"/>
          </w:tcPr>
          <w:p>
            <w:pPr>
              <w:ind w:left="140"/>
              <w:spacing w:after="0"/>
              <w:rPr>
                <w:sz w:val="20"/>
                <w:szCs w:val="20"/>
                <w:color w:val="auto"/>
              </w:rPr>
            </w:pPr>
            <w:r>
              <w:rPr>
                <w:rFonts w:ascii="Arial" w:cs="Arial" w:eastAsia="Arial" w:hAnsi="Arial"/>
                <w:sz w:val="14"/>
                <w:szCs w:val="14"/>
                <w:b w:val="1"/>
                <w:bCs w:val="1"/>
                <w:color w:val="B5C2E0"/>
              </w:rPr>
              <w:t>A</w:t>
            </w:r>
          </w:p>
        </w:tc>
        <w:tc>
          <w:tcPr>
            <w:tcW w:w="0" w:type="dxa"/>
            <w:vAlign w:val="bottom"/>
          </w:tcPr>
          <w:p>
            <w:pPr>
              <w:spacing w:after="0"/>
              <w:rPr>
                <w:sz w:val="1"/>
                <w:szCs w:val="1"/>
                <w:color w:val="auto"/>
              </w:rPr>
            </w:pPr>
          </w:p>
        </w:tc>
      </w:tr>
      <w:tr>
        <w:trPr>
          <w:trHeight w:val="83"/>
        </w:trPr>
        <w:tc>
          <w:tcPr>
            <w:tcW w:w="280" w:type="dxa"/>
            <w:vAlign w:val="bottom"/>
            <w:vMerge w:val="restart"/>
          </w:tcPr>
          <w:p>
            <w:pPr>
              <w:ind w:left="20"/>
              <w:spacing w:after="0" w:line="187" w:lineRule="auto"/>
              <w:rPr>
                <w:sz w:val="20"/>
                <w:szCs w:val="20"/>
                <w:color w:val="auto"/>
              </w:rPr>
            </w:pPr>
            <w:r>
              <w:rPr>
                <w:rFonts w:ascii="Arial" w:cs="Arial" w:eastAsia="Arial" w:hAnsi="Arial"/>
                <w:sz w:val="14"/>
                <w:szCs w:val="14"/>
                <w:b w:val="1"/>
                <w:bCs w:val="1"/>
                <w:color w:val="B5C2E0"/>
              </w:rPr>
              <w:t>D</w:t>
            </w:r>
          </w:p>
        </w:tc>
        <w:tc>
          <w:tcPr>
            <w:tcW w:w="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280" w:type="dxa"/>
            <w:vAlign w:val="bottom"/>
            <w:vMerge w:val="continue"/>
          </w:tcPr>
          <w:p>
            <w:pPr>
              <w:spacing w:after="0"/>
              <w:rPr>
                <w:sz w:val="3"/>
                <w:szCs w:val="3"/>
                <w:color w:val="auto"/>
              </w:rPr>
            </w:pPr>
          </w:p>
        </w:tc>
        <w:tc>
          <w:tcPr>
            <w:tcW w:w="280" w:type="dxa"/>
            <w:vAlign w:val="bottom"/>
            <w:vMerge w:val="restart"/>
          </w:tcPr>
          <w:p>
            <w:pPr>
              <w:ind w:left="140"/>
              <w:spacing w:after="0" w:line="188" w:lineRule="auto"/>
              <w:rPr>
                <w:sz w:val="20"/>
                <w:szCs w:val="20"/>
                <w:color w:val="auto"/>
              </w:rPr>
            </w:pPr>
            <w:r>
              <w:rPr>
                <w:rFonts w:ascii="Arial" w:cs="Arial" w:eastAsia="Arial" w:hAnsi="Arial"/>
                <w:sz w:val="12"/>
                <w:szCs w:val="12"/>
                <w:b w:val="1"/>
                <w:bCs w:val="1"/>
                <w:color w:val="B5C2E0"/>
              </w:rPr>
              <w:t>E</w:t>
            </w:r>
          </w:p>
        </w:tc>
        <w:tc>
          <w:tcPr>
            <w:tcW w:w="0" w:type="dxa"/>
            <w:vAlign w:val="bottom"/>
          </w:tcPr>
          <w:p>
            <w:pPr>
              <w:spacing w:after="0"/>
              <w:rPr>
                <w:sz w:val="1"/>
                <w:szCs w:val="1"/>
                <w:color w:val="auto"/>
              </w:rPr>
            </w:pPr>
          </w:p>
        </w:tc>
      </w:tr>
      <w:tr>
        <w:trPr>
          <w:trHeight w:val="66"/>
        </w:trPr>
        <w:tc>
          <w:tcPr>
            <w:tcW w:w="280" w:type="dxa"/>
            <w:vAlign w:val="bottom"/>
            <w:vMerge w:val="restart"/>
          </w:tcPr>
          <w:p>
            <w:pPr>
              <w:spacing w:after="0" w:line="197" w:lineRule="auto"/>
              <w:rPr>
                <w:sz w:val="20"/>
                <w:szCs w:val="20"/>
                <w:color w:val="auto"/>
              </w:rPr>
            </w:pPr>
            <w:r>
              <w:rPr>
                <w:rFonts w:ascii="Arial" w:cs="Arial" w:eastAsia="Arial" w:hAnsi="Arial"/>
                <w:sz w:val="14"/>
                <w:szCs w:val="14"/>
                <w:b w:val="1"/>
                <w:bCs w:val="1"/>
                <w:color w:val="B5C2E0"/>
              </w:rPr>
              <w:t>D</w:t>
            </w: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280" w:type="dxa"/>
            <w:vAlign w:val="bottom"/>
            <w:vMerge w:val="continue"/>
          </w:tcPr>
          <w:p>
            <w:pPr>
              <w:spacing w:after="0"/>
              <w:rPr>
                <w:sz w:val="5"/>
                <w:szCs w:val="5"/>
                <w:color w:val="auto"/>
              </w:rPr>
            </w:pPr>
          </w:p>
        </w:tc>
        <w:tc>
          <w:tcPr>
            <w:tcW w:w="280" w:type="dxa"/>
            <w:vAlign w:val="bottom"/>
            <w:vMerge w:val="restart"/>
          </w:tcPr>
          <w:p>
            <w:pPr>
              <w:ind w:left="140"/>
              <w:spacing w:after="0" w:line="187" w:lineRule="auto"/>
              <w:rPr>
                <w:sz w:val="20"/>
                <w:szCs w:val="20"/>
                <w:color w:val="auto"/>
              </w:rPr>
            </w:pPr>
            <w:r>
              <w:rPr>
                <w:rFonts w:ascii="Arial" w:cs="Arial" w:eastAsia="Arial" w:hAnsi="Arial"/>
                <w:sz w:val="12"/>
                <w:szCs w:val="12"/>
                <w:b w:val="1"/>
                <w:bCs w:val="1"/>
                <w:color w:val="B5C2E0"/>
              </w:rPr>
              <w:t>L</w:t>
            </w:r>
          </w:p>
        </w:tc>
        <w:tc>
          <w:tcPr>
            <w:tcW w:w="0" w:type="dxa"/>
            <w:vAlign w:val="bottom"/>
          </w:tcPr>
          <w:p>
            <w:pPr>
              <w:spacing w:after="0"/>
              <w:rPr>
                <w:sz w:val="1"/>
                <w:szCs w:val="1"/>
                <w:color w:val="auto"/>
              </w:rPr>
            </w:pPr>
          </w:p>
        </w:tc>
      </w:tr>
      <w:tr>
        <w:trPr>
          <w:trHeight w:val="42"/>
        </w:trPr>
        <w:tc>
          <w:tcPr>
            <w:tcW w:w="280" w:type="dxa"/>
            <w:vAlign w:val="bottom"/>
            <w:vMerge w:val="restart"/>
          </w:tcPr>
          <w:p>
            <w:pPr>
              <w:spacing w:after="0" w:line="184" w:lineRule="auto"/>
              <w:rPr>
                <w:sz w:val="20"/>
                <w:szCs w:val="20"/>
                <w:color w:val="auto"/>
              </w:rPr>
            </w:pPr>
            <w:r>
              <w:rPr>
                <w:rFonts w:ascii="Arial" w:cs="Arial" w:eastAsia="Arial" w:hAnsi="Arial"/>
                <w:sz w:val="13"/>
                <w:szCs w:val="13"/>
                <w:b w:val="1"/>
                <w:bCs w:val="1"/>
                <w:color w:val="B5C2E0"/>
              </w:rPr>
              <w:t>E</w:t>
            </w:r>
          </w:p>
        </w:tc>
        <w:tc>
          <w:tcPr>
            <w:tcW w:w="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3"/>
        </w:trPr>
        <w:tc>
          <w:tcPr>
            <w:tcW w:w="2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3E7EAC"/>
        </w:rPr>
        <w:t>STATELINE</w:t>
      </w:r>
    </w:p>
    <w:p>
      <w:pPr>
        <w:ind w:left="3660"/>
        <w:spacing w:after="0"/>
        <w:rPr>
          <w:sz w:val="20"/>
          <w:szCs w:val="20"/>
          <w:color w:val="auto"/>
        </w:rPr>
      </w:pPr>
      <w:r>
        <w:rPr>
          <w:rFonts w:ascii="Arial" w:cs="Arial" w:eastAsia="Arial" w:hAnsi="Arial"/>
          <w:sz w:val="14"/>
          <w:szCs w:val="14"/>
          <w:color w:val="00002F"/>
        </w:rPr>
        <w:t>~2,900 net acres</w:t>
      </w:r>
    </w:p>
    <w:p>
      <w:pPr>
        <w:spacing w:after="0" w:line="68"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3E7EAC"/>
        </w:rPr>
        <w:t>NEW MEXICO</w:t>
      </w:r>
    </w:p>
    <w:p>
      <w:pPr>
        <w:spacing w:after="0" w:line="300"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3E7EAC"/>
        </w:rPr>
        <w:t>TEXAS</w:t>
      </w:r>
    </w:p>
    <w:p>
      <w:pPr>
        <w:ind w:left="3400"/>
        <w:spacing w:after="0" w:line="214" w:lineRule="auto"/>
        <w:rPr>
          <w:sz w:val="20"/>
          <w:szCs w:val="20"/>
          <w:color w:val="auto"/>
        </w:rPr>
      </w:pPr>
      <w:r>
        <w:rPr>
          <w:rFonts w:ascii="Arial" w:cs="Arial" w:eastAsia="Arial" w:hAnsi="Arial"/>
          <w:sz w:val="17"/>
          <w:szCs w:val="17"/>
          <w:b w:val="1"/>
          <w:bCs w:val="1"/>
          <w:color w:val="3E7EAC"/>
        </w:rPr>
        <w:t>WEST TEXAS</w:t>
      </w:r>
    </w:p>
    <w:p>
      <w:pPr>
        <w:ind w:left="3400"/>
        <w:spacing w:after="0"/>
        <w:rPr>
          <w:sz w:val="20"/>
          <w:szCs w:val="20"/>
          <w:color w:val="auto"/>
        </w:rPr>
      </w:pPr>
      <w:r>
        <w:rPr>
          <w:rFonts w:ascii="Arial" w:cs="Arial" w:eastAsia="Arial" w:hAnsi="Arial"/>
          <w:sz w:val="14"/>
          <w:szCs w:val="14"/>
          <w:color w:val="00002F"/>
        </w:rPr>
        <w:t>~22,300 net acres</w:t>
      </w:r>
    </w:p>
    <w:p>
      <w:pPr>
        <w:spacing w:after="0" w:line="66" w:lineRule="exact"/>
        <w:rPr>
          <w:sz w:val="20"/>
          <w:szCs w:val="20"/>
          <w:color w:val="auto"/>
        </w:rPr>
      </w:pPr>
    </w:p>
    <w:p>
      <w:pPr>
        <w:jc w:val="right"/>
        <w:ind w:right="80"/>
        <w:spacing w:after="0"/>
        <w:rPr>
          <w:sz w:val="20"/>
          <w:szCs w:val="20"/>
          <w:color w:val="auto"/>
        </w:rPr>
      </w:pPr>
      <w:r>
        <w:rPr>
          <w:rFonts w:ascii="Arial" w:cs="Arial" w:eastAsia="Arial" w:hAnsi="Arial"/>
          <w:sz w:val="14"/>
          <w:szCs w:val="14"/>
          <w:b w:val="1"/>
          <w:bCs w:val="1"/>
          <w:color w:val="B5C2E0"/>
        </w:rPr>
        <w:t>W I N K L E 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B5C2E0"/>
        </w:rPr>
        <w:t>L O V I N G</w:t>
      </w:r>
    </w:p>
    <w:p>
      <w:pPr>
        <w:spacing w:after="0" w:line="242"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B5C2E0"/>
        </w:rPr>
        <w:t>W A R D</w:t>
      </w:r>
    </w:p>
    <w:p>
      <w:pPr>
        <w:spacing w:after="0" w:line="3" w:lineRule="exact"/>
        <w:rPr>
          <w:sz w:val="20"/>
          <w:szCs w:val="20"/>
          <w:color w:val="auto"/>
        </w:rPr>
      </w:pPr>
    </w:p>
    <w:p>
      <w:pPr>
        <w:ind w:left="700"/>
        <w:spacing w:after="0"/>
        <w:rPr>
          <w:sz w:val="20"/>
          <w:szCs w:val="20"/>
          <w:color w:val="auto"/>
        </w:rPr>
      </w:pPr>
      <w:r>
        <w:rPr>
          <w:rFonts w:ascii="Arial" w:cs="Arial" w:eastAsia="Arial" w:hAnsi="Arial"/>
          <w:sz w:val="17"/>
          <w:szCs w:val="17"/>
          <w:color w:val="191919"/>
        </w:rPr>
        <w:t>~900 miles of three-stream pipelines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7"/>
          <w:szCs w:val="17"/>
          <w:color w:val="191919"/>
        </w:rPr>
        <w:t>Matador Acreage</w:t>
      </w:r>
    </w:p>
    <w:p>
      <w:pPr>
        <w:spacing w:after="0" w:line="416" w:lineRule="exact"/>
        <w:rPr>
          <w:sz w:val="20"/>
          <w:szCs w:val="20"/>
          <w:color w:val="auto"/>
        </w:rPr>
      </w:pPr>
    </w:p>
    <w:p>
      <w:pPr>
        <w:sectPr>
          <w:pgSz w:w="11880" w:h="15480" w:orient="portrait"/>
          <w:cols w:equalWidth="0" w:num="2">
            <w:col w:w="3940" w:space="180"/>
            <w:col w:w="6380"/>
          </w:cols>
          <w:pgMar w:left="880" w:top="20" w:right="500" w:bottom="70" w:gutter="0" w:footer="0" w:header="0"/>
        </w:sectPr>
      </w:pP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529"/>
        </w:trPr>
        <w:tc>
          <w:tcPr>
            <w:tcW w:w="6740" w:type="dxa"/>
            <w:vAlign w:val="bottom"/>
          </w:tcPr>
          <w:p>
            <w:pPr>
              <w:spacing w:after="0"/>
              <w:rPr>
                <w:sz w:val="20"/>
                <w:szCs w:val="20"/>
                <w:color w:val="auto"/>
              </w:rPr>
            </w:pPr>
            <w:r>
              <w:rPr>
                <w:rFonts w:ascii="Arial" w:cs="Arial" w:eastAsia="Arial" w:hAnsi="Arial"/>
                <w:sz w:val="46"/>
                <w:szCs w:val="46"/>
                <w:b w:val="1"/>
                <w:bCs w:val="1"/>
                <w:color w:val="3E7EAC"/>
              </w:rPr>
              <w:t>Still Drilling:</w:t>
            </w:r>
          </w:p>
        </w:tc>
        <w:tc>
          <w:tcPr>
            <w:tcW w:w="2700" w:type="dxa"/>
            <w:vAlign w:val="bottom"/>
          </w:tcPr>
          <w:p>
            <w:pPr>
              <w:ind w:left="1000"/>
              <w:spacing w:after="0"/>
              <w:rPr>
                <w:sz w:val="20"/>
                <w:szCs w:val="20"/>
                <w:color w:val="auto"/>
              </w:rPr>
            </w:pPr>
            <w:r>
              <w:rPr>
                <w:rFonts w:ascii="Arial" w:cs="Arial" w:eastAsia="Arial" w:hAnsi="Arial"/>
                <w:sz w:val="16"/>
                <w:szCs w:val="16"/>
                <w:color w:val="00002F"/>
              </w:rPr>
              <w:t>Recoveries 10% Better</w:t>
            </w:r>
          </w:p>
        </w:tc>
      </w:tr>
      <w:tr>
        <w:trPr>
          <w:trHeight w:val="255"/>
        </w:trPr>
        <w:tc>
          <w:tcPr>
            <w:tcW w:w="6740" w:type="dxa"/>
            <w:vAlign w:val="bottom"/>
          </w:tcPr>
          <w:p>
            <w:pPr>
              <w:spacing w:after="0"/>
              <w:rPr>
                <w:sz w:val="22"/>
                <w:szCs w:val="22"/>
                <w:color w:val="auto"/>
              </w:rPr>
            </w:pPr>
          </w:p>
        </w:tc>
        <w:tc>
          <w:tcPr>
            <w:tcW w:w="2700" w:type="dxa"/>
            <w:vAlign w:val="bottom"/>
          </w:tcPr>
          <w:p>
            <w:pPr>
              <w:ind w:left="1000"/>
              <w:spacing w:after="0"/>
              <w:rPr>
                <w:sz w:val="20"/>
                <w:szCs w:val="20"/>
                <w:color w:val="auto"/>
              </w:rPr>
            </w:pPr>
            <w:r>
              <w:rPr>
                <w:rFonts w:ascii="Arial" w:cs="Arial" w:eastAsia="Arial" w:hAnsi="Arial"/>
                <w:sz w:val="16"/>
                <w:szCs w:val="16"/>
                <w:color w:val="00002F"/>
              </w:rPr>
              <w:t>Estimated Ultimate</w:t>
            </w:r>
          </w:p>
        </w:tc>
      </w:tr>
      <w:tr>
        <w:trPr>
          <w:trHeight w:val="789"/>
        </w:trPr>
        <w:tc>
          <w:tcPr>
            <w:tcW w:w="6740" w:type="dxa"/>
            <w:vAlign w:val="bottom"/>
          </w:tcPr>
          <w:p>
            <w:pPr>
              <w:spacing w:after="0"/>
              <w:rPr>
                <w:sz w:val="20"/>
                <w:szCs w:val="20"/>
                <w:color w:val="auto"/>
              </w:rPr>
            </w:pPr>
            <w:r>
              <w:rPr>
                <w:rFonts w:ascii="Arial" w:cs="Arial" w:eastAsia="Arial" w:hAnsi="Arial"/>
                <w:sz w:val="46"/>
                <w:szCs w:val="46"/>
                <w:b w:val="1"/>
                <w:bCs w:val="1"/>
                <w:color w:val="00002F"/>
              </w:rPr>
              <w:t>Better Wells for Less Money</w:t>
            </w:r>
          </w:p>
        </w:tc>
        <w:tc>
          <w:tcPr>
            <w:tcW w:w="2700" w:type="dxa"/>
            <w:vAlign w:val="bottom"/>
          </w:tcPr>
          <w:p>
            <w:pPr>
              <w:ind w:left="1000"/>
              <w:spacing w:after="0"/>
              <w:rPr>
                <w:sz w:val="20"/>
                <w:szCs w:val="20"/>
                <w:color w:val="auto"/>
              </w:rPr>
            </w:pPr>
            <w:r>
              <w:rPr>
                <w:rFonts w:ascii="Arial" w:cs="Arial" w:eastAsia="Arial" w:hAnsi="Arial"/>
                <w:sz w:val="31"/>
                <w:szCs w:val="31"/>
                <w:b w:val="1"/>
                <w:bCs w:val="1"/>
                <w:color w:val="3E7EAC"/>
              </w:rPr>
              <w:t>+10%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FFFFFF"/>
        </w:rPr>
        <w:t>$1,075/ft</w:t>
      </w:r>
    </w:p>
    <w:p>
      <w:pPr>
        <w:spacing w:after="0" w:line="16" w:lineRule="exact"/>
        <w:rPr>
          <w:sz w:val="20"/>
          <w:szCs w:val="20"/>
          <w:color w:val="auto"/>
        </w:rPr>
      </w:pPr>
    </w:p>
    <w:tbl>
      <w:tblPr>
        <w:tblLayout w:type="fixed"/>
        <w:tblInd w:w="3440" w:type="dxa"/>
        <w:tblCellMar>
          <w:top w:w="0" w:type="dxa"/>
          <w:left w:w="0" w:type="dxa"/>
          <w:bottom w:w="0" w:type="dxa"/>
          <w:right w:w="0" w:type="dxa"/>
        </w:tblCellMar>
      </w:tblPr>
      <w:tr>
        <w:trPr>
          <w:trHeight w:val="305"/>
        </w:trPr>
        <w:tc>
          <w:tcPr>
            <w:tcW w:w="1800" w:type="dxa"/>
            <w:vAlign w:val="bottom"/>
          </w:tcPr>
          <w:p>
            <w:pPr>
              <w:spacing w:after="0"/>
              <w:rPr>
                <w:sz w:val="20"/>
                <w:szCs w:val="20"/>
                <w:color w:val="auto"/>
              </w:rPr>
            </w:pPr>
            <w:r>
              <w:rPr>
                <w:rFonts w:ascii="Arial" w:cs="Arial" w:eastAsia="Arial" w:hAnsi="Arial"/>
                <w:sz w:val="18"/>
                <w:szCs w:val="18"/>
                <w:b w:val="1"/>
                <w:bCs w:val="1"/>
                <w:color w:val="FFFFFF"/>
              </w:rPr>
              <w:t>$910/ft</w:t>
            </w:r>
          </w:p>
        </w:tc>
        <w:tc>
          <w:tcPr>
            <w:tcW w:w="2960" w:type="dxa"/>
            <w:vAlign w:val="bottom"/>
            <w:vMerge w:val="restart"/>
          </w:tcPr>
          <w:p>
            <w:pPr>
              <w:ind w:left="1140"/>
              <w:spacing w:after="0"/>
              <w:rPr>
                <w:sz w:val="20"/>
                <w:szCs w:val="20"/>
                <w:color w:val="auto"/>
              </w:rPr>
            </w:pPr>
            <w:r>
              <w:rPr>
                <w:rFonts w:ascii="Arial" w:cs="Arial" w:eastAsia="Arial" w:hAnsi="Arial"/>
                <w:sz w:val="18"/>
                <w:szCs w:val="18"/>
                <w:b w:val="1"/>
                <w:bCs w:val="1"/>
                <w:color w:val="FFFFFF"/>
              </w:rPr>
              <w:t>$842/ft</w:t>
            </w:r>
          </w:p>
        </w:tc>
        <w:tc>
          <w:tcPr>
            <w:tcW w:w="1800" w:type="dxa"/>
            <w:vAlign w:val="bottom"/>
            <w:vMerge w:val="restart"/>
          </w:tcPr>
          <w:p>
            <w:pPr>
              <w:ind w:left="1120"/>
              <w:spacing w:after="0"/>
              <w:rPr>
                <w:sz w:val="20"/>
                <w:szCs w:val="20"/>
                <w:color w:val="auto"/>
              </w:rPr>
            </w:pPr>
            <w:r>
              <w:rPr>
                <w:rFonts w:ascii="Arial" w:cs="Arial" w:eastAsia="Arial" w:hAnsi="Arial"/>
                <w:sz w:val="18"/>
                <w:szCs w:val="18"/>
                <w:b w:val="1"/>
                <w:bCs w:val="1"/>
                <w:color w:val="FFFFFF"/>
              </w:rPr>
              <w:t>$795/ft</w:t>
            </w: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2960" w:type="dxa"/>
            <w:vAlign w:val="bottom"/>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580" w:type="dxa"/>
        <w:tblCellMar>
          <w:top w:w="0" w:type="dxa"/>
          <w:left w:w="0" w:type="dxa"/>
          <w:bottom w:w="0" w:type="dxa"/>
          <w:right w:w="0" w:type="dxa"/>
        </w:tblCellMar>
      </w:tblPr>
      <w:tr>
        <w:trPr>
          <w:trHeight w:val="258"/>
        </w:trPr>
        <w:tc>
          <w:tcPr>
            <w:tcW w:w="660" w:type="dxa"/>
            <w:vAlign w:val="bottom"/>
          </w:tcPr>
          <w:p>
            <w:pPr>
              <w:jc w:val="right"/>
              <w:ind w:right="60"/>
              <w:spacing w:after="0"/>
              <w:rPr>
                <w:sz w:val="20"/>
                <w:szCs w:val="20"/>
                <w:color w:val="auto"/>
              </w:rPr>
            </w:pPr>
            <w:r>
              <w:rPr>
                <w:rFonts w:ascii="Arial" w:cs="Arial" w:eastAsia="Arial" w:hAnsi="Arial"/>
                <w:sz w:val="16"/>
                <w:szCs w:val="16"/>
                <w:color w:val="00002F"/>
                <w:w w:val="97"/>
              </w:rPr>
              <w:t xml:space="preserve">2023 </w:t>
            </w:r>
            <w:r>
              <w:rPr>
                <w:rFonts w:ascii="Arial" w:cs="Arial" w:eastAsia="Arial" w:hAnsi="Arial"/>
                <w:sz w:val="9"/>
                <w:szCs w:val="9"/>
                <w:color w:val="00002F"/>
                <w:w w:val="97"/>
              </w:rPr>
              <w:t>(1)</w:t>
            </w:r>
          </w:p>
        </w:tc>
        <w:tc>
          <w:tcPr>
            <w:tcW w:w="4420" w:type="dxa"/>
            <w:vAlign w:val="bottom"/>
          </w:tcPr>
          <w:p>
            <w:pPr>
              <w:jc w:val="right"/>
              <w:ind w:right="1540"/>
              <w:spacing w:after="0"/>
              <w:rPr>
                <w:sz w:val="20"/>
                <w:szCs w:val="20"/>
                <w:color w:val="auto"/>
              </w:rPr>
            </w:pPr>
            <w:r>
              <w:rPr>
                <w:rFonts w:ascii="Arial" w:cs="Arial" w:eastAsia="Arial" w:hAnsi="Arial"/>
                <w:sz w:val="16"/>
                <w:szCs w:val="16"/>
                <w:color w:val="00002F"/>
              </w:rPr>
              <w:t xml:space="preserve">2024 </w:t>
            </w:r>
            <w:r>
              <w:rPr>
                <w:rFonts w:ascii="Arial" w:cs="Arial" w:eastAsia="Arial" w:hAnsi="Arial"/>
                <w:sz w:val="9"/>
                <w:szCs w:val="9"/>
                <w:color w:val="00002F"/>
              </w:rPr>
              <w:t>(1)</w:t>
            </w:r>
          </w:p>
        </w:tc>
        <w:tc>
          <w:tcPr>
            <w:tcW w:w="3560" w:type="dxa"/>
            <w:vAlign w:val="bottom"/>
            <w:gridSpan w:val="2"/>
          </w:tcPr>
          <w:p>
            <w:pPr>
              <w:jc w:val="right"/>
              <w:ind w:right="2160"/>
              <w:spacing w:after="0"/>
              <w:rPr>
                <w:sz w:val="20"/>
                <w:szCs w:val="20"/>
                <w:color w:val="auto"/>
              </w:rPr>
            </w:pPr>
            <w:r>
              <w:rPr>
                <w:rFonts w:ascii="Arial" w:cs="Arial" w:eastAsia="Arial" w:hAnsi="Arial"/>
                <w:sz w:val="16"/>
                <w:szCs w:val="16"/>
                <w:color w:val="00002F"/>
              </w:rPr>
              <w:t xml:space="preserve">2025 </w:t>
            </w:r>
            <w:r>
              <w:rPr>
                <w:rFonts w:ascii="Arial" w:cs="Arial" w:eastAsia="Arial" w:hAnsi="Arial"/>
                <w:sz w:val="9"/>
                <w:szCs w:val="9"/>
                <w:color w:val="00002F"/>
              </w:rPr>
              <w:t>(1)</w:t>
            </w:r>
          </w:p>
        </w:tc>
        <w:tc>
          <w:tcPr>
            <w:tcW w:w="740" w:type="dxa"/>
            <w:vAlign w:val="bottom"/>
          </w:tcPr>
          <w:p>
            <w:pPr>
              <w:ind w:left="120"/>
              <w:spacing w:after="0"/>
              <w:rPr>
                <w:sz w:val="20"/>
                <w:szCs w:val="20"/>
                <w:color w:val="auto"/>
              </w:rPr>
            </w:pPr>
            <w:r>
              <w:rPr>
                <w:rFonts w:ascii="Arial" w:cs="Arial" w:eastAsia="Arial" w:hAnsi="Arial"/>
                <w:sz w:val="16"/>
                <w:szCs w:val="16"/>
                <w:color w:val="00002F"/>
                <w:w w:val="97"/>
              </w:rPr>
              <w:t xml:space="preserve">2026E </w:t>
            </w:r>
            <w:r>
              <w:rPr>
                <w:rFonts w:ascii="Arial" w:cs="Arial" w:eastAsia="Arial" w:hAnsi="Arial"/>
                <w:sz w:val="9"/>
                <w:szCs w:val="9"/>
                <w:color w:val="00002F"/>
                <w:w w:val="97"/>
              </w:rPr>
              <w:t>(2)</w:t>
            </w:r>
          </w:p>
        </w:tc>
        <w:tc>
          <w:tcPr>
            <w:tcW w:w="0" w:type="dxa"/>
            <w:vAlign w:val="bottom"/>
          </w:tcPr>
          <w:p>
            <w:pPr>
              <w:spacing w:after="0"/>
              <w:rPr>
                <w:sz w:val="1"/>
                <w:szCs w:val="1"/>
                <w:color w:val="auto"/>
              </w:rPr>
            </w:pPr>
          </w:p>
        </w:tc>
      </w:tr>
      <w:tr>
        <w:trPr>
          <w:trHeight w:val="316"/>
        </w:trPr>
        <w:tc>
          <w:tcPr>
            <w:tcW w:w="660" w:type="dxa"/>
            <w:vAlign w:val="bottom"/>
          </w:tcPr>
          <w:p>
            <w:pPr>
              <w:spacing w:after="0"/>
              <w:rPr>
                <w:sz w:val="24"/>
                <w:szCs w:val="24"/>
                <w:color w:val="auto"/>
              </w:rPr>
            </w:pPr>
          </w:p>
        </w:tc>
        <w:tc>
          <w:tcPr>
            <w:tcW w:w="4420" w:type="dxa"/>
            <w:vAlign w:val="bottom"/>
          </w:tcPr>
          <w:p>
            <w:pPr>
              <w:ind w:left="160"/>
              <w:spacing w:after="0"/>
              <w:rPr>
                <w:sz w:val="20"/>
                <w:szCs w:val="20"/>
                <w:color w:val="auto"/>
              </w:rPr>
            </w:pPr>
            <w:r>
              <w:rPr>
                <w:rFonts w:ascii="Arial" w:cs="Arial" w:eastAsia="Arial" w:hAnsi="Arial"/>
                <w:sz w:val="16"/>
                <w:szCs w:val="16"/>
                <w:b w:val="1"/>
                <w:bCs w:val="1"/>
                <w:color w:val="00002F"/>
              </w:rPr>
              <w:t>Drilling and Completion Cost</w:t>
            </w:r>
          </w:p>
        </w:tc>
        <w:tc>
          <w:tcPr>
            <w:tcW w:w="140" w:type="dxa"/>
            <w:vAlign w:val="bottom"/>
            <w:tcBorders>
              <w:bottom w:val="single" w:sz="8" w:color="00002F"/>
            </w:tcBorders>
          </w:tcPr>
          <w:p>
            <w:pPr>
              <w:spacing w:after="0"/>
              <w:rPr>
                <w:sz w:val="24"/>
                <w:szCs w:val="24"/>
                <w:color w:val="auto"/>
              </w:rPr>
            </w:pPr>
          </w:p>
        </w:tc>
        <w:tc>
          <w:tcPr>
            <w:tcW w:w="3420" w:type="dxa"/>
            <w:vAlign w:val="bottom"/>
          </w:tcPr>
          <w:p>
            <w:pPr>
              <w:ind w:left="180"/>
              <w:spacing w:after="0"/>
              <w:rPr>
                <w:sz w:val="20"/>
                <w:szCs w:val="20"/>
                <w:color w:val="auto"/>
              </w:rPr>
            </w:pPr>
            <w:r>
              <w:rPr>
                <w:rFonts w:ascii="Arial" w:cs="Arial" w:eastAsia="Arial" w:hAnsi="Arial"/>
                <w:sz w:val="16"/>
                <w:szCs w:val="16"/>
                <w:b w:val="1"/>
                <w:bCs w:val="1"/>
                <w:color w:val="00002F"/>
              </w:rPr>
              <w:t>Estimated Ultimate Recoveries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60" w:type="dxa"/>
            <w:vAlign w:val="bottom"/>
          </w:tcPr>
          <w:p>
            <w:pPr>
              <w:spacing w:after="0"/>
              <w:rPr>
                <w:sz w:val="11"/>
                <w:szCs w:val="11"/>
                <w:color w:val="auto"/>
              </w:rPr>
            </w:pPr>
          </w:p>
        </w:tc>
        <w:tc>
          <w:tcPr>
            <w:tcW w:w="4420" w:type="dxa"/>
            <w:vAlign w:val="bottom"/>
            <w:vMerge w:val="restart"/>
          </w:tcPr>
          <w:p>
            <w:pPr>
              <w:ind w:left="160"/>
              <w:spacing w:after="0"/>
              <w:rPr>
                <w:sz w:val="20"/>
                <w:szCs w:val="20"/>
                <w:color w:val="auto"/>
              </w:rPr>
            </w:pPr>
            <w:r>
              <w:rPr>
                <w:rFonts w:ascii="Arial" w:cs="Arial" w:eastAsia="Arial" w:hAnsi="Arial"/>
                <w:sz w:val="16"/>
                <w:szCs w:val="16"/>
                <w:color w:val="00002F"/>
              </w:rPr>
              <w:t>($ per completed lateral foot)</w:t>
            </w:r>
          </w:p>
        </w:tc>
        <w:tc>
          <w:tcPr>
            <w:tcW w:w="140" w:type="dxa"/>
            <w:vAlign w:val="bottom"/>
            <w:shd w:val="clear" w:color="auto" w:fill="00002F"/>
          </w:tcPr>
          <w:p>
            <w:pPr>
              <w:spacing w:after="0"/>
              <w:rPr>
                <w:sz w:val="11"/>
                <w:szCs w:val="11"/>
                <w:color w:val="auto"/>
              </w:rPr>
            </w:pPr>
          </w:p>
        </w:tc>
        <w:tc>
          <w:tcPr>
            <w:tcW w:w="3420" w:type="dxa"/>
            <w:vAlign w:val="bottom"/>
            <w:vMerge w:val="restart"/>
          </w:tcPr>
          <w:p>
            <w:pPr>
              <w:ind w:left="180"/>
              <w:spacing w:after="0"/>
              <w:rPr>
                <w:sz w:val="20"/>
                <w:szCs w:val="20"/>
                <w:color w:val="auto"/>
              </w:rPr>
            </w:pPr>
            <w:r>
              <w:rPr>
                <w:rFonts w:ascii="Arial" w:cs="Arial" w:eastAsia="Arial" w:hAnsi="Arial"/>
                <w:sz w:val="16"/>
                <w:szCs w:val="16"/>
                <w:color w:val="00002F"/>
              </w:rPr>
              <w:t>(barrels of oil per completed lateral foot)</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44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34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00" w:right="140" w:hanging="161"/>
        <w:spacing w:after="0" w:line="341" w:lineRule="auto"/>
        <w:tabs>
          <w:tab w:leader="none" w:pos="197" w:val="left"/>
        </w:tabs>
        <w:numPr>
          <w:ilvl w:val="0"/>
          <w:numId w:val="2"/>
        </w:numPr>
        <w:rPr>
          <w:rFonts w:ascii="Arial" w:cs="Arial" w:eastAsia="Arial" w:hAnsi="Arial"/>
          <w:sz w:val="8"/>
          <w:szCs w:val="8"/>
          <w:color w:val="00002F"/>
        </w:rPr>
      </w:pPr>
      <w:r>
        <w:rPr>
          <w:rFonts w:ascii="Arial" w:cs="Arial" w:eastAsia="Arial" w:hAnsi="Arial"/>
          <w:sz w:val="14"/>
          <w:szCs w:val="14"/>
          <w:color w:val="00002F"/>
        </w:rPr>
        <w:t>Drilling and Completion Cost and average estimated ultimate oil recoveries based on actual well turn-in-line dates, excluding wells drilled by Ameredev or Advance and all vertical wells.</w:t>
      </w:r>
    </w:p>
    <w:p>
      <w:pPr>
        <w:ind w:left="200" w:hanging="161"/>
        <w:spacing w:after="0"/>
        <w:tabs>
          <w:tab w:leader="none" w:pos="200" w:val="left"/>
        </w:tabs>
        <w:numPr>
          <w:ilvl w:val="0"/>
          <w:numId w:val="2"/>
        </w:numPr>
        <w:rPr>
          <w:rFonts w:ascii="Arial" w:cs="Arial" w:eastAsia="Arial" w:hAnsi="Arial"/>
          <w:sz w:val="8"/>
          <w:szCs w:val="8"/>
          <w:color w:val="00002F"/>
        </w:rPr>
      </w:pPr>
      <w:r>
        <w:rPr>
          <w:rFonts w:ascii="Arial" w:cs="Arial" w:eastAsia="Arial" w:hAnsi="Arial"/>
          <w:sz w:val="14"/>
          <w:szCs w:val="14"/>
          <w:color w:val="00002F"/>
        </w:rPr>
        <w:t>At the midpoint of guidance of $785 to $805 per foot as provided on February 24, 2026. E = Estimated.</w:t>
      </w:r>
    </w:p>
    <w:p>
      <w:pPr>
        <w:sectPr>
          <w:pgSz w:w="11880" w:h="15480" w:orient="portrait"/>
          <w:cols w:equalWidth="0" w:num="1">
            <w:col w:w="10500"/>
          </w:cols>
          <w:pgMar w:left="880" w:top="20" w:right="500" w:bottom="70" w:gutter="0" w:footer="0" w:header="0"/>
          <w:type w:val="continuous"/>
        </w:sectPr>
      </w:pPr>
    </w:p>
    <w:bookmarkStart w:id="3" w:name="page4"/>
    <w:bookmarkEnd w:id="3"/>
    <w:p>
      <w:pPr>
        <w:spacing w:after="0"/>
        <w:rPr>
          <w:sz w:val="20"/>
          <w:szCs w:val="20"/>
          <w:color w:val="auto"/>
        </w:rPr>
      </w:pPr>
      <w:r>
        <w:rPr>
          <w:rFonts w:ascii="Arial" w:cs="Arial" w:eastAsia="Arial" w:hAnsi="Arial"/>
          <w:sz w:val="42"/>
          <w:szCs w:val="42"/>
          <w:b w:val="1"/>
          <w:bCs w:val="1"/>
          <w:color w:val="00002F"/>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A Foundation for 40 Years of Growth</w:t>
      </w:r>
    </w:p>
    <w:p>
      <w:pPr>
        <w:sectPr>
          <w:pgSz w:w="11880" w:h="15480" w:orient="portrait"/>
          <w:cols w:equalWidth="0" w:num="1">
            <w:col w:w="10260"/>
          </w:cols>
          <w:pgMar w:left="720" w:top="627" w:right="900" w:bottom="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660"/>
        <w:spacing w:after="0"/>
        <w:rPr>
          <w:sz w:val="20"/>
          <w:szCs w:val="20"/>
          <w:color w:val="auto"/>
        </w:rPr>
      </w:pPr>
      <w:r>
        <w:rPr>
          <w:rFonts w:ascii="Arial" w:cs="Arial" w:eastAsia="Arial" w:hAnsi="Arial"/>
          <w:sz w:val="52"/>
          <w:szCs w:val="52"/>
          <w:color w:val="3E7EAC"/>
        </w:rPr>
        <w:t>1983</w:t>
      </w:r>
    </w:p>
    <w:p>
      <w:pPr>
        <w:spacing w:after="0" w:line="41" w:lineRule="exact"/>
        <w:rPr>
          <w:sz w:val="20"/>
          <w:szCs w:val="20"/>
          <w:color w:val="auto"/>
        </w:rPr>
      </w:pPr>
    </w:p>
    <w:p>
      <w:pPr>
        <w:ind w:left="1620"/>
        <w:spacing w:after="0"/>
        <w:rPr>
          <w:sz w:val="20"/>
          <w:szCs w:val="20"/>
          <w:color w:val="auto"/>
        </w:rPr>
      </w:pPr>
      <w:r>
        <w:rPr>
          <w:rFonts w:ascii="Arial" w:cs="Arial" w:eastAsia="Arial" w:hAnsi="Arial"/>
          <w:sz w:val="27"/>
          <w:szCs w:val="27"/>
          <w:b w:val="1"/>
          <w:bCs w:val="1"/>
          <w:color w:val="00002F"/>
        </w:rPr>
        <w:t>Independent Beginnings</w:t>
      </w:r>
    </w:p>
    <w:p>
      <w:pPr>
        <w:spacing w:after="0" w:line="162" w:lineRule="exact"/>
        <w:rPr>
          <w:sz w:val="20"/>
          <w:szCs w:val="20"/>
          <w:color w:val="auto"/>
        </w:rPr>
      </w:pPr>
    </w:p>
    <w:p>
      <w:pPr>
        <w:jc w:val="right"/>
        <w:ind w:left="380" w:right="280"/>
        <w:spacing w:after="0" w:line="291" w:lineRule="auto"/>
        <w:rPr>
          <w:sz w:val="20"/>
          <w:szCs w:val="20"/>
          <w:color w:val="auto"/>
        </w:rPr>
      </w:pPr>
      <w:r>
        <w:rPr>
          <w:rFonts w:ascii="Arial" w:cs="Arial" w:eastAsia="Arial" w:hAnsi="Arial"/>
          <w:sz w:val="17"/>
          <w:szCs w:val="17"/>
          <w:color w:val="00002F"/>
        </w:rPr>
        <w:t xml:space="preserve">Joseph Wm. Foran begins his career as an </w:t>
      </w:r>
      <w:r>
        <w:rPr>
          <w:rFonts w:ascii="Arial" w:cs="Arial" w:eastAsia="Arial" w:hAnsi="Arial"/>
          <w:sz w:val="17"/>
          <w:szCs w:val="17"/>
          <w:b w:val="1"/>
          <w:bCs w:val="1"/>
          <w:color w:val="00002F"/>
        </w:rPr>
        <w:t>independent</w:t>
      </w:r>
      <w:r>
        <w:rPr>
          <w:rFonts w:ascii="Arial" w:cs="Arial" w:eastAsia="Arial" w:hAnsi="Arial"/>
          <w:sz w:val="17"/>
          <w:szCs w:val="17"/>
          <w:color w:val="00002F"/>
        </w:rPr>
        <w:t xml:space="preserve"> </w:t>
      </w:r>
      <w:r>
        <w:rPr>
          <w:rFonts w:ascii="Arial" w:cs="Arial" w:eastAsia="Arial" w:hAnsi="Arial"/>
          <w:sz w:val="17"/>
          <w:szCs w:val="17"/>
          <w:b w:val="1"/>
          <w:bCs w:val="1"/>
          <w:color w:val="00002F"/>
        </w:rPr>
        <w:t>oil and natural gas operator</w:t>
      </w:r>
      <w:r>
        <w:rPr>
          <w:rFonts w:ascii="Arial" w:cs="Arial" w:eastAsia="Arial" w:hAnsi="Arial"/>
          <w:sz w:val="17"/>
          <w:szCs w:val="17"/>
          <w:color w:val="00002F"/>
        </w:rPr>
        <w:t>, founding</w:t>
      </w:r>
      <w:r>
        <w:rPr>
          <w:rFonts w:ascii="Arial" w:cs="Arial" w:eastAsia="Arial" w:hAnsi="Arial"/>
          <w:sz w:val="17"/>
          <w:szCs w:val="17"/>
          <w:b w:val="1"/>
          <w:bCs w:val="1"/>
          <w:color w:val="00002F"/>
        </w:rPr>
        <w:t xml:space="preserve"> Foran Oil Company </w:t>
      </w:r>
      <w:r>
        <w:rPr>
          <w:rFonts w:ascii="Arial" w:cs="Arial" w:eastAsia="Arial" w:hAnsi="Arial"/>
          <w:sz w:val="17"/>
          <w:szCs w:val="17"/>
          <w:color w:val="00002F"/>
        </w:rPr>
        <w:t>with $270,000 in capital from family and</w:t>
      </w:r>
      <w:r>
        <w:rPr>
          <w:rFonts w:ascii="Arial" w:cs="Arial" w:eastAsia="Arial" w:hAnsi="Arial"/>
          <w:sz w:val="17"/>
          <w:szCs w:val="17"/>
          <w:b w:val="1"/>
          <w:bCs w:val="1"/>
          <w:color w:val="00002F"/>
        </w:rPr>
        <w:t xml:space="preserve"> </w:t>
      </w:r>
      <w:r>
        <w:rPr>
          <w:rFonts w:ascii="Arial" w:cs="Arial" w:eastAsia="Arial" w:hAnsi="Arial"/>
          <w:sz w:val="17"/>
          <w:szCs w:val="17"/>
          <w:color w:val="00002F"/>
        </w:rPr>
        <w:t>friends and laying the entrepreneurial foundation that would shape Matador’s future.</w:t>
      </w:r>
    </w:p>
    <w:p>
      <w:pPr>
        <w:spacing w:after="0" w:line="200" w:lineRule="exact"/>
        <w:rPr>
          <w:sz w:val="20"/>
          <w:szCs w:val="20"/>
          <w:color w:val="auto"/>
        </w:rPr>
      </w:pPr>
    </w:p>
    <w:p>
      <w:pPr>
        <w:spacing w:after="0" w:line="356" w:lineRule="exact"/>
        <w:rPr>
          <w:sz w:val="20"/>
          <w:szCs w:val="20"/>
          <w:color w:val="auto"/>
        </w:rPr>
      </w:pPr>
    </w:p>
    <w:p>
      <w:pPr>
        <w:ind w:left="3480"/>
        <w:spacing w:after="0"/>
        <w:rPr>
          <w:sz w:val="20"/>
          <w:szCs w:val="20"/>
          <w:color w:val="auto"/>
        </w:rPr>
      </w:pPr>
      <w:r>
        <w:rPr>
          <w:rFonts w:ascii="Arial" w:cs="Arial" w:eastAsia="Arial" w:hAnsi="Arial"/>
          <w:sz w:val="52"/>
          <w:szCs w:val="52"/>
          <w:color w:val="3E7EAC"/>
        </w:rPr>
        <w:t>2003</w:t>
      </w:r>
    </w:p>
    <w:p>
      <w:pPr>
        <w:spacing w:after="0" w:line="41" w:lineRule="exact"/>
        <w:rPr>
          <w:sz w:val="20"/>
          <w:szCs w:val="20"/>
          <w:color w:val="auto"/>
        </w:rPr>
      </w:pPr>
    </w:p>
    <w:p>
      <w:pPr>
        <w:jc w:val="right"/>
        <w:ind w:right="280"/>
        <w:spacing w:after="0"/>
        <w:rPr>
          <w:sz w:val="20"/>
          <w:szCs w:val="20"/>
          <w:color w:val="auto"/>
        </w:rPr>
      </w:pPr>
      <w:r>
        <w:rPr>
          <w:rFonts w:ascii="Arial" w:cs="Arial" w:eastAsia="Arial" w:hAnsi="Arial"/>
          <w:sz w:val="28"/>
          <w:szCs w:val="28"/>
          <w:b w:val="1"/>
          <w:bCs w:val="1"/>
          <w:color w:val="00002F"/>
        </w:rPr>
        <w:t>Successful Exit</w:t>
      </w:r>
    </w:p>
    <w:p>
      <w:pPr>
        <w:spacing w:after="0" w:line="150" w:lineRule="exact"/>
        <w:rPr>
          <w:sz w:val="20"/>
          <w:szCs w:val="20"/>
          <w:color w:val="auto"/>
        </w:rPr>
      </w:pPr>
    </w:p>
    <w:p>
      <w:pPr>
        <w:jc w:val="right"/>
        <w:ind w:left="480" w:right="280"/>
        <w:spacing w:after="0" w:line="287" w:lineRule="auto"/>
        <w:rPr>
          <w:sz w:val="20"/>
          <w:szCs w:val="20"/>
          <w:color w:val="auto"/>
        </w:rPr>
      </w:pPr>
      <w:r>
        <w:rPr>
          <w:rFonts w:ascii="Arial" w:cs="Arial" w:eastAsia="Arial" w:hAnsi="Arial"/>
          <w:sz w:val="17"/>
          <w:szCs w:val="17"/>
          <w:color w:val="00002F"/>
        </w:rPr>
        <w:t xml:space="preserve">Matador Petroleum Corporation is sold to </w:t>
      </w:r>
      <w:r>
        <w:rPr>
          <w:rFonts w:ascii="Arial" w:cs="Arial" w:eastAsia="Arial" w:hAnsi="Arial"/>
          <w:sz w:val="17"/>
          <w:szCs w:val="17"/>
          <w:b w:val="1"/>
          <w:bCs w:val="1"/>
          <w:color w:val="00002F"/>
        </w:rPr>
        <w:t>Tom Brown,</w:t>
      </w:r>
      <w:r>
        <w:rPr>
          <w:rFonts w:ascii="Arial" w:cs="Arial" w:eastAsia="Arial" w:hAnsi="Arial"/>
          <w:sz w:val="17"/>
          <w:szCs w:val="17"/>
          <w:color w:val="00002F"/>
        </w:rPr>
        <w:t xml:space="preserve"> </w:t>
      </w:r>
      <w:r>
        <w:rPr>
          <w:rFonts w:ascii="Arial" w:cs="Arial" w:eastAsia="Arial" w:hAnsi="Arial"/>
          <w:sz w:val="17"/>
          <w:szCs w:val="17"/>
          <w:b w:val="1"/>
          <w:bCs w:val="1"/>
          <w:color w:val="00002F"/>
        </w:rPr>
        <w:t>Inc</w:t>
      </w:r>
      <w:r>
        <w:rPr>
          <w:rFonts w:ascii="Arial" w:cs="Arial" w:eastAsia="Arial" w:hAnsi="Arial"/>
          <w:sz w:val="17"/>
          <w:szCs w:val="17"/>
          <w:color w:val="00002F"/>
        </w:rPr>
        <w:t>. in an all-cash transaction valued at approximately</w:t>
      </w:r>
      <w:r>
        <w:rPr>
          <w:rFonts w:ascii="Arial" w:cs="Arial" w:eastAsia="Arial" w:hAnsi="Arial"/>
          <w:sz w:val="17"/>
          <w:szCs w:val="17"/>
          <w:b w:val="1"/>
          <w:bCs w:val="1"/>
          <w:color w:val="00002F"/>
        </w:rPr>
        <w:t xml:space="preserve"> $388.5 million</w:t>
      </w:r>
      <w:r>
        <w:rPr>
          <w:rFonts w:ascii="Arial" w:cs="Arial" w:eastAsia="Arial" w:hAnsi="Arial"/>
          <w:sz w:val="17"/>
          <w:szCs w:val="17"/>
          <w:color w:val="00002F"/>
        </w:rPr>
        <w:t>, paving the way for the formation of</w:t>
      </w:r>
      <w:r>
        <w:rPr>
          <w:rFonts w:ascii="Arial" w:cs="Arial" w:eastAsia="Arial" w:hAnsi="Arial"/>
          <w:sz w:val="17"/>
          <w:szCs w:val="17"/>
          <w:b w:val="1"/>
          <w:bCs w:val="1"/>
          <w:color w:val="00002F"/>
        </w:rPr>
        <w:t xml:space="preserve"> </w:t>
      </w:r>
      <w:r>
        <w:rPr>
          <w:rFonts w:ascii="Arial" w:cs="Arial" w:eastAsia="Arial" w:hAnsi="Arial"/>
          <w:sz w:val="17"/>
          <w:szCs w:val="17"/>
          <w:color w:val="00002F"/>
        </w:rPr>
        <w:t>Matador Resources Company later that year. Original shareholder cost basis of $0.89 per share and sold for $13.85 per share to Tom Brown.</w:t>
      </w:r>
    </w:p>
    <w:p>
      <w:pPr>
        <w:spacing w:after="0" w:line="200" w:lineRule="exact"/>
        <w:rPr>
          <w:sz w:val="20"/>
          <w:szCs w:val="20"/>
          <w:color w:val="auto"/>
        </w:rPr>
      </w:pPr>
    </w:p>
    <w:p>
      <w:pPr>
        <w:spacing w:after="0" w:line="352" w:lineRule="exact"/>
        <w:rPr>
          <w:sz w:val="20"/>
          <w:szCs w:val="20"/>
          <w:color w:val="auto"/>
        </w:rPr>
      </w:pPr>
    </w:p>
    <w:p>
      <w:pPr>
        <w:ind w:left="3640"/>
        <w:spacing w:after="0"/>
        <w:rPr>
          <w:sz w:val="20"/>
          <w:szCs w:val="20"/>
          <w:color w:val="auto"/>
        </w:rPr>
      </w:pPr>
      <w:r>
        <w:rPr>
          <w:rFonts w:ascii="Arial" w:cs="Arial" w:eastAsia="Arial" w:hAnsi="Arial"/>
          <w:sz w:val="52"/>
          <w:szCs w:val="52"/>
          <w:color w:val="3E7EAC"/>
        </w:rPr>
        <w:t>2012</w:t>
      </w:r>
    </w:p>
    <w:p>
      <w:pPr>
        <w:spacing w:after="0" w:line="41" w:lineRule="exact"/>
        <w:rPr>
          <w:sz w:val="20"/>
          <w:szCs w:val="20"/>
          <w:color w:val="auto"/>
        </w:rPr>
      </w:pPr>
    </w:p>
    <w:p>
      <w:pPr>
        <w:jc w:val="right"/>
        <w:ind w:right="260"/>
        <w:spacing w:after="0"/>
        <w:rPr>
          <w:sz w:val="20"/>
          <w:szCs w:val="20"/>
          <w:color w:val="auto"/>
        </w:rPr>
      </w:pPr>
      <w:r>
        <w:rPr>
          <w:rFonts w:ascii="Arial" w:cs="Arial" w:eastAsia="Arial" w:hAnsi="Arial"/>
          <w:sz w:val="28"/>
          <w:szCs w:val="28"/>
          <w:b w:val="1"/>
          <w:bCs w:val="1"/>
          <w:color w:val="00002F"/>
        </w:rPr>
        <w:t>NYSE Listing</w:t>
      </w:r>
    </w:p>
    <w:p>
      <w:pPr>
        <w:spacing w:after="0" w:line="154" w:lineRule="exact"/>
        <w:rPr>
          <w:sz w:val="20"/>
          <w:szCs w:val="20"/>
          <w:color w:val="auto"/>
        </w:rPr>
      </w:pPr>
    </w:p>
    <w:p>
      <w:pPr>
        <w:jc w:val="right"/>
        <w:ind w:left="80" w:right="260"/>
        <w:spacing w:after="0" w:line="290" w:lineRule="auto"/>
        <w:rPr>
          <w:sz w:val="20"/>
          <w:szCs w:val="20"/>
          <w:color w:val="auto"/>
        </w:rPr>
      </w:pPr>
      <w:r>
        <w:rPr>
          <w:rFonts w:ascii="Arial" w:cs="Arial" w:eastAsia="Arial" w:hAnsi="Arial"/>
          <w:sz w:val="17"/>
          <w:szCs w:val="17"/>
          <w:color w:val="00002F"/>
        </w:rPr>
        <w:t xml:space="preserve">Matador Resources Company begins trading on the </w:t>
      </w:r>
      <w:r>
        <w:rPr>
          <w:rFonts w:ascii="Arial" w:cs="Arial" w:eastAsia="Arial" w:hAnsi="Arial"/>
          <w:sz w:val="17"/>
          <w:szCs w:val="17"/>
          <w:b w:val="1"/>
          <w:bCs w:val="1"/>
          <w:color w:val="00002F"/>
        </w:rPr>
        <w:t>New York Stock Exchange (MTDR)</w:t>
      </w:r>
      <w:r>
        <w:rPr>
          <w:rFonts w:ascii="Arial" w:cs="Arial" w:eastAsia="Arial" w:hAnsi="Arial"/>
          <w:sz w:val="17"/>
          <w:szCs w:val="17"/>
          <w:color w:val="00002F"/>
        </w:rPr>
        <w:t>, marking an important</w:t>
      </w:r>
      <w:r>
        <w:rPr>
          <w:rFonts w:ascii="Arial" w:cs="Arial" w:eastAsia="Arial" w:hAnsi="Arial"/>
          <w:sz w:val="17"/>
          <w:szCs w:val="17"/>
          <w:b w:val="1"/>
          <w:bCs w:val="1"/>
          <w:color w:val="00002F"/>
        </w:rPr>
        <w:t xml:space="preserve"> </w:t>
      </w:r>
      <w:r>
        <w:rPr>
          <w:rFonts w:ascii="Arial" w:cs="Arial" w:eastAsia="Arial" w:hAnsi="Arial"/>
          <w:sz w:val="17"/>
          <w:szCs w:val="17"/>
          <w:color w:val="00002F"/>
        </w:rPr>
        <w:t xml:space="preserve">milestone in the company’s growth and expanding access to public capital markets. </w:t>
      </w:r>
      <w:r>
        <w:rPr>
          <w:rFonts w:ascii="Arial" w:cs="Arial" w:eastAsia="Arial" w:hAnsi="Arial"/>
          <w:sz w:val="17"/>
          <w:szCs w:val="17"/>
          <w:b w:val="1"/>
          <w:bCs w:val="1"/>
          <w:color w:val="00002F"/>
        </w:rPr>
        <w:t>Stock price growth</w:t>
      </w:r>
      <w:r>
        <w:rPr>
          <w:rFonts w:ascii="Arial" w:cs="Arial" w:eastAsia="Arial" w:hAnsi="Arial"/>
          <w:sz w:val="17"/>
          <w:szCs w:val="17"/>
          <w:color w:val="00002F"/>
        </w:rPr>
        <w:t xml:space="preserve"> from $12.00 per share at the IPO compared to $65.45 per share today. </w:t>
      </w:r>
      <w:r>
        <w:rPr>
          <w:rFonts w:ascii="Arial" w:cs="Arial" w:eastAsia="Arial" w:hAnsi="Arial"/>
          <w:sz w:val="9"/>
          <w:szCs w:val="9"/>
          <w:color w:val="00002F"/>
        </w:rPr>
        <w:t>(1)</w:t>
      </w:r>
    </w:p>
    <w:p>
      <w:pPr>
        <w:spacing w:after="0" w:line="200" w:lineRule="exact"/>
        <w:rPr>
          <w:sz w:val="20"/>
          <w:szCs w:val="20"/>
          <w:color w:val="auto"/>
        </w:rPr>
      </w:pPr>
    </w:p>
    <w:p>
      <w:pPr>
        <w:spacing w:after="0" w:line="353" w:lineRule="exact"/>
        <w:rPr>
          <w:sz w:val="20"/>
          <w:szCs w:val="20"/>
          <w:color w:val="auto"/>
        </w:rPr>
      </w:pPr>
    </w:p>
    <w:p>
      <w:pPr>
        <w:ind w:left="3660"/>
        <w:spacing w:after="0"/>
        <w:rPr>
          <w:sz w:val="20"/>
          <w:szCs w:val="20"/>
          <w:color w:val="auto"/>
        </w:rPr>
      </w:pPr>
      <w:r>
        <w:rPr>
          <w:rFonts w:ascii="Arial" w:cs="Arial" w:eastAsia="Arial" w:hAnsi="Arial"/>
          <w:sz w:val="52"/>
          <w:szCs w:val="52"/>
          <w:color w:val="3E7EAC"/>
        </w:rPr>
        <w:t>2017</w:t>
      </w:r>
    </w:p>
    <w:p>
      <w:pPr>
        <w:spacing w:after="0" w:line="41" w:lineRule="exact"/>
        <w:rPr>
          <w:sz w:val="20"/>
          <w:szCs w:val="20"/>
          <w:color w:val="auto"/>
        </w:rPr>
      </w:pPr>
    </w:p>
    <w:p>
      <w:pPr>
        <w:jc w:val="center"/>
        <w:ind w:left="660"/>
        <w:spacing w:after="0"/>
        <w:rPr>
          <w:sz w:val="20"/>
          <w:szCs w:val="20"/>
          <w:color w:val="auto"/>
        </w:rPr>
      </w:pPr>
      <w:r>
        <w:rPr>
          <w:rFonts w:ascii="Arial" w:cs="Arial" w:eastAsia="Arial" w:hAnsi="Arial"/>
          <w:sz w:val="28"/>
          <w:szCs w:val="28"/>
          <w:b w:val="1"/>
          <w:bCs w:val="1"/>
          <w:color w:val="00002F"/>
        </w:rPr>
        <w:t>San Mateo Midstream Formed</w:t>
      </w:r>
    </w:p>
    <w:p>
      <w:pPr>
        <w:spacing w:after="0" w:line="150" w:lineRule="exact"/>
        <w:rPr>
          <w:sz w:val="20"/>
          <w:szCs w:val="20"/>
          <w:color w:val="auto"/>
        </w:rPr>
      </w:pPr>
    </w:p>
    <w:p>
      <w:pPr>
        <w:jc w:val="right"/>
        <w:ind w:left="160" w:right="260"/>
        <w:spacing w:after="0" w:line="271" w:lineRule="auto"/>
        <w:rPr>
          <w:sz w:val="20"/>
          <w:szCs w:val="20"/>
          <w:color w:val="auto"/>
        </w:rPr>
      </w:pPr>
      <w:r>
        <w:rPr>
          <w:rFonts w:ascii="Arial" w:cs="Arial" w:eastAsia="Arial" w:hAnsi="Arial"/>
          <w:sz w:val="17"/>
          <w:szCs w:val="17"/>
          <w:color w:val="00002F"/>
        </w:rPr>
        <w:t xml:space="preserve">Matador forms San Mateo Midstream, </w:t>
      </w:r>
      <w:r>
        <w:rPr>
          <w:rFonts w:ascii="Arial" w:cs="Arial" w:eastAsia="Arial" w:hAnsi="Arial"/>
          <w:sz w:val="17"/>
          <w:szCs w:val="17"/>
          <w:b w:val="1"/>
          <w:bCs w:val="1"/>
          <w:color w:val="00002F"/>
        </w:rPr>
        <w:t>a joint venture</w:t>
      </w:r>
      <w:r>
        <w:rPr>
          <w:rFonts w:ascii="Arial" w:cs="Arial" w:eastAsia="Arial" w:hAnsi="Arial"/>
          <w:sz w:val="17"/>
          <w:szCs w:val="17"/>
          <w:color w:val="00002F"/>
        </w:rPr>
        <w:t xml:space="preserve"> designed to develop natural gas gathering, processing and water infrastructure to support the company’s </w:t>
      </w:r>
      <w:r>
        <w:rPr>
          <w:rFonts w:ascii="Arial" w:cs="Arial" w:eastAsia="Arial" w:hAnsi="Arial"/>
          <w:sz w:val="17"/>
          <w:szCs w:val="17"/>
          <w:b w:val="1"/>
          <w:bCs w:val="1"/>
          <w:color w:val="00002F"/>
        </w:rPr>
        <w:t>growing</w:t>
      </w:r>
      <w:r>
        <w:rPr>
          <w:rFonts w:ascii="Arial" w:cs="Arial" w:eastAsia="Arial" w:hAnsi="Arial"/>
          <w:sz w:val="17"/>
          <w:szCs w:val="17"/>
          <w:color w:val="00002F"/>
        </w:rPr>
        <w:t xml:space="preserve"> </w:t>
      </w:r>
      <w:r>
        <w:rPr>
          <w:rFonts w:ascii="Arial" w:cs="Arial" w:eastAsia="Arial" w:hAnsi="Arial"/>
          <w:sz w:val="17"/>
          <w:szCs w:val="17"/>
          <w:b w:val="1"/>
          <w:bCs w:val="1"/>
          <w:color w:val="00002F"/>
        </w:rPr>
        <w:t>Delaware Basin operations</w:t>
      </w:r>
      <w:r>
        <w:rPr>
          <w:rFonts w:ascii="Arial" w:cs="Arial" w:eastAsia="Arial" w:hAnsi="Arial"/>
          <w:sz w:val="17"/>
          <w:szCs w:val="17"/>
          <w:color w:val="00002F"/>
        </w:rPr>
        <w:t>. Started at approximately</w:t>
      </w:r>
      <w:r>
        <w:rPr>
          <w:rFonts w:ascii="Arial" w:cs="Arial" w:eastAsia="Arial" w:hAnsi="Arial"/>
          <w:sz w:val="17"/>
          <w:szCs w:val="17"/>
          <w:b w:val="1"/>
          <w:bCs w:val="1"/>
          <w:color w:val="00002F"/>
        </w:rPr>
        <w:t xml:space="preserve"> </w:t>
      </w:r>
      <w:r>
        <w:rPr>
          <w:rFonts w:ascii="Arial" w:cs="Arial" w:eastAsia="Arial" w:hAnsi="Arial"/>
          <w:sz w:val="17"/>
          <w:szCs w:val="17"/>
          <w:color w:val="00002F"/>
        </w:rPr>
        <w:t>48 miles of three-stream pipelines in 2017 to approximately</w:t>
      </w:r>
    </w:p>
    <w:p>
      <w:pPr>
        <w:ind w:left="1520" w:hanging="326"/>
        <w:spacing w:after="0"/>
        <w:tabs>
          <w:tab w:leader="none" w:pos="1520" w:val="left"/>
        </w:tabs>
        <w:numPr>
          <w:ilvl w:val="1"/>
          <w:numId w:val="3"/>
        </w:numPr>
        <w:rPr>
          <w:rFonts w:ascii="Arial" w:cs="Arial" w:eastAsia="Arial" w:hAnsi="Arial"/>
          <w:sz w:val="17"/>
          <w:szCs w:val="17"/>
          <w:color w:val="00002F"/>
        </w:rPr>
      </w:pPr>
      <w:r>
        <w:rPr>
          <w:rFonts w:ascii="Arial" w:cs="Arial" w:eastAsia="Arial" w:hAnsi="Arial"/>
          <w:sz w:val="17"/>
          <w:szCs w:val="17"/>
          <w:color w:val="00002F"/>
        </w:rPr>
        <w:t xml:space="preserve">miles of three-stream pipelines in 2025. </w:t>
      </w:r>
      <w:r>
        <w:rPr>
          <w:rFonts w:ascii="Arial" w:cs="Arial" w:eastAsia="Arial" w:hAnsi="Arial"/>
          <w:sz w:val="9"/>
          <w:szCs w:val="9"/>
          <w:color w:val="00002F"/>
        </w:rPr>
        <w:t>(3)</w:t>
      </w:r>
    </w:p>
    <w:p>
      <w:pPr>
        <w:spacing w:after="0" w:line="200" w:lineRule="exact"/>
        <w:rPr>
          <w:rFonts w:ascii="Arial" w:cs="Arial" w:eastAsia="Arial" w:hAnsi="Arial"/>
          <w:sz w:val="17"/>
          <w:szCs w:val="17"/>
          <w:color w:val="00002F"/>
        </w:rPr>
      </w:pPr>
    </w:p>
    <w:p>
      <w:pPr>
        <w:spacing w:after="0" w:line="200" w:lineRule="exact"/>
        <w:rPr>
          <w:rFonts w:ascii="Arial" w:cs="Arial" w:eastAsia="Arial" w:hAnsi="Arial"/>
          <w:sz w:val="17"/>
          <w:szCs w:val="17"/>
          <w:color w:val="00002F"/>
        </w:rPr>
      </w:pPr>
    </w:p>
    <w:p>
      <w:pPr>
        <w:spacing w:after="0" w:line="200" w:lineRule="exact"/>
        <w:rPr>
          <w:rFonts w:ascii="Arial" w:cs="Arial" w:eastAsia="Arial" w:hAnsi="Arial"/>
          <w:sz w:val="17"/>
          <w:szCs w:val="17"/>
          <w:color w:val="00002F"/>
        </w:rPr>
      </w:pPr>
    </w:p>
    <w:p>
      <w:pPr>
        <w:spacing w:after="0" w:line="245" w:lineRule="exact"/>
        <w:rPr>
          <w:rFonts w:ascii="Arial" w:cs="Arial" w:eastAsia="Arial" w:hAnsi="Arial"/>
          <w:sz w:val="17"/>
          <w:szCs w:val="17"/>
          <w:color w:val="00002F"/>
        </w:rPr>
      </w:pPr>
    </w:p>
    <w:p>
      <w:pPr>
        <w:ind w:left="240" w:hanging="166"/>
        <w:spacing w:after="0"/>
        <w:tabs>
          <w:tab w:leader="none" w:pos="240" w:val="left"/>
        </w:tabs>
        <w:numPr>
          <w:ilvl w:val="0"/>
          <w:numId w:val="4"/>
        </w:numPr>
        <w:rPr>
          <w:rFonts w:ascii="Arial" w:cs="Arial" w:eastAsia="Arial" w:hAnsi="Arial"/>
          <w:sz w:val="8"/>
          <w:szCs w:val="8"/>
          <w:color w:val="00002F"/>
        </w:rPr>
      </w:pPr>
      <w:r>
        <w:rPr>
          <w:rFonts w:ascii="Arial" w:cs="Arial" w:eastAsia="Arial" w:hAnsi="Arial"/>
          <w:sz w:val="14"/>
          <w:szCs w:val="14"/>
          <w:color w:val="00002F"/>
        </w:rPr>
        <w:t>As of market close on March 27, 2026.</w:t>
      </w:r>
    </w:p>
    <w:p>
      <w:pPr>
        <w:spacing w:after="0" w:line="27" w:lineRule="exact"/>
        <w:rPr>
          <w:rFonts w:ascii="Arial" w:cs="Arial" w:eastAsia="Arial" w:hAnsi="Arial"/>
          <w:sz w:val="8"/>
          <w:szCs w:val="8"/>
          <w:color w:val="00002F"/>
        </w:rPr>
      </w:pPr>
    </w:p>
    <w:p>
      <w:pPr>
        <w:ind w:left="240" w:hanging="166"/>
        <w:spacing w:after="0"/>
        <w:tabs>
          <w:tab w:leader="none" w:pos="240" w:val="left"/>
        </w:tabs>
        <w:numPr>
          <w:ilvl w:val="0"/>
          <w:numId w:val="4"/>
        </w:numPr>
        <w:rPr>
          <w:rFonts w:ascii="Arial" w:cs="Arial" w:eastAsia="Arial" w:hAnsi="Arial"/>
          <w:sz w:val="8"/>
          <w:szCs w:val="8"/>
          <w:color w:val="00002F"/>
        </w:rPr>
      </w:pPr>
      <w:r>
        <w:rPr>
          <w:rFonts w:ascii="Arial" w:cs="Arial" w:eastAsia="Arial" w:hAnsi="Arial"/>
          <w:sz w:val="14"/>
          <w:szCs w:val="14"/>
          <w:color w:val="00002F"/>
        </w:rPr>
        <w:t>Note: Stated production represents the annual average for 2025.</w:t>
      </w:r>
    </w:p>
    <w:p>
      <w:pPr>
        <w:spacing w:after="0" w:line="27" w:lineRule="exact"/>
        <w:rPr>
          <w:rFonts w:ascii="Arial" w:cs="Arial" w:eastAsia="Arial" w:hAnsi="Arial"/>
          <w:sz w:val="8"/>
          <w:szCs w:val="8"/>
          <w:color w:val="00002F"/>
        </w:rPr>
      </w:pPr>
    </w:p>
    <w:p>
      <w:pPr>
        <w:ind w:left="240" w:hanging="166"/>
        <w:spacing w:after="0"/>
        <w:tabs>
          <w:tab w:leader="none" w:pos="240" w:val="left"/>
        </w:tabs>
        <w:numPr>
          <w:ilvl w:val="0"/>
          <w:numId w:val="4"/>
        </w:numPr>
        <w:rPr>
          <w:rFonts w:ascii="Arial" w:cs="Arial" w:eastAsia="Arial" w:hAnsi="Arial"/>
          <w:sz w:val="8"/>
          <w:szCs w:val="8"/>
          <w:color w:val="00002F"/>
        </w:rPr>
      </w:pPr>
      <w:r>
        <w:rPr>
          <w:rFonts w:ascii="Arial" w:cs="Arial" w:eastAsia="Arial" w:hAnsi="Arial"/>
          <w:sz w:val="14"/>
          <w:szCs w:val="14"/>
          <w:color w:val="00002F"/>
        </w:rPr>
        <w:t>As of year end on December 31, 2025.</w:t>
      </w:r>
    </w:p>
    <w:p>
      <w:pPr>
        <w:spacing w:after="0" w:line="27" w:lineRule="exact"/>
        <w:rPr>
          <w:rFonts w:ascii="Arial" w:cs="Arial" w:eastAsia="Arial" w:hAnsi="Arial"/>
          <w:sz w:val="8"/>
          <w:szCs w:val="8"/>
          <w:color w:val="00002F"/>
        </w:rPr>
      </w:pPr>
    </w:p>
    <w:p>
      <w:pPr>
        <w:ind w:left="240" w:right="140" w:hanging="166"/>
        <w:spacing w:after="0" w:line="330" w:lineRule="auto"/>
        <w:tabs>
          <w:tab w:leader="none" w:pos="233" w:val="left"/>
        </w:tabs>
        <w:numPr>
          <w:ilvl w:val="0"/>
          <w:numId w:val="4"/>
        </w:numPr>
        <w:rPr>
          <w:rFonts w:ascii="Arial" w:cs="Arial" w:eastAsia="Arial" w:hAnsi="Arial"/>
          <w:sz w:val="8"/>
          <w:szCs w:val="8"/>
          <w:color w:val="00002F"/>
        </w:rPr>
      </w:pPr>
      <w:r>
        <w:rPr>
          <w:rFonts w:ascii="Arial" w:cs="Arial" w:eastAsia="Arial" w:hAnsi="Arial"/>
          <w:sz w:val="14"/>
          <w:szCs w:val="14"/>
          <w:color w:val="00002F"/>
        </w:rPr>
        <w:t>YE 2025 SEC Pricing: $61.82 per barrel of oil and $3.387 per MMBtu of natural gas. $8.2 billion PV-10 as of December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rPr>
          <w:sz w:val="20"/>
          <w:szCs w:val="20"/>
          <w:color w:val="auto"/>
        </w:rPr>
      </w:pPr>
      <w:r>
        <w:rPr>
          <w:rFonts w:ascii="Arial" w:cs="Arial" w:eastAsia="Arial" w:hAnsi="Arial"/>
          <w:sz w:val="52"/>
          <w:szCs w:val="52"/>
          <w:color w:val="3E7EAC"/>
        </w:rPr>
        <w:t>1988</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8"/>
          <w:szCs w:val="28"/>
          <w:b w:val="1"/>
          <w:bCs w:val="1"/>
          <w:color w:val="00002F"/>
        </w:rPr>
        <w:t>Matador Petroleum Formed</w:t>
      </w:r>
    </w:p>
    <w:p>
      <w:pPr>
        <w:spacing w:after="0" w:line="20" w:lineRule="exact"/>
        <w:rPr>
          <w:sz w:val="20"/>
          <w:szCs w:val="20"/>
          <w:color w:val="auto"/>
        </w:rPr>
      </w:pPr>
    </w:p>
    <w:p>
      <w:pPr>
        <w:spacing w:after="0" w:line="130" w:lineRule="exact"/>
        <w:rPr>
          <w:sz w:val="20"/>
          <w:szCs w:val="20"/>
          <w:color w:val="auto"/>
        </w:rPr>
      </w:pPr>
    </w:p>
    <w:p>
      <w:pPr>
        <w:ind w:left="40" w:right="500"/>
        <w:spacing w:after="0" w:line="287" w:lineRule="auto"/>
        <w:rPr>
          <w:sz w:val="20"/>
          <w:szCs w:val="20"/>
          <w:color w:val="auto"/>
        </w:rPr>
      </w:pPr>
      <w:r>
        <w:rPr>
          <w:rFonts w:ascii="Arial" w:cs="Arial" w:eastAsia="Arial" w:hAnsi="Arial"/>
          <w:sz w:val="17"/>
          <w:szCs w:val="17"/>
          <w:color w:val="00002F"/>
        </w:rPr>
        <w:t xml:space="preserve">Foran Oil Company becomes part of </w:t>
      </w:r>
      <w:r>
        <w:rPr>
          <w:rFonts w:ascii="Arial" w:cs="Arial" w:eastAsia="Arial" w:hAnsi="Arial"/>
          <w:sz w:val="17"/>
          <w:szCs w:val="17"/>
          <w:b w:val="1"/>
          <w:bCs w:val="1"/>
          <w:color w:val="00002F"/>
        </w:rPr>
        <w:t>Matador</w:t>
      </w:r>
      <w:r>
        <w:rPr>
          <w:rFonts w:ascii="Arial" w:cs="Arial" w:eastAsia="Arial" w:hAnsi="Arial"/>
          <w:sz w:val="17"/>
          <w:szCs w:val="17"/>
          <w:color w:val="00002F"/>
        </w:rPr>
        <w:t xml:space="preserve"> </w:t>
      </w:r>
      <w:r>
        <w:rPr>
          <w:rFonts w:ascii="Arial" w:cs="Arial" w:eastAsia="Arial" w:hAnsi="Arial"/>
          <w:sz w:val="17"/>
          <w:szCs w:val="17"/>
          <w:b w:val="1"/>
          <w:bCs w:val="1"/>
          <w:color w:val="00002F"/>
        </w:rPr>
        <w:t>Petroleum Corporation</w:t>
      </w:r>
      <w:r>
        <w:rPr>
          <w:rFonts w:ascii="Arial" w:cs="Arial" w:eastAsia="Arial" w:hAnsi="Arial"/>
          <w:sz w:val="17"/>
          <w:szCs w:val="17"/>
          <w:color w:val="00002F"/>
        </w:rPr>
        <w:t>, where Joseph Wm. Foran</w:t>
      </w:r>
      <w:r>
        <w:rPr>
          <w:rFonts w:ascii="Arial" w:cs="Arial" w:eastAsia="Arial" w:hAnsi="Arial"/>
          <w:sz w:val="17"/>
          <w:szCs w:val="17"/>
          <w:b w:val="1"/>
          <w:bCs w:val="1"/>
          <w:color w:val="00002F"/>
        </w:rPr>
        <w:t xml:space="preserve"> </w:t>
      </w:r>
      <w:r>
        <w:rPr>
          <w:rFonts w:ascii="Arial" w:cs="Arial" w:eastAsia="Arial" w:hAnsi="Arial"/>
          <w:sz w:val="17"/>
          <w:szCs w:val="17"/>
          <w:color w:val="00002F"/>
        </w:rPr>
        <w:t xml:space="preserve">serves as Chairman and Chief Executive Officer and leads the development of a </w:t>
      </w:r>
      <w:r>
        <w:rPr>
          <w:rFonts w:ascii="Arial" w:cs="Arial" w:eastAsia="Arial" w:hAnsi="Arial"/>
          <w:sz w:val="17"/>
          <w:szCs w:val="17"/>
          <w:b w:val="1"/>
          <w:bCs w:val="1"/>
          <w:color w:val="00002F"/>
        </w:rPr>
        <w:t>growing independent</w:t>
      </w:r>
      <w:r>
        <w:rPr>
          <w:rFonts w:ascii="Arial" w:cs="Arial" w:eastAsia="Arial" w:hAnsi="Arial"/>
          <w:sz w:val="17"/>
          <w:szCs w:val="17"/>
          <w:color w:val="00002F"/>
        </w:rPr>
        <w:t xml:space="preserve"> </w:t>
      </w:r>
      <w:r>
        <w:rPr>
          <w:rFonts w:ascii="Arial" w:cs="Arial" w:eastAsia="Arial" w:hAnsi="Arial"/>
          <w:sz w:val="17"/>
          <w:szCs w:val="17"/>
          <w:b w:val="1"/>
          <w:bCs w:val="1"/>
          <w:color w:val="00002F"/>
        </w:rPr>
        <w:t>energy company</w:t>
      </w:r>
      <w:r>
        <w:rPr>
          <w:rFonts w:ascii="Arial" w:cs="Arial" w:eastAsia="Arial" w:hAnsi="Arial"/>
          <w:sz w:val="17"/>
          <w:szCs w:val="17"/>
          <w:color w:val="00002F"/>
        </w:rPr>
        <w:t>. Other founders include a number</w:t>
      </w:r>
      <w:r>
        <w:rPr>
          <w:rFonts w:ascii="Arial" w:cs="Arial" w:eastAsia="Arial" w:hAnsi="Arial"/>
          <w:sz w:val="17"/>
          <w:szCs w:val="17"/>
          <w:b w:val="1"/>
          <w:bCs w:val="1"/>
          <w:color w:val="00002F"/>
        </w:rPr>
        <w:t xml:space="preserve"> </w:t>
      </w:r>
      <w:r>
        <w:rPr>
          <w:rFonts w:ascii="Arial" w:cs="Arial" w:eastAsia="Arial" w:hAnsi="Arial"/>
          <w:sz w:val="17"/>
          <w:szCs w:val="17"/>
          <w:color w:val="00002F"/>
        </w:rPr>
        <w:t>of senior executives from major oil companies.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52"/>
          <w:szCs w:val="52"/>
          <w:color w:val="3E7EAC"/>
        </w:rPr>
        <w:t>2003</w:t>
      </w:r>
    </w:p>
    <w:p>
      <w:pPr>
        <w:spacing w:after="0" w:line="41" w:lineRule="exact"/>
        <w:rPr>
          <w:sz w:val="20"/>
          <w:szCs w:val="20"/>
          <w:color w:val="auto"/>
        </w:rPr>
      </w:pPr>
    </w:p>
    <w:p>
      <w:pPr>
        <w:spacing w:after="0"/>
        <w:rPr>
          <w:sz w:val="20"/>
          <w:szCs w:val="20"/>
          <w:color w:val="auto"/>
        </w:rPr>
      </w:pPr>
      <w:r>
        <w:rPr>
          <w:rFonts w:ascii="Arial" w:cs="Arial" w:eastAsia="Arial" w:hAnsi="Arial"/>
          <w:sz w:val="28"/>
          <w:szCs w:val="28"/>
          <w:b w:val="1"/>
          <w:bCs w:val="1"/>
          <w:color w:val="00002F"/>
        </w:rPr>
        <w:t>Matador Resources Founded</w:t>
      </w:r>
    </w:p>
    <w:p>
      <w:pPr>
        <w:spacing w:after="0" w:line="154" w:lineRule="exact"/>
        <w:rPr>
          <w:sz w:val="20"/>
          <w:szCs w:val="20"/>
          <w:color w:val="auto"/>
        </w:rPr>
      </w:pPr>
    </w:p>
    <w:p>
      <w:pPr>
        <w:ind w:right="220"/>
        <w:spacing w:after="0" w:line="303" w:lineRule="auto"/>
        <w:rPr>
          <w:sz w:val="20"/>
          <w:szCs w:val="20"/>
          <w:color w:val="auto"/>
        </w:rPr>
      </w:pPr>
      <w:r>
        <w:rPr>
          <w:rFonts w:ascii="Arial" w:cs="Arial" w:eastAsia="Arial" w:hAnsi="Arial"/>
          <w:sz w:val="17"/>
          <w:szCs w:val="17"/>
          <w:color w:val="00002F"/>
        </w:rPr>
        <w:t xml:space="preserve">Following the successful sale of Matador Petroleum, Joseph Wm. Foran and Scott E. King establish </w:t>
      </w:r>
      <w:r>
        <w:rPr>
          <w:rFonts w:ascii="Arial" w:cs="Arial" w:eastAsia="Arial" w:hAnsi="Arial"/>
          <w:sz w:val="17"/>
          <w:szCs w:val="17"/>
          <w:b w:val="1"/>
          <w:bCs w:val="1"/>
          <w:color w:val="00002F"/>
        </w:rPr>
        <w:t>Matador</w:t>
      </w:r>
      <w:r>
        <w:rPr>
          <w:rFonts w:ascii="Arial" w:cs="Arial" w:eastAsia="Arial" w:hAnsi="Arial"/>
          <w:sz w:val="17"/>
          <w:szCs w:val="17"/>
          <w:color w:val="00002F"/>
        </w:rPr>
        <w:t xml:space="preserve"> </w:t>
      </w:r>
      <w:r>
        <w:rPr>
          <w:rFonts w:ascii="Arial" w:cs="Arial" w:eastAsia="Arial" w:hAnsi="Arial"/>
          <w:sz w:val="17"/>
          <w:szCs w:val="17"/>
          <w:b w:val="1"/>
          <w:bCs w:val="1"/>
          <w:color w:val="00002F"/>
        </w:rPr>
        <w:t>Resources Company</w:t>
      </w:r>
      <w:r>
        <w:rPr>
          <w:rFonts w:ascii="Arial" w:cs="Arial" w:eastAsia="Arial" w:hAnsi="Arial"/>
          <w:sz w:val="17"/>
          <w:szCs w:val="17"/>
          <w:color w:val="00002F"/>
        </w:rPr>
        <w:t>, supported by</w:t>
      </w:r>
      <w:r>
        <w:rPr>
          <w:rFonts w:ascii="Arial" w:cs="Arial" w:eastAsia="Arial" w:hAnsi="Arial"/>
          <w:sz w:val="17"/>
          <w:szCs w:val="17"/>
          <w:b w:val="1"/>
          <w:bCs w:val="1"/>
          <w:color w:val="00002F"/>
        </w:rPr>
        <w:t xml:space="preserve"> $52.8 million </w:t>
      </w:r>
      <w:r>
        <w:rPr>
          <w:rFonts w:ascii="Arial" w:cs="Arial" w:eastAsia="Arial" w:hAnsi="Arial"/>
          <w:sz w:val="17"/>
          <w:szCs w:val="17"/>
          <w:color w:val="00002F"/>
        </w:rPr>
        <w:t>in</w:t>
      </w:r>
      <w:r>
        <w:rPr>
          <w:rFonts w:ascii="Arial" w:cs="Arial" w:eastAsia="Arial" w:hAnsi="Arial"/>
          <w:sz w:val="17"/>
          <w:szCs w:val="17"/>
          <w:b w:val="1"/>
          <w:bCs w:val="1"/>
          <w:color w:val="00002F"/>
        </w:rPr>
        <w:t xml:space="preserve"> initial capital </w:t>
      </w:r>
      <w:r>
        <w:rPr>
          <w:rFonts w:ascii="Arial" w:cs="Arial" w:eastAsia="Arial" w:hAnsi="Arial"/>
          <w:sz w:val="17"/>
          <w:szCs w:val="17"/>
          <w:color w:val="00002F"/>
        </w:rPr>
        <w:t>from institutional and individual investors.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52"/>
          <w:szCs w:val="52"/>
          <w:color w:val="3E7EAC"/>
        </w:rPr>
        <w:t>2015</w:t>
      </w:r>
    </w:p>
    <w:p>
      <w:pPr>
        <w:spacing w:after="0" w:line="41" w:lineRule="exact"/>
        <w:rPr>
          <w:sz w:val="20"/>
          <w:szCs w:val="20"/>
          <w:color w:val="auto"/>
        </w:rPr>
      </w:pPr>
    </w:p>
    <w:p>
      <w:pPr>
        <w:spacing w:after="0"/>
        <w:rPr>
          <w:sz w:val="20"/>
          <w:szCs w:val="20"/>
          <w:color w:val="auto"/>
        </w:rPr>
      </w:pPr>
      <w:r>
        <w:rPr>
          <w:rFonts w:ascii="Arial" w:cs="Arial" w:eastAsia="Arial" w:hAnsi="Arial"/>
          <w:sz w:val="28"/>
          <w:szCs w:val="28"/>
          <w:b w:val="1"/>
          <w:bCs w:val="1"/>
          <w:color w:val="00002F"/>
        </w:rPr>
        <w:t>Delaware Basin Expansion</w:t>
      </w:r>
    </w:p>
    <w:p>
      <w:pPr>
        <w:spacing w:after="0" w:line="154" w:lineRule="exact"/>
        <w:rPr>
          <w:sz w:val="20"/>
          <w:szCs w:val="20"/>
          <w:color w:val="auto"/>
        </w:rPr>
      </w:pPr>
    </w:p>
    <w:p>
      <w:pPr>
        <w:spacing w:after="0" w:line="290" w:lineRule="auto"/>
        <w:rPr>
          <w:sz w:val="20"/>
          <w:szCs w:val="20"/>
          <w:color w:val="auto"/>
        </w:rPr>
      </w:pPr>
      <w:r>
        <w:rPr>
          <w:rFonts w:ascii="Arial" w:cs="Arial" w:eastAsia="Arial" w:hAnsi="Arial"/>
          <w:sz w:val="17"/>
          <w:szCs w:val="17"/>
          <w:color w:val="00002F"/>
        </w:rPr>
        <w:t xml:space="preserve">Matador drills first in the Haynesville in Louisiana and then expands its position in the Delaware Basin, establishing </w:t>
      </w:r>
      <w:r>
        <w:rPr>
          <w:rFonts w:ascii="Arial" w:cs="Arial" w:eastAsia="Arial" w:hAnsi="Arial"/>
          <w:sz w:val="17"/>
          <w:szCs w:val="17"/>
          <w:b w:val="1"/>
          <w:bCs w:val="1"/>
          <w:color w:val="00002F"/>
        </w:rPr>
        <w:t>a</w:t>
      </w:r>
      <w:r>
        <w:rPr>
          <w:rFonts w:ascii="Arial" w:cs="Arial" w:eastAsia="Arial" w:hAnsi="Arial"/>
          <w:sz w:val="17"/>
          <w:szCs w:val="17"/>
          <w:color w:val="00002F"/>
        </w:rPr>
        <w:t xml:space="preserve"> </w:t>
      </w:r>
      <w:r>
        <w:rPr>
          <w:rFonts w:ascii="Arial" w:cs="Arial" w:eastAsia="Arial" w:hAnsi="Arial"/>
          <w:sz w:val="17"/>
          <w:szCs w:val="17"/>
          <w:b w:val="1"/>
          <w:bCs w:val="1"/>
          <w:color w:val="00002F"/>
        </w:rPr>
        <w:t xml:space="preserve">core operating presence </w:t>
      </w:r>
      <w:r>
        <w:rPr>
          <w:rFonts w:ascii="Arial" w:cs="Arial" w:eastAsia="Arial" w:hAnsi="Arial"/>
          <w:sz w:val="17"/>
          <w:szCs w:val="17"/>
          <w:color w:val="00002F"/>
        </w:rPr>
        <w:t>in one of North America’s most</w:t>
      </w:r>
      <w:r>
        <w:rPr>
          <w:rFonts w:ascii="Arial" w:cs="Arial" w:eastAsia="Arial" w:hAnsi="Arial"/>
          <w:sz w:val="17"/>
          <w:szCs w:val="17"/>
          <w:b w:val="1"/>
          <w:bCs w:val="1"/>
          <w:color w:val="00002F"/>
        </w:rPr>
        <w:t xml:space="preserve"> </w:t>
      </w:r>
      <w:r>
        <w:rPr>
          <w:rFonts w:ascii="Arial" w:cs="Arial" w:eastAsia="Arial" w:hAnsi="Arial"/>
          <w:sz w:val="17"/>
          <w:szCs w:val="17"/>
          <w:color w:val="00002F"/>
        </w:rPr>
        <w:t xml:space="preserve">prolific oil and natural gas regions. Production growth from 9,000 BOE/d in 2012 to 207,070 BOE/d in 2025. </w:t>
      </w:r>
      <w:r>
        <w:rPr>
          <w:rFonts w:ascii="Arial" w:cs="Arial" w:eastAsia="Arial" w:hAnsi="Arial"/>
          <w:sz w:val="9"/>
          <w:szCs w:val="9"/>
          <w:color w:val="00002F"/>
        </w:rPr>
        <w:t>(2)</w:t>
      </w: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52"/>
          <w:szCs w:val="52"/>
          <w:color w:val="3E7EAC"/>
        </w:rPr>
        <w:t>2025</w:t>
      </w:r>
    </w:p>
    <w:p>
      <w:pPr>
        <w:spacing w:after="0" w:line="41" w:lineRule="exact"/>
        <w:rPr>
          <w:sz w:val="20"/>
          <w:szCs w:val="20"/>
          <w:color w:val="auto"/>
        </w:rPr>
      </w:pPr>
    </w:p>
    <w:p>
      <w:pPr>
        <w:ind w:left="20" w:right="340"/>
        <w:spacing w:after="0" w:line="255" w:lineRule="auto"/>
        <w:rPr>
          <w:sz w:val="20"/>
          <w:szCs w:val="20"/>
          <w:color w:val="auto"/>
        </w:rPr>
      </w:pPr>
      <w:r>
        <w:rPr>
          <w:rFonts w:ascii="Arial" w:cs="Arial" w:eastAsia="Arial" w:hAnsi="Arial"/>
          <w:sz w:val="28"/>
          <w:szCs w:val="28"/>
          <w:b w:val="1"/>
          <w:bCs w:val="1"/>
          <w:color w:val="00002F"/>
        </w:rPr>
        <w:t>Record Production and Free Cash Flow Generation</w:t>
      </w:r>
    </w:p>
    <w:p>
      <w:pPr>
        <w:spacing w:after="0" w:line="108" w:lineRule="exact"/>
        <w:rPr>
          <w:sz w:val="20"/>
          <w:szCs w:val="20"/>
          <w:color w:val="auto"/>
        </w:rPr>
      </w:pPr>
    </w:p>
    <w:p>
      <w:pPr>
        <w:jc w:val="both"/>
        <w:ind w:left="20" w:right="780"/>
        <w:spacing w:after="0" w:line="271" w:lineRule="auto"/>
        <w:rPr>
          <w:sz w:val="20"/>
          <w:szCs w:val="20"/>
          <w:color w:val="auto"/>
        </w:rPr>
      </w:pPr>
      <w:r>
        <w:rPr>
          <w:rFonts w:ascii="Arial" w:cs="Arial" w:eastAsia="Arial" w:hAnsi="Arial"/>
          <w:sz w:val="17"/>
          <w:szCs w:val="17"/>
          <w:color w:val="00002F"/>
        </w:rPr>
        <w:t xml:space="preserve">Matador achieves </w:t>
      </w:r>
      <w:r>
        <w:rPr>
          <w:rFonts w:ascii="Arial" w:cs="Arial" w:eastAsia="Arial" w:hAnsi="Arial"/>
          <w:sz w:val="17"/>
          <w:szCs w:val="17"/>
          <w:b w:val="1"/>
          <w:bCs w:val="1"/>
          <w:color w:val="00002F"/>
        </w:rPr>
        <w:t>record production levels</w:t>
      </w:r>
      <w:r>
        <w:rPr>
          <w:rFonts w:ascii="Arial" w:cs="Arial" w:eastAsia="Arial" w:hAnsi="Arial"/>
          <w:sz w:val="17"/>
          <w:szCs w:val="17"/>
          <w:color w:val="00002F"/>
        </w:rPr>
        <w:t xml:space="preserve"> and </w:t>
      </w:r>
      <w:r>
        <w:rPr>
          <w:rFonts w:ascii="Arial" w:cs="Arial" w:eastAsia="Arial" w:hAnsi="Arial"/>
          <w:sz w:val="17"/>
          <w:szCs w:val="17"/>
          <w:b w:val="1"/>
          <w:bCs w:val="1"/>
          <w:color w:val="00002F"/>
        </w:rPr>
        <w:t xml:space="preserve">generated $437.0 million </w:t>
      </w:r>
      <w:r>
        <w:rPr>
          <w:rFonts w:ascii="Arial" w:cs="Arial" w:eastAsia="Arial" w:hAnsi="Arial"/>
          <w:sz w:val="17"/>
          <w:szCs w:val="17"/>
          <w:color w:val="00002F"/>
        </w:rPr>
        <w:t>in free cash flow with</w:t>
      </w:r>
      <w:r>
        <w:rPr>
          <w:rFonts w:ascii="Arial" w:cs="Arial" w:eastAsia="Arial" w:hAnsi="Arial"/>
          <w:sz w:val="17"/>
          <w:szCs w:val="17"/>
          <w:b w:val="1"/>
          <w:bCs w:val="1"/>
          <w:color w:val="00002F"/>
        </w:rPr>
        <w:t xml:space="preserve"> </w:t>
      </w:r>
      <w:r>
        <w:rPr>
          <w:rFonts w:ascii="Arial" w:cs="Arial" w:eastAsia="Arial" w:hAnsi="Arial"/>
          <w:sz w:val="17"/>
          <w:szCs w:val="17"/>
          <w:color w:val="00002F"/>
        </w:rPr>
        <w:t>shareholder returns through dividends and share repurchases. Matador has current reserves of</w:t>
      </w:r>
    </w:p>
    <w:p>
      <w:pPr>
        <w:spacing w:after="0" w:line="1" w:lineRule="exact"/>
        <w:rPr>
          <w:sz w:val="20"/>
          <w:szCs w:val="20"/>
          <w:color w:val="auto"/>
        </w:rPr>
      </w:pPr>
    </w:p>
    <w:p>
      <w:pPr>
        <w:ind w:left="20" w:right="840"/>
        <w:spacing w:after="0" w:line="352" w:lineRule="auto"/>
        <w:rPr>
          <w:sz w:val="20"/>
          <w:szCs w:val="20"/>
          <w:color w:val="auto"/>
        </w:rPr>
      </w:pPr>
      <w:r>
        <w:rPr>
          <w:rFonts w:ascii="Arial" w:cs="Arial" w:eastAsia="Arial" w:hAnsi="Arial"/>
          <w:sz w:val="17"/>
          <w:szCs w:val="17"/>
          <w:color w:val="00002F"/>
        </w:rPr>
        <w:t xml:space="preserve">667 million BOE, a 9% increase from 2024, and a replacement ratio of over 170% in 2025. </w:t>
      </w:r>
      <w:r>
        <w:rPr>
          <w:rFonts w:ascii="Arial" w:cs="Arial" w:eastAsia="Arial" w:hAnsi="Arial"/>
          <w:sz w:val="9"/>
          <w:szCs w:val="9"/>
          <w:color w:val="00002F"/>
        </w:rPr>
        <w:t>(4)</w:t>
      </w:r>
    </w:p>
    <w:p>
      <w:pPr>
        <w:sectPr>
          <w:pgSz w:w="11880" w:h="15480" w:orient="portrait"/>
          <w:cols w:equalWidth="0" w:num="2">
            <w:col w:w="4980" w:space="720"/>
            <w:col w:w="4560"/>
          </w:cols>
          <w:pgMar w:left="720" w:top="627" w:right="900" w:bottom="25" w:gutter="0" w:footer="0" w:header="0"/>
          <w:type w:val="continuous"/>
        </w:sectPr>
      </w:pPr>
    </w:p>
    <w:bookmarkStart w:id="4" w:name="page5"/>
    <w:bookmarkEnd w:id="4"/>
    <w:p>
      <w:pPr>
        <w:ind w:left="280"/>
        <w:spacing w:after="0"/>
        <w:rPr>
          <w:sz w:val="20"/>
          <w:szCs w:val="20"/>
          <w:color w:val="auto"/>
        </w:rPr>
      </w:pPr>
      <w:r>
        <w:rPr>
          <w:rFonts w:ascii="Arial" w:cs="Arial" w:eastAsia="Arial" w:hAnsi="Arial"/>
          <w:sz w:val="54"/>
          <w:szCs w:val="54"/>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Awards/Mentions:</w:t>
      </w:r>
    </w:p>
    <w:p>
      <w:pPr>
        <w:sectPr>
          <w:pgSz w:w="11880" w:h="15480" w:orient="portrait"/>
          <w:cols w:equalWidth="0" w:num="1">
            <w:col w:w="10660"/>
          </w:cols>
          <w:pgMar w:left="440" w:top="517" w:right="780" w:bottom="144" w:gutter="0" w:footer="0" w:header="0"/>
        </w:sectPr>
      </w:pPr>
    </w:p>
    <w:p>
      <w:pPr>
        <w:spacing w:after="0" w:line="200" w:lineRule="exact"/>
        <w:rPr>
          <w:sz w:val="20"/>
          <w:szCs w:val="20"/>
          <w:color w:val="auto"/>
        </w:rPr>
      </w:pPr>
    </w:p>
    <w:p>
      <w:pPr>
        <w:spacing w:after="0" w:line="253" w:lineRule="exact"/>
        <w:rPr>
          <w:sz w:val="20"/>
          <w:szCs w:val="20"/>
          <w:color w:val="auto"/>
        </w:rPr>
      </w:pPr>
    </w:p>
    <w:tbl>
      <w:tblPr>
        <w:tblLayout w:type="fixed"/>
        <w:tblInd w:w="2620" w:type="dxa"/>
        <w:tblCellMar>
          <w:top w:w="0" w:type="dxa"/>
          <w:left w:w="0" w:type="dxa"/>
          <w:bottom w:w="0" w:type="dxa"/>
          <w:right w:w="0" w:type="dxa"/>
        </w:tblCellMar>
      </w:tblPr>
      <w:tr>
        <w:trPr>
          <w:trHeight w:val="195"/>
        </w:trPr>
        <w:tc>
          <w:tcPr>
            <w:tcW w:w="520" w:type="dxa"/>
            <w:vAlign w:val="bottom"/>
          </w:tcPr>
          <w:p>
            <w:pPr>
              <w:jc w:val="center"/>
              <w:ind w:right="77"/>
              <w:spacing w:after="0"/>
              <w:rPr>
                <w:sz w:val="20"/>
                <w:szCs w:val="20"/>
                <w:color w:val="auto"/>
              </w:rPr>
            </w:pPr>
            <w:r>
              <w:rPr>
                <w:rFonts w:ascii="Arial" w:cs="Arial" w:eastAsia="Arial" w:hAnsi="Arial"/>
                <w:sz w:val="17"/>
                <w:szCs w:val="17"/>
                <w:color w:val="FFFFFF"/>
              </w:rPr>
              <w:t>No#</w:t>
            </w:r>
          </w:p>
        </w:tc>
        <w:tc>
          <w:tcPr>
            <w:tcW w:w="2880" w:type="dxa"/>
            <w:vAlign w:val="bottom"/>
          </w:tcPr>
          <w:p>
            <w:pPr>
              <w:ind w:left="160"/>
              <w:spacing w:after="0"/>
              <w:rPr>
                <w:sz w:val="20"/>
                <w:szCs w:val="20"/>
                <w:color w:val="auto"/>
              </w:rPr>
            </w:pPr>
            <w:r>
              <w:rPr>
                <w:rFonts w:ascii="Arial" w:cs="Arial" w:eastAsia="Arial" w:hAnsi="Arial"/>
                <w:sz w:val="14"/>
                <w:szCs w:val="14"/>
                <w:color w:val="FFFFFF"/>
              </w:rPr>
              <w:t xml:space="preserve">Named one </w:t>
            </w:r>
            <w:r>
              <w:rPr>
                <w:rFonts w:ascii="Arial" w:cs="Arial" w:eastAsia="Arial" w:hAnsi="Arial"/>
                <w:sz w:val="14"/>
                <w:szCs w:val="14"/>
                <w:i w:val="1"/>
                <w:iCs w:val="1"/>
                <w:color w:val="FFFFFF"/>
              </w:rPr>
              <w:t>of The Dallas Morning News</w:t>
            </w:r>
            <w:r>
              <w:rPr>
                <w:rFonts w:ascii="Arial" w:cs="Arial" w:eastAsia="Arial" w:hAnsi="Arial"/>
                <w:sz w:val="14"/>
                <w:szCs w:val="14"/>
                <w:color w:val="FFFFFF"/>
              </w:rPr>
              <w:t xml:space="preserve"> ’</w:t>
            </w:r>
          </w:p>
        </w:tc>
        <w:tc>
          <w:tcPr>
            <w:tcW w:w="0" w:type="dxa"/>
            <w:vAlign w:val="bottom"/>
          </w:tcPr>
          <w:p>
            <w:pPr>
              <w:spacing w:after="0"/>
              <w:rPr>
                <w:sz w:val="1"/>
                <w:szCs w:val="1"/>
                <w:color w:val="auto"/>
              </w:rPr>
            </w:pPr>
          </w:p>
        </w:tc>
      </w:tr>
      <w:tr>
        <w:trPr>
          <w:trHeight w:val="180"/>
        </w:trPr>
        <w:tc>
          <w:tcPr>
            <w:tcW w:w="520" w:type="dxa"/>
            <w:vAlign w:val="bottom"/>
            <w:vMerge w:val="restart"/>
          </w:tcPr>
          <w:p>
            <w:pPr>
              <w:jc w:val="right"/>
              <w:ind w:right="117"/>
              <w:spacing w:after="0"/>
              <w:rPr>
                <w:sz w:val="20"/>
                <w:szCs w:val="20"/>
                <w:color w:val="auto"/>
              </w:rPr>
            </w:pPr>
            <w:r>
              <w:rPr>
                <w:rFonts w:ascii="Arial" w:cs="Arial" w:eastAsia="Arial" w:hAnsi="Arial"/>
                <w:sz w:val="24"/>
                <w:szCs w:val="24"/>
                <w:b w:val="1"/>
                <w:bCs w:val="1"/>
                <w:color w:val="00002F"/>
              </w:rPr>
              <w:t>36</w:t>
            </w:r>
          </w:p>
        </w:tc>
        <w:tc>
          <w:tcPr>
            <w:tcW w:w="2880" w:type="dxa"/>
            <w:vAlign w:val="bottom"/>
          </w:tcPr>
          <w:p>
            <w:pPr>
              <w:ind w:left="160"/>
              <w:spacing w:after="0"/>
              <w:rPr>
                <w:sz w:val="20"/>
                <w:szCs w:val="20"/>
                <w:color w:val="auto"/>
              </w:rPr>
            </w:pPr>
            <w:r>
              <w:rPr>
                <w:rFonts w:ascii="Arial" w:cs="Arial" w:eastAsia="Arial" w:hAnsi="Arial"/>
                <w:sz w:val="14"/>
                <w:szCs w:val="14"/>
                <w:color w:val="FFFFFF"/>
              </w:rPr>
              <w:t xml:space="preserve">2025 Top 150 DFW Public Companies </w:t>
            </w:r>
            <w:r>
              <w:rPr>
                <w:rFonts w:ascii="Arial" w:cs="Arial" w:eastAsia="Arial" w:hAnsi="Arial"/>
                <w:sz w:val="8"/>
                <w:szCs w:val="8"/>
                <w:color w:val="FFFFFF"/>
              </w:rPr>
              <w:t>(1)</w:t>
            </w:r>
          </w:p>
        </w:tc>
        <w:tc>
          <w:tcPr>
            <w:tcW w:w="0" w:type="dxa"/>
            <w:vAlign w:val="bottom"/>
          </w:tcPr>
          <w:p>
            <w:pPr>
              <w:spacing w:after="0"/>
              <w:rPr>
                <w:sz w:val="1"/>
                <w:szCs w:val="1"/>
                <w:color w:val="auto"/>
              </w:rPr>
            </w:pPr>
          </w:p>
        </w:tc>
      </w:tr>
      <w:tr>
        <w:trPr>
          <w:trHeight w:val="180"/>
        </w:trPr>
        <w:tc>
          <w:tcPr>
            <w:tcW w:w="520" w:type="dxa"/>
            <w:vAlign w:val="bottom"/>
            <w:vMerge w:val="continue"/>
          </w:tcPr>
          <w:p>
            <w:pPr>
              <w:spacing w:after="0"/>
              <w:rPr>
                <w:sz w:val="15"/>
                <w:szCs w:val="15"/>
                <w:color w:val="auto"/>
              </w:rPr>
            </w:pPr>
          </w:p>
        </w:tc>
        <w:tc>
          <w:tcPr>
            <w:tcW w:w="2880" w:type="dxa"/>
            <w:vAlign w:val="bottom"/>
          </w:tcPr>
          <w:p>
            <w:pPr>
              <w:ind w:left="160"/>
              <w:spacing w:after="0"/>
              <w:rPr>
                <w:sz w:val="20"/>
                <w:szCs w:val="20"/>
                <w:color w:val="auto"/>
              </w:rPr>
            </w:pPr>
            <w:r>
              <w:rPr>
                <w:rFonts w:ascii="Arial" w:cs="Arial" w:eastAsia="Arial" w:hAnsi="Arial"/>
                <w:sz w:val="14"/>
                <w:szCs w:val="14"/>
                <w:color w:val="FFFFFF"/>
              </w:rPr>
              <w:t>and #1 across all industries in profitability</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2880" w:type="dxa"/>
            <w:vAlign w:val="bottom"/>
          </w:tcPr>
          <w:p>
            <w:pPr>
              <w:ind w:left="160"/>
              <w:spacing w:after="0"/>
              <w:rPr>
                <w:sz w:val="20"/>
                <w:szCs w:val="20"/>
                <w:color w:val="auto"/>
              </w:rPr>
            </w:pPr>
            <w:r>
              <w:rPr>
                <w:rFonts w:ascii="Arial" w:cs="Arial" w:eastAsia="Arial" w:hAnsi="Arial"/>
                <w:sz w:val="14"/>
                <w:szCs w:val="14"/>
                <w:color w:val="FFFFFF"/>
              </w:rPr>
              <w:t>per employee.</w:t>
            </w: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460" w:hanging="161"/>
        <w:spacing w:after="0"/>
        <w:tabs>
          <w:tab w:leader="none" w:pos="460" w:val="left"/>
        </w:tabs>
        <w:numPr>
          <w:ilvl w:val="0"/>
          <w:numId w:val="5"/>
        </w:numPr>
        <w:rPr>
          <w:rFonts w:ascii="Arial" w:cs="Arial" w:eastAsia="Arial" w:hAnsi="Arial"/>
          <w:sz w:val="8"/>
          <w:szCs w:val="8"/>
          <w:color w:val="FFFFFF"/>
        </w:rPr>
      </w:pPr>
      <w:r>
        <w:rPr>
          <w:rFonts w:ascii="Arial" w:cs="Arial" w:eastAsia="Arial" w:hAnsi="Arial"/>
          <w:sz w:val="14"/>
          <w:szCs w:val="14"/>
          <w:color w:val="FFFFFF"/>
        </w:rPr>
        <w:t xml:space="preserve">Source: </w:t>
      </w:r>
      <w:r>
        <w:rPr>
          <w:rFonts w:ascii="Arial" w:cs="Arial" w:eastAsia="Arial" w:hAnsi="Arial"/>
          <w:sz w:val="14"/>
          <w:szCs w:val="14"/>
          <w:i w:val="1"/>
          <w:iCs w:val="1"/>
          <w:color w:val="FFFFFF"/>
        </w:rPr>
        <w:t>The Dallas Morning News</w:t>
      </w:r>
      <w:r>
        <w:rPr>
          <w:rFonts w:ascii="Arial" w:cs="Arial" w:eastAsia="Arial" w:hAnsi="Arial"/>
          <w:sz w:val="14"/>
          <w:szCs w:val="14"/>
          <w:color w:val="FFFFFF"/>
        </w:rPr>
        <w:t xml:space="preserve"> article published on October 5,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ind w:right="100"/>
        <w:spacing w:after="0" w:line="299" w:lineRule="auto"/>
        <w:rPr>
          <w:sz w:val="20"/>
          <w:szCs w:val="20"/>
          <w:color w:val="auto"/>
        </w:rPr>
      </w:pPr>
      <w:r>
        <w:rPr>
          <w:rFonts w:ascii="Arial" w:cs="Arial" w:eastAsia="Arial" w:hAnsi="Arial"/>
          <w:sz w:val="14"/>
          <w:szCs w:val="14"/>
          <w:color w:val="FFFFFF"/>
        </w:rPr>
        <w:t>Nominated Best Buy-Side Management, Best Innovation in Shareholder Communications and Best Retail IR Strategy for 2025</w:t>
      </w:r>
    </w:p>
    <w:p>
      <w:pPr>
        <w:spacing w:after="0" w:line="559" w:lineRule="exact"/>
        <w:rPr>
          <w:sz w:val="20"/>
          <w:szCs w:val="20"/>
          <w:color w:val="auto"/>
        </w:rPr>
      </w:pPr>
    </w:p>
    <w:p>
      <w:pPr>
        <w:sectPr>
          <w:pgSz w:w="11880" w:h="15480" w:orient="portrait"/>
          <w:cols w:equalWidth="0" w:num="2">
            <w:col w:w="7600" w:space="720"/>
            <w:col w:w="2340"/>
          </w:cols>
          <w:pgMar w:left="440" w:top="517" w:right="780" w:bottom="144" w:gutter="0" w:footer="0" w:header="0"/>
          <w:type w:val="continuous"/>
        </w:sectPr>
      </w:pPr>
    </w:p>
    <w:p>
      <w:pPr>
        <w:ind w:left="280" w:right="400" w:firstLine="8"/>
        <w:spacing w:after="0" w:line="390" w:lineRule="auto"/>
        <w:rPr>
          <w:sz w:val="20"/>
          <w:szCs w:val="20"/>
          <w:color w:val="auto"/>
        </w:rPr>
      </w:pPr>
      <w:r>
        <w:rPr>
          <w:rFonts w:ascii="Arial" w:cs="Arial" w:eastAsia="Arial" w:hAnsi="Arial"/>
          <w:sz w:val="14"/>
          <w:szCs w:val="14"/>
          <w:color w:val="FFFFFF"/>
        </w:rPr>
        <w:t xml:space="preserve">Note: Revenue per employee is calculated using total 2024 full-year revenue and the employee count as of year-end 2024 and is compared to the top 50 companies listed in </w:t>
      </w:r>
      <w:r>
        <w:rPr>
          <w:rFonts w:ascii="Arial" w:cs="Arial" w:eastAsia="Arial" w:hAnsi="Arial"/>
          <w:sz w:val="14"/>
          <w:szCs w:val="14"/>
          <w:i w:val="1"/>
          <w:iCs w:val="1"/>
          <w:color w:val="FFFFFF"/>
        </w:rPr>
        <w:t>The Dallas Morning News</w:t>
      </w:r>
      <w:r>
        <w:rPr>
          <w:rFonts w:ascii="Arial" w:cs="Arial" w:eastAsia="Arial" w:hAnsi="Arial"/>
          <w:sz w:val="14"/>
          <w:szCs w:val="14"/>
          <w:color w:val="FFFFFF"/>
        </w:rPr>
        <w:t xml:space="preserve"> article.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40"/>
          <w:szCs w:val="40"/>
          <w:b w:val="1"/>
          <w:bCs w:val="1"/>
          <w:color w:val="FFFFFF"/>
        </w:rPr>
        <w:t>Employee Spotlights</w:t>
      </w:r>
    </w:p>
    <w:p>
      <w:pPr>
        <w:sectPr>
          <w:pgSz w:w="11880" w:h="15480" w:orient="portrait"/>
          <w:cols w:equalWidth="0" w:num="1">
            <w:col w:w="10660"/>
          </w:cols>
          <w:pgMar w:left="440" w:top="517" w:right="780" w:bottom="1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i w:val="1"/>
          <w:iCs w:val="1"/>
          <w:color w:val="FFFFFF"/>
        </w:rPr>
        <w:t>MaxCom, our 24/7 geosteering and drilling optimization center</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ind w:left="500"/>
        <w:spacing w:after="0"/>
        <w:rPr>
          <w:sz w:val="20"/>
          <w:szCs w:val="20"/>
          <w:color w:val="auto"/>
        </w:rPr>
      </w:pPr>
      <w:r>
        <w:rPr>
          <w:rFonts w:ascii="Arial" w:cs="Arial" w:eastAsia="Arial" w:hAnsi="Arial"/>
          <w:sz w:val="41"/>
          <w:szCs w:val="41"/>
          <w:color w:val="FFFFFF"/>
        </w:rPr>
        <w:t>95%</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48"/>
          <w:szCs w:val="48"/>
          <w:color w:val="FFFFFF"/>
        </w:rPr>
        <w:t>405</w:t>
      </w:r>
    </w:p>
    <w:p>
      <w:pPr>
        <w:spacing w:after="0" w:line="327" w:lineRule="exact"/>
        <w:rPr>
          <w:sz w:val="20"/>
          <w:szCs w:val="20"/>
          <w:color w:val="auto"/>
        </w:rPr>
      </w:pPr>
    </w:p>
    <w:p>
      <w:pPr>
        <w:jc w:val="right"/>
        <w:spacing w:after="0"/>
        <w:rPr>
          <w:sz w:val="20"/>
          <w:szCs w:val="20"/>
          <w:color w:val="auto"/>
        </w:rPr>
      </w:pPr>
      <w:r>
        <w:rPr>
          <w:rFonts w:ascii="Arial" w:cs="Arial" w:eastAsia="Arial" w:hAnsi="Arial"/>
          <w:sz w:val="48"/>
          <w:szCs w:val="48"/>
          <w:color w:val="FFFFFF"/>
        </w:rPr>
        <w:t>~900</w:t>
      </w:r>
    </w:p>
    <w:p>
      <w:pPr>
        <w:spacing w:after="0" w:line="128" w:lineRule="exact"/>
        <w:rPr>
          <w:sz w:val="20"/>
          <w:szCs w:val="20"/>
          <w:color w:val="auto"/>
        </w:rPr>
      </w:pPr>
    </w:p>
    <w:p>
      <w:pPr>
        <w:spacing w:after="0"/>
        <w:rPr>
          <w:sz w:val="20"/>
          <w:szCs w:val="20"/>
          <w:color w:val="auto"/>
        </w:rPr>
      </w:pPr>
      <w:r>
        <w:rPr>
          <w:rFonts w:ascii="Arial" w:cs="Arial" w:eastAsia="Arial" w:hAnsi="Arial"/>
          <w:sz w:val="43"/>
          <w:szCs w:val="43"/>
          <w:color w:val="FFFFFF"/>
        </w:rPr>
        <w:t>26,785</w:t>
      </w:r>
    </w:p>
    <w:p>
      <w:pPr>
        <w:spacing w:after="0" w:line="390" w:lineRule="exact"/>
        <w:rPr>
          <w:sz w:val="20"/>
          <w:szCs w:val="20"/>
          <w:color w:val="auto"/>
        </w:rPr>
      </w:pPr>
    </w:p>
    <w:p>
      <w:pPr>
        <w:spacing w:after="0"/>
        <w:rPr>
          <w:sz w:val="20"/>
          <w:szCs w:val="20"/>
          <w:color w:val="auto"/>
        </w:rPr>
      </w:pPr>
      <w:r>
        <w:rPr>
          <w:rFonts w:ascii="Arial" w:cs="Arial" w:eastAsia="Arial" w:hAnsi="Arial"/>
          <w:sz w:val="43"/>
          <w:szCs w:val="43"/>
          <w:color w:val="FFFFFF"/>
        </w:rPr>
        <w:t>93,627</w:t>
      </w:r>
    </w:p>
    <w:p>
      <w:pPr>
        <w:spacing w:after="0" w:line="370" w:lineRule="exact"/>
        <w:rPr>
          <w:sz w:val="20"/>
          <w:szCs w:val="20"/>
          <w:color w:val="auto"/>
        </w:rPr>
      </w:pPr>
    </w:p>
    <w:p>
      <w:pPr>
        <w:ind w:left="780"/>
        <w:spacing w:after="0"/>
        <w:rPr>
          <w:sz w:val="20"/>
          <w:szCs w:val="20"/>
          <w:color w:val="auto"/>
        </w:rPr>
      </w:pPr>
      <w:r>
        <w:rPr>
          <w:rFonts w:ascii="Arial" w:cs="Arial" w:eastAsia="Arial" w:hAnsi="Arial"/>
          <w:sz w:val="48"/>
          <w:szCs w:val="48"/>
          <w:color w:val="FFFFFF"/>
        </w:rPr>
        <w:t>30</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44"/>
          <w:szCs w:val="44"/>
          <w:color w:val="FFFFFF"/>
        </w:rPr>
        <w:t>25+</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color w:val="FFFFFF"/>
        </w:rPr>
        <w:t xml:space="preserve">of employees </w:t>
      </w:r>
      <w:r>
        <w:rPr>
          <w:rFonts w:ascii="Arial" w:cs="Arial" w:eastAsia="Arial" w:hAnsi="Arial"/>
          <w:sz w:val="15"/>
          <w:szCs w:val="15"/>
          <w:b w:val="1"/>
          <w:bCs w:val="1"/>
          <w:color w:val="FFFFFF"/>
        </w:rPr>
        <w:t>enrolled in the</w:t>
      </w:r>
      <w:r>
        <w:rPr>
          <w:rFonts w:ascii="Arial" w:cs="Arial" w:eastAsia="Arial" w:hAnsi="Arial"/>
          <w:sz w:val="15"/>
          <w:szCs w:val="15"/>
          <w:color w:val="FFFFFF"/>
        </w:rPr>
        <w:t xml:space="preserve"> </w:t>
      </w:r>
      <w:r>
        <w:rPr>
          <w:rFonts w:ascii="Arial" w:cs="Arial" w:eastAsia="Arial" w:hAnsi="Arial"/>
          <w:sz w:val="15"/>
          <w:szCs w:val="15"/>
          <w:b w:val="1"/>
          <w:bCs w:val="1"/>
          <w:color w:val="FFFFFF"/>
        </w:rPr>
        <w:t xml:space="preserve">Employee Stock Purchase Plan (ESPP) </w:t>
      </w:r>
      <w:r>
        <w:rPr>
          <w:rFonts w:ascii="Arial" w:cs="Arial" w:eastAsia="Arial" w:hAnsi="Arial"/>
          <w:sz w:val="15"/>
          <w:szCs w:val="15"/>
          <w:color w:val="FFFFFF"/>
        </w:rPr>
        <w:t>program in 2025</w:t>
      </w:r>
    </w:p>
    <w:p>
      <w:pPr>
        <w:spacing w:after="0" w:line="82" w:lineRule="exact"/>
        <w:rPr>
          <w:sz w:val="20"/>
          <w:szCs w:val="20"/>
          <w:color w:val="auto"/>
        </w:rPr>
      </w:pPr>
    </w:p>
    <w:p>
      <w:pPr>
        <w:ind w:right="40"/>
        <w:spacing w:after="0" w:line="362" w:lineRule="auto"/>
        <w:rPr>
          <w:sz w:val="20"/>
          <w:szCs w:val="20"/>
          <w:color w:val="auto"/>
        </w:rPr>
      </w:pPr>
      <w:r>
        <w:rPr>
          <w:rFonts w:ascii="Arial" w:cs="Arial" w:eastAsia="Arial" w:hAnsi="Arial"/>
          <w:sz w:val="15"/>
          <w:szCs w:val="15"/>
          <w:b w:val="1"/>
          <w:bCs w:val="1"/>
          <w:color w:val="FFFFFF"/>
        </w:rPr>
        <w:t xml:space="preserve">drilling records </w:t>
      </w:r>
      <w:r>
        <w:rPr>
          <w:rFonts w:ascii="Arial" w:cs="Arial" w:eastAsia="Arial" w:hAnsi="Arial"/>
          <w:sz w:val="15"/>
          <w:szCs w:val="15"/>
          <w:color w:val="FFFFFF"/>
        </w:rPr>
        <w:t>set by Matador’s</w:t>
      </w:r>
      <w:r>
        <w:rPr>
          <w:rFonts w:ascii="Arial" w:cs="Arial" w:eastAsia="Arial" w:hAnsi="Arial"/>
          <w:sz w:val="15"/>
          <w:szCs w:val="15"/>
          <w:b w:val="1"/>
          <w:bCs w:val="1"/>
          <w:color w:val="FFFFFF"/>
        </w:rPr>
        <w:t xml:space="preserve"> </w:t>
      </w:r>
      <w:r>
        <w:rPr>
          <w:rFonts w:ascii="Arial" w:cs="Arial" w:eastAsia="Arial" w:hAnsi="Arial"/>
          <w:sz w:val="15"/>
          <w:szCs w:val="15"/>
          <w:color w:val="FFFFFF"/>
        </w:rPr>
        <w:t>operations group, saving an estimated $74 million since 2018</w:t>
      </w:r>
    </w:p>
    <w:p>
      <w:pPr>
        <w:spacing w:after="0" w:line="98" w:lineRule="exact"/>
        <w:rPr>
          <w:sz w:val="20"/>
          <w:szCs w:val="20"/>
          <w:color w:val="auto"/>
        </w:rPr>
      </w:pPr>
    </w:p>
    <w:p>
      <w:pPr>
        <w:ind w:right="80"/>
        <w:spacing w:after="0" w:line="427" w:lineRule="auto"/>
        <w:rPr>
          <w:sz w:val="20"/>
          <w:szCs w:val="20"/>
          <w:color w:val="auto"/>
        </w:rPr>
      </w:pPr>
      <w:r>
        <w:rPr>
          <w:rFonts w:ascii="Arial" w:cs="Arial" w:eastAsia="Arial" w:hAnsi="Arial"/>
          <w:sz w:val="15"/>
          <w:szCs w:val="15"/>
          <w:b w:val="1"/>
          <w:bCs w:val="1"/>
          <w:color w:val="FFFFFF"/>
        </w:rPr>
        <w:t xml:space="preserve">miles of three-stream pipelines </w:t>
      </w:r>
      <w:r>
        <w:rPr>
          <w:rFonts w:ascii="Arial" w:cs="Arial" w:eastAsia="Arial" w:hAnsi="Arial"/>
          <w:sz w:val="15"/>
          <w:szCs w:val="15"/>
          <w:color w:val="FFFFFF"/>
        </w:rPr>
        <w:t>in the Delaware Basin</w:t>
      </w:r>
    </w:p>
    <w:p>
      <w:pPr>
        <w:spacing w:after="0" w:line="66" w:lineRule="exact"/>
        <w:rPr>
          <w:sz w:val="20"/>
          <w:szCs w:val="20"/>
          <w:color w:val="auto"/>
        </w:rPr>
      </w:pPr>
    </w:p>
    <w:p>
      <w:pPr>
        <w:ind w:right="400"/>
        <w:spacing w:after="0" w:line="362" w:lineRule="auto"/>
        <w:rPr>
          <w:sz w:val="20"/>
          <w:szCs w:val="20"/>
          <w:color w:val="auto"/>
        </w:rPr>
      </w:pPr>
      <w:r>
        <w:rPr>
          <w:rFonts w:ascii="Arial" w:cs="Arial" w:eastAsia="Arial" w:hAnsi="Arial"/>
          <w:sz w:val="15"/>
          <w:szCs w:val="15"/>
          <w:b w:val="1"/>
          <w:bCs w:val="1"/>
          <w:color w:val="FFFFFF"/>
        </w:rPr>
        <w:t xml:space="preserve">employee training hours </w:t>
      </w:r>
      <w:r>
        <w:rPr>
          <w:rFonts w:ascii="Arial" w:cs="Arial" w:eastAsia="Arial" w:hAnsi="Arial"/>
          <w:sz w:val="15"/>
          <w:szCs w:val="15"/>
          <w:color w:val="FFFFFF"/>
        </w:rPr>
        <w:t>in 2025; 6,304 of those were safety training</w:t>
      </w:r>
    </w:p>
    <w:p>
      <w:pPr>
        <w:spacing w:after="0" w:line="104" w:lineRule="exact"/>
        <w:rPr>
          <w:sz w:val="20"/>
          <w:szCs w:val="20"/>
          <w:color w:val="auto"/>
        </w:rPr>
      </w:pPr>
    </w:p>
    <w:p>
      <w:pPr>
        <w:ind w:right="340"/>
        <w:spacing w:after="0" w:line="362" w:lineRule="auto"/>
        <w:rPr>
          <w:sz w:val="20"/>
          <w:szCs w:val="20"/>
          <w:color w:val="auto"/>
        </w:rPr>
      </w:pPr>
      <w:r>
        <w:rPr>
          <w:rFonts w:ascii="Arial" w:cs="Arial" w:eastAsia="Arial" w:hAnsi="Arial"/>
          <w:sz w:val="15"/>
          <w:szCs w:val="15"/>
          <w:b w:val="1"/>
          <w:bCs w:val="1"/>
          <w:color w:val="FFFFFF"/>
        </w:rPr>
        <w:t xml:space="preserve">meals donated </w:t>
      </w:r>
      <w:r>
        <w:rPr>
          <w:rFonts w:ascii="Arial" w:cs="Arial" w:eastAsia="Arial" w:hAnsi="Arial"/>
          <w:sz w:val="15"/>
          <w:szCs w:val="15"/>
          <w:color w:val="FFFFFF"/>
        </w:rPr>
        <w:t>to local</w:t>
      </w:r>
      <w:r>
        <w:rPr>
          <w:rFonts w:ascii="Arial" w:cs="Arial" w:eastAsia="Arial" w:hAnsi="Arial"/>
          <w:sz w:val="15"/>
          <w:szCs w:val="15"/>
          <w:b w:val="1"/>
          <w:bCs w:val="1"/>
          <w:color w:val="FFFFFF"/>
        </w:rPr>
        <w:t xml:space="preserve"> </w:t>
      </w:r>
      <w:r>
        <w:rPr>
          <w:rFonts w:ascii="Arial" w:cs="Arial" w:eastAsia="Arial" w:hAnsi="Arial"/>
          <w:sz w:val="15"/>
          <w:szCs w:val="15"/>
          <w:color w:val="FFFFFF"/>
        </w:rPr>
        <w:t>communities in 2025 — a total of 411,758 meals to date</w:t>
      </w:r>
    </w:p>
    <w:p>
      <w:pPr>
        <w:spacing w:after="0" w:line="84" w:lineRule="exact"/>
        <w:rPr>
          <w:sz w:val="20"/>
          <w:szCs w:val="20"/>
          <w:color w:val="auto"/>
        </w:rPr>
      </w:pPr>
    </w:p>
    <w:p>
      <w:pPr>
        <w:ind w:right="200"/>
        <w:spacing w:after="0" w:line="410" w:lineRule="auto"/>
        <w:rPr>
          <w:sz w:val="20"/>
          <w:szCs w:val="20"/>
          <w:color w:val="auto"/>
        </w:rPr>
      </w:pPr>
      <w:r>
        <w:rPr>
          <w:rFonts w:ascii="Arial" w:cs="Arial" w:eastAsia="Arial" w:hAnsi="Arial"/>
          <w:sz w:val="15"/>
          <w:szCs w:val="15"/>
          <w:b w:val="1"/>
          <w:bCs w:val="1"/>
          <w:color w:val="FFFFFF"/>
        </w:rPr>
        <w:t>summer interns</w:t>
      </w:r>
      <w:r>
        <w:rPr>
          <w:rFonts w:ascii="Arial" w:cs="Arial" w:eastAsia="Arial" w:hAnsi="Arial"/>
          <w:sz w:val="15"/>
          <w:szCs w:val="15"/>
          <w:color w:val="FFFFFF"/>
        </w:rPr>
        <w:t>. The largest</w:t>
      </w:r>
      <w:r>
        <w:rPr>
          <w:rFonts w:ascii="Arial" w:cs="Arial" w:eastAsia="Arial" w:hAnsi="Arial"/>
          <w:sz w:val="15"/>
          <w:szCs w:val="15"/>
          <w:b w:val="1"/>
          <w:bCs w:val="1"/>
          <w:color w:val="FFFFFF"/>
        </w:rPr>
        <w:t xml:space="preserve"> </w:t>
      </w:r>
      <w:r>
        <w:rPr>
          <w:rFonts w:ascii="Arial" w:cs="Arial" w:eastAsia="Arial" w:hAnsi="Arial"/>
          <w:sz w:val="15"/>
          <w:szCs w:val="15"/>
          <w:color w:val="FFFFFF"/>
        </w:rPr>
        <w:t>intern class in Company history</w:t>
      </w:r>
    </w:p>
    <w:p>
      <w:pPr>
        <w:spacing w:after="0" w:line="77" w:lineRule="exact"/>
        <w:rPr>
          <w:sz w:val="20"/>
          <w:szCs w:val="20"/>
          <w:color w:val="auto"/>
        </w:rPr>
      </w:pPr>
    </w:p>
    <w:p>
      <w:pPr>
        <w:ind w:right="480"/>
        <w:spacing w:after="0" w:line="410" w:lineRule="auto"/>
        <w:rPr>
          <w:sz w:val="20"/>
          <w:szCs w:val="20"/>
          <w:color w:val="auto"/>
        </w:rPr>
      </w:pPr>
      <w:r>
        <w:rPr>
          <w:rFonts w:ascii="Arial" w:cs="Arial" w:eastAsia="Arial" w:hAnsi="Arial"/>
          <w:sz w:val="15"/>
          <w:szCs w:val="15"/>
          <w:b w:val="1"/>
          <w:bCs w:val="1"/>
          <w:color w:val="FFFFFF"/>
        </w:rPr>
        <w:t xml:space="preserve">u-turn wells drilled </w:t>
      </w:r>
      <w:r>
        <w:rPr>
          <w:rFonts w:ascii="Arial" w:cs="Arial" w:eastAsia="Arial" w:hAnsi="Arial"/>
          <w:sz w:val="15"/>
          <w:szCs w:val="15"/>
          <w:color w:val="FFFFFF"/>
        </w:rPr>
        <w:t>in the</w:t>
      </w:r>
      <w:r>
        <w:rPr>
          <w:rFonts w:ascii="Arial" w:cs="Arial" w:eastAsia="Arial" w:hAnsi="Arial"/>
          <w:sz w:val="15"/>
          <w:szCs w:val="15"/>
          <w:b w:val="1"/>
          <w:bCs w:val="1"/>
          <w:color w:val="FFFFFF"/>
        </w:rPr>
        <w:t xml:space="preserve"> </w:t>
      </w:r>
      <w:r>
        <w:rPr>
          <w:rFonts w:ascii="Arial" w:cs="Arial" w:eastAsia="Arial" w:hAnsi="Arial"/>
          <w:sz w:val="15"/>
          <w:szCs w:val="15"/>
          <w:color w:val="FFFFFF"/>
        </w:rPr>
        <w:t>Delaware Basin to date</w:t>
      </w:r>
    </w:p>
    <w:p>
      <w:pPr>
        <w:spacing w:after="0" w:line="200" w:lineRule="exact"/>
        <w:rPr>
          <w:sz w:val="20"/>
          <w:szCs w:val="20"/>
          <w:color w:val="auto"/>
        </w:rPr>
      </w:pPr>
    </w:p>
    <w:p>
      <w:pPr>
        <w:sectPr>
          <w:pgSz w:w="11880" w:h="15480" w:orient="portrait"/>
          <w:cols w:equalWidth="0" w:num="3">
            <w:col w:w="5980" w:space="720"/>
            <w:col w:w="1340" w:space="300"/>
            <w:col w:w="2320"/>
          </w:cols>
          <w:pgMar w:left="440" w:top="517" w:right="780" w:bottom="144" w:gutter="0" w:footer="0" w:header="0"/>
          <w:type w:val="continuous"/>
        </w:sectPr>
      </w:pPr>
    </w:p>
    <w:p>
      <w:pPr>
        <w:spacing w:after="0" w:line="200" w:lineRule="exact"/>
        <w:rPr>
          <w:sz w:val="20"/>
          <w:szCs w:val="20"/>
          <w:color w:val="auto"/>
        </w:rPr>
      </w:pPr>
    </w:p>
    <w:p>
      <w:pPr>
        <w:spacing w:after="0" w:line="300" w:lineRule="exact"/>
        <w:rPr>
          <w:sz w:val="20"/>
          <w:szCs w:val="20"/>
          <w:color w:val="auto"/>
        </w:rPr>
      </w:pPr>
    </w:p>
    <w:p>
      <w:pPr>
        <w:ind w:left="380"/>
        <w:spacing w:after="0"/>
        <w:rPr>
          <w:sz w:val="20"/>
          <w:szCs w:val="20"/>
          <w:color w:val="auto"/>
        </w:rPr>
      </w:pPr>
      <w:r>
        <w:rPr>
          <w:rFonts w:ascii="Arial" w:cs="Arial" w:eastAsia="Arial" w:hAnsi="Arial"/>
          <w:sz w:val="42"/>
          <w:szCs w:val="42"/>
          <w:b w:val="1"/>
          <w:bCs w:val="1"/>
          <w:color w:val="00002F"/>
        </w:rPr>
        <w:t>9% Growth in Total Proved Reserves</w:t>
      </w:r>
    </w:p>
    <w:p>
      <w:pPr>
        <w:sectPr>
          <w:pgSz w:w="11880" w:h="15480" w:orient="portrait"/>
          <w:cols w:equalWidth="0" w:num="1">
            <w:col w:w="10660"/>
          </w:cols>
          <w:pgMar w:left="440" w:top="517" w:right="780" w:bottom="144"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tbl>
      <w:tblPr>
        <w:tblLayout w:type="fixed"/>
        <w:tblInd w:w="1423" w:type="dxa"/>
        <w:tblCellMar>
          <w:top w:w="0" w:type="dxa"/>
          <w:left w:w="0" w:type="dxa"/>
          <w:bottom w:w="0" w:type="dxa"/>
          <w:right w:w="0" w:type="dxa"/>
        </w:tblCellMar>
      </w:tblPr>
      <w:tr>
        <w:trPr>
          <w:trHeight w:val="460"/>
        </w:trPr>
        <w:tc>
          <w:tcPr>
            <w:tcW w:w="115" w:type="dxa"/>
            <w:vAlign w:val="bottom"/>
            <w:textDirection w:val="btLr"/>
          </w:tcPr>
          <w:p>
            <w:pPr>
              <w:spacing w:after="0"/>
              <w:rPr>
                <w:sz w:val="20"/>
                <w:szCs w:val="20"/>
                <w:color w:val="auto"/>
              </w:rPr>
            </w:pPr>
            <w:r>
              <w:rPr>
                <w:rFonts w:ascii="Arial" w:cs="Arial" w:eastAsia="Arial" w:hAnsi="Arial"/>
                <w:sz w:val="10"/>
                <w:szCs w:val="10"/>
                <w:b w:val="1"/>
                <w:bCs w:val="1"/>
                <w:color w:val="00002F"/>
              </w:rPr>
              <w:t>Reserves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31"/>
          <w:szCs w:val="31"/>
          <w:b w:val="1"/>
          <w:bCs w:val="1"/>
          <w:color w:val="3E7EAC"/>
        </w:rPr>
        <w:t>+9%</w:t>
      </w:r>
    </w:p>
    <w:p>
      <w:pPr>
        <w:spacing w:after="0" w:line="183" w:lineRule="exact"/>
        <w:rPr>
          <w:sz w:val="20"/>
          <w:szCs w:val="20"/>
          <w:color w:val="auto"/>
        </w:rPr>
      </w:pPr>
    </w:p>
    <w:p>
      <w:pPr>
        <w:sectPr>
          <w:pgSz w:w="11880" w:h="15480" w:orient="portrait"/>
          <w:cols w:equalWidth="0" w:num="2">
            <w:col w:w="4740" w:space="720"/>
            <w:col w:w="5200"/>
          </w:cols>
          <w:pgMar w:left="440" w:top="517" w:right="780" w:bottom="144" w:gutter="0" w:footer="0" w:header="0"/>
          <w:type w:val="continuous"/>
        </w:sectPr>
      </w:pPr>
    </w:p>
    <w:p>
      <w:pPr>
        <w:spacing w:after="0" w:line="191" w:lineRule="exact"/>
        <w:rPr>
          <w:sz w:val="20"/>
          <w:szCs w:val="20"/>
          <w:color w:val="auto"/>
        </w:rPr>
      </w:pPr>
    </w:p>
    <w:tbl>
      <w:tblPr>
        <w:tblLayout w:type="fixed"/>
        <w:tblInd w:w="1274" w:type="dxa"/>
        <w:tblCellMar>
          <w:top w:w="0" w:type="dxa"/>
          <w:left w:w="0" w:type="dxa"/>
          <w:bottom w:w="0" w:type="dxa"/>
          <w:right w:w="0" w:type="dxa"/>
        </w:tblCellMar>
      </w:tblPr>
      <w:tr>
        <w:trPr>
          <w:trHeight w:val="840"/>
        </w:trPr>
        <w:tc>
          <w:tcPr>
            <w:tcW w:w="466" w:type="dxa"/>
            <w:vAlign w:val="bottom"/>
            <w:textDirection w:val="btLr"/>
          </w:tcPr>
          <w:p>
            <w:pPr>
              <w:spacing w:after="0" w:line="374" w:lineRule="auto"/>
              <w:rPr>
                <w:sz w:val="20"/>
                <w:szCs w:val="20"/>
                <w:color w:val="auto"/>
              </w:rPr>
            </w:pPr>
            <w:r>
              <w:rPr>
                <w:rFonts w:ascii="Arial" w:cs="Arial" w:eastAsia="Arial" w:hAnsi="Arial"/>
                <w:sz w:val="13"/>
                <w:szCs w:val="13"/>
                <w:color w:val="00002F"/>
              </w:rPr>
              <w:t xml:space="preserve">(BOE) </w:t>
            </w:r>
            <w:r>
              <w:rPr>
                <w:rFonts w:ascii="Arial" w:cs="Arial" w:eastAsia="Arial" w:hAnsi="Arial"/>
                <w:sz w:val="13"/>
                <w:szCs w:val="13"/>
                <w:b w:val="1"/>
                <w:bCs w:val="1"/>
                <w:color w:val="00002F"/>
              </w:rPr>
              <w:t>Total Proved</w:t>
            </w:r>
          </w:p>
        </w:tc>
      </w:tr>
    </w:tbl>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00002F"/>
        </w:rPr>
        <w:t>612 Million BOE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002F"/>
        </w:rPr>
        <w:t>667 Million BOE</w:t>
      </w:r>
    </w:p>
    <w:p>
      <w:pPr>
        <w:spacing w:after="0" w:line="829" w:lineRule="exact"/>
        <w:rPr>
          <w:sz w:val="20"/>
          <w:szCs w:val="20"/>
          <w:color w:val="auto"/>
        </w:rPr>
      </w:pPr>
    </w:p>
    <w:p>
      <w:pPr>
        <w:sectPr>
          <w:pgSz w:w="11880" w:h="15480" w:orient="portrait"/>
          <w:cols w:equalWidth="0" w:num="3">
            <w:col w:w="1800" w:space="720"/>
            <w:col w:w="4540" w:space="720"/>
            <w:col w:w="2880"/>
          </w:cols>
          <w:pgMar w:left="440" w:top="517" w:right="780" w:bottom="144" w:gutter="0" w:footer="0" w:header="0"/>
          <w:type w:val="continuous"/>
        </w:sectPr>
      </w:pPr>
    </w:p>
    <w:p>
      <w:pPr>
        <w:ind w:left="2800"/>
        <w:spacing w:after="0"/>
        <w:tabs>
          <w:tab w:leader="none" w:pos="8120" w:val="left"/>
        </w:tabs>
        <w:rPr>
          <w:sz w:val="20"/>
          <w:szCs w:val="20"/>
          <w:color w:val="auto"/>
        </w:rPr>
      </w:pPr>
      <w:r>
        <w:rPr>
          <w:rFonts w:ascii="Arial" w:cs="Arial" w:eastAsia="Arial" w:hAnsi="Arial"/>
          <w:sz w:val="16"/>
          <w:szCs w:val="16"/>
          <w:color w:val="00002F"/>
        </w:rPr>
        <w:t xml:space="preserve">YE 2024 </w:t>
      </w:r>
      <w:r>
        <w:rPr>
          <w:rFonts w:ascii="Arial" w:cs="Arial" w:eastAsia="Arial" w:hAnsi="Arial"/>
          <w:sz w:val="18"/>
          <w:szCs w:val="18"/>
          <w:color w:val="00002F"/>
          <w:vertAlign w:val="superscript"/>
        </w:rPr>
        <w:t>(1)</w:t>
      </w:r>
      <w:r>
        <w:rPr>
          <w:sz w:val="20"/>
          <w:szCs w:val="20"/>
          <w:color w:val="auto"/>
        </w:rPr>
        <w:tab/>
      </w:r>
      <w:r>
        <w:rPr>
          <w:rFonts w:ascii="Arial" w:cs="Arial" w:eastAsia="Arial" w:hAnsi="Arial"/>
          <w:sz w:val="24"/>
          <w:szCs w:val="24"/>
          <w:color w:val="00002F"/>
          <w:vertAlign w:val="subscript"/>
        </w:rPr>
        <w:t xml:space="preserve">YE 2025 </w:t>
      </w:r>
      <w:r>
        <w:rPr>
          <w:rFonts w:ascii="Arial" w:cs="Arial" w:eastAsia="Arial" w:hAnsi="Arial"/>
          <w:sz w:val="8"/>
          <w:szCs w:val="8"/>
          <w:color w:val="00002F"/>
        </w:rPr>
        <w:t>(2)</w:t>
      </w:r>
    </w:p>
    <w:p>
      <w:pPr>
        <w:sectPr>
          <w:pgSz w:w="11880" w:h="15480" w:orient="portrait"/>
          <w:cols w:equalWidth="0" w:num="1">
            <w:col w:w="10660"/>
          </w:cols>
          <w:pgMar w:left="440" w:top="517" w:right="780" w:bottom="144" w:gutter="0" w:footer="0" w:header="0"/>
          <w:type w:val="continuous"/>
        </w:sectPr>
      </w:pPr>
    </w:p>
    <w:p>
      <w:pPr>
        <w:spacing w:after="0" w:line="191" w:lineRule="exact"/>
        <w:rPr>
          <w:sz w:val="20"/>
          <w:szCs w:val="20"/>
          <w:color w:val="auto"/>
        </w:rPr>
      </w:pPr>
    </w:p>
    <w:p>
      <w:pPr>
        <w:ind w:left="320"/>
        <w:spacing w:after="0"/>
        <w:rPr>
          <w:sz w:val="20"/>
          <w:szCs w:val="20"/>
          <w:color w:val="auto"/>
        </w:rPr>
      </w:pPr>
      <w:r>
        <w:rPr>
          <w:rFonts w:ascii="Arial" w:cs="Arial" w:eastAsia="Arial" w:hAnsi="Arial"/>
          <w:sz w:val="14"/>
          <w:szCs w:val="14"/>
          <w:color w:val="00002F"/>
        </w:rPr>
        <w:t>Note: BOE = Barrels of oil equivalent, determined using the ratio of one Bbl of crude oil, condensate or NGLs to six Mcf of natural gas.</w:t>
      </w:r>
    </w:p>
    <w:p>
      <w:pPr>
        <w:spacing w:after="0" w:line="28" w:lineRule="exact"/>
        <w:rPr>
          <w:sz w:val="20"/>
          <w:szCs w:val="20"/>
          <w:color w:val="auto"/>
        </w:rPr>
      </w:pPr>
    </w:p>
    <w:p>
      <w:pPr>
        <w:ind w:left="500" w:hanging="169"/>
        <w:spacing w:after="0"/>
        <w:tabs>
          <w:tab w:leader="none" w:pos="500" w:val="left"/>
        </w:tabs>
        <w:numPr>
          <w:ilvl w:val="0"/>
          <w:numId w:val="6"/>
        </w:numPr>
        <w:rPr>
          <w:rFonts w:ascii="Arial" w:cs="Arial" w:eastAsia="Arial" w:hAnsi="Arial"/>
          <w:sz w:val="8"/>
          <w:szCs w:val="8"/>
          <w:color w:val="00002F"/>
        </w:rPr>
      </w:pPr>
      <w:r>
        <w:rPr>
          <w:rFonts w:ascii="Arial" w:cs="Arial" w:eastAsia="Arial" w:hAnsi="Arial"/>
          <w:sz w:val="14"/>
          <w:szCs w:val="14"/>
          <w:color w:val="00002F"/>
        </w:rPr>
        <w:t>YE 2024 SEC Pricing: $71.96 per barrel of oil and $2.130 per MMBtu of natural gas. $9.2 billion PV-10 as of December 31, 2024.</w:t>
      </w:r>
    </w:p>
    <w:p>
      <w:pPr>
        <w:spacing w:after="0" w:line="27" w:lineRule="exact"/>
        <w:rPr>
          <w:rFonts w:ascii="Arial" w:cs="Arial" w:eastAsia="Arial" w:hAnsi="Arial"/>
          <w:sz w:val="8"/>
          <w:szCs w:val="8"/>
          <w:color w:val="00002F"/>
        </w:rPr>
      </w:pPr>
    </w:p>
    <w:p>
      <w:pPr>
        <w:ind w:left="500" w:hanging="169"/>
        <w:spacing w:after="0"/>
        <w:tabs>
          <w:tab w:leader="none" w:pos="500" w:val="left"/>
        </w:tabs>
        <w:numPr>
          <w:ilvl w:val="0"/>
          <w:numId w:val="6"/>
        </w:numPr>
        <w:rPr>
          <w:rFonts w:ascii="Arial" w:cs="Arial" w:eastAsia="Arial" w:hAnsi="Arial"/>
          <w:sz w:val="8"/>
          <w:szCs w:val="8"/>
          <w:color w:val="00002F"/>
        </w:rPr>
      </w:pPr>
      <w:r>
        <w:rPr>
          <w:rFonts w:ascii="Arial" w:cs="Arial" w:eastAsia="Arial" w:hAnsi="Arial"/>
          <w:sz w:val="14"/>
          <w:szCs w:val="14"/>
          <w:color w:val="00002F"/>
        </w:rPr>
        <w:t>YE 2025 SEC Pricing: $61.82 per barrel of oil and $3.387 per MMBtu of natural gas. $8.2 billion PV-10 as of December 31, 2025.</w:t>
      </w:r>
    </w:p>
    <w:p>
      <w:pPr>
        <w:sectPr>
          <w:pgSz w:w="11880" w:h="15480" w:orient="portrait"/>
          <w:cols w:equalWidth="0" w:num="1">
            <w:col w:w="10660"/>
          </w:cols>
          <w:pgMar w:left="440" w:top="517" w:right="780" w:bottom="144"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457200</wp:posOffset>
            </wp:positionH>
            <wp:positionV relativeFrom="page">
              <wp:posOffset>457200</wp:posOffset>
            </wp:positionV>
            <wp:extent cx="6629400" cy="35433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629400" cy="354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5"/>
          <w:szCs w:val="15"/>
          <w:i w:val="1"/>
          <w:iCs w:val="1"/>
          <w:color w:val="191919"/>
        </w:rPr>
        <w:t>Seated (left to right): William M. Byerley, Shelley F. Appel, Joseph Wm. Foran, Timothy E. Parker, Monika U. Ehrman</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i w:val="1"/>
          <w:iCs w:val="1"/>
          <w:color w:val="191919"/>
        </w:rPr>
        <w:t>Standing (left to right): Susan M. Ward, R. Gaines Baty, Reynald A. Baribault, Kenneth L. Stewart, Paul W. Harvey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46"/>
          <w:szCs w:val="46"/>
          <w:b w:val="1"/>
          <w:bCs w:val="1"/>
          <w:color w:val="00002F"/>
        </w:rPr>
        <w:t>Board of Directors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00" w:type="dxa"/>
            <w:vAlign w:val="bottom"/>
          </w:tcPr>
          <w:p>
            <w:pPr>
              <w:spacing w:after="0"/>
              <w:rPr>
                <w:sz w:val="20"/>
                <w:szCs w:val="20"/>
                <w:color w:val="auto"/>
              </w:rPr>
            </w:pPr>
            <w:r>
              <w:rPr>
                <w:rFonts w:ascii="Arial" w:cs="Arial" w:eastAsia="Arial" w:hAnsi="Arial"/>
                <w:sz w:val="22"/>
                <w:szCs w:val="22"/>
                <w:b w:val="1"/>
                <w:bCs w:val="1"/>
                <w:color w:val="3E7EAC"/>
              </w:rPr>
              <w:t>Joseph Wm. Foran</w:t>
            </w:r>
          </w:p>
        </w:tc>
        <w:tc>
          <w:tcPr>
            <w:tcW w:w="5240" w:type="dxa"/>
            <w:vAlign w:val="bottom"/>
          </w:tcPr>
          <w:p>
            <w:pPr>
              <w:ind w:left="280"/>
              <w:spacing w:after="0"/>
              <w:rPr>
                <w:sz w:val="20"/>
                <w:szCs w:val="20"/>
                <w:color w:val="auto"/>
              </w:rPr>
            </w:pPr>
            <w:r>
              <w:rPr>
                <w:rFonts w:ascii="Arial" w:cs="Arial" w:eastAsia="Arial" w:hAnsi="Arial"/>
                <w:sz w:val="22"/>
                <w:szCs w:val="22"/>
                <w:b w:val="1"/>
                <w:bCs w:val="1"/>
                <w:color w:val="3E7EAC"/>
              </w:rPr>
              <w:t>William M. Byerley</w:t>
            </w:r>
          </w:p>
        </w:tc>
        <w:tc>
          <w:tcPr>
            <w:tcW w:w="0" w:type="dxa"/>
            <w:vAlign w:val="bottom"/>
          </w:tcPr>
          <w:p>
            <w:pPr>
              <w:spacing w:after="0"/>
              <w:rPr>
                <w:sz w:val="1"/>
                <w:szCs w:val="1"/>
                <w:color w:val="auto"/>
              </w:rPr>
            </w:pPr>
          </w:p>
        </w:tc>
      </w:tr>
      <w:tr>
        <w:trPr>
          <w:trHeight w:val="240"/>
        </w:trPr>
        <w:tc>
          <w:tcPr>
            <w:tcW w:w="5200" w:type="dxa"/>
            <w:vAlign w:val="bottom"/>
          </w:tcPr>
          <w:p>
            <w:pPr>
              <w:spacing w:after="0"/>
              <w:rPr>
                <w:sz w:val="20"/>
                <w:szCs w:val="20"/>
                <w:color w:val="auto"/>
              </w:rPr>
            </w:pPr>
            <w:r>
              <w:rPr>
                <w:rFonts w:ascii="Arial" w:cs="Arial" w:eastAsia="Arial" w:hAnsi="Arial"/>
                <w:sz w:val="18"/>
                <w:szCs w:val="18"/>
                <w:color w:val="191919"/>
              </w:rPr>
              <w:t>Founder, Chairman and Chief Executive Officer of Matador</w:t>
            </w:r>
          </w:p>
        </w:tc>
        <w:tc>
          <w:tcPr>
            <w:tcW w:w="5240" w:type="dxa"/>
            <w:vAlign w:val="bottom"/>
          </w:tcPr>
          <w:p>
            <w:pPr>
              <w:ind w:left="280"/>
              <w:spacing w:after="0"/>
              <w:rPr>
                <w:sz w:val="20"/>
                <w:szCs w:val="20"/>
                <w:color w:val="auto"/>
              </w:rPr>
            </w:pPr>
            <w:r>
              <w:rPr>
                <w:rFonts w:ascii="Arial" w:cs="Arial" w:eastAsia="Arial" w:hAnsi="Arial"/>
                <w:sz w:val="18"/>
                <w:szCs w:val="18"/>
                <w:color w:val="191919"/>
                <w:w w:val="91"/>
              </w:rPr>
              <w:t>Director; Retired Partner, PricewaterhouseCoopers (PwC); Practice</w:t>
            </w:r>
          </w:p>
        </w:tc>
        <w:tc>
          <w:tcPr>
            <w:tcW w:w="0" w:type="dxa"/>
            <w:vAlign w:val="bottom"/>
          </w:tcPr>
          <w:p>
            <w:pPr>
              <w:spacing w:after="0"/>
              <w:rPr>
                <w:sz w:val="1"/>
                <w:szCs w:val="1"/>
                <w:color w:val="auto"/>
              </w:rPr>
            </w:pPr>
          </w:p>
        </w:tc>
      </w:tr>
      <w:tr>
        <w:trPr>
          <w:trHeight w:val="240"/>
        </w:trPr>
        <w:tc>
          <w:tcPr>
            <w:tcW w:w="5200" w:type="dxa"/>
            <w:vAlign w:val="bottom"/>
          </w:tcPr>
          <w:p>
            <w:pPr>
              <w:spacing w:after="0"/>
              <w:rPr>
                <w:sz w:val="20"/>
                <w:szCs w:val="20"/>
                <w:color w:val="auto"/>
              </w:rPr>
            </w:pPr>
            <w:r>
              <w:rPr>
                <w:rFonts w:ascii="Arial" w:cs="Arial" w:eastAsia="Arial" w:hAnsi="Arial"/>
                <w:sz w:val="18"/>
                <w:szCs w:val="18"/>
                <w:color w:val="191919"/>
              </w:rPr>
              <w:t>Resources Company (Matador II); Founder, Chairman and Chief</w:t>
            </w:r>
          </w:p>
        </w:tc>
        <w:tc>
          <w:tcPr>
            <w:tcW w:w="5240" w:type="dxa"/>
            <w:vAlign w:val="bottom"/>
          </w:tcPr>
          <w:p>
            <w:pPr>
              <w:ind w:left="280"/>
              <w:spacing w:after="0"/>
              <w:rPr>
                <w:sz w:val="20"/>
                <w:szCs w:val="20"/>
                <w:color w:val="auto"/>
              </w:rPr>
            </w:pPr>
            <w:r>
              <w:rPr>
                <w:rFonts w:ascii="Arial" w:cs="Arial" w:eastAsia="Arial" w:hAnsi="Arial"/>
                <w:sz w:val="18"/>
                <w:szCs w:val="18"/>
                <w:color w:val="191919"/>
              </w:rPr>
              <w:t>focused on energy sector clients; Certified Public Accountant</w:t>
            </w:r>
          </w:p>
        </w:tc>
        <w:tc>
          <w:tcPr>
            <w:tcW w:w="0" w:type="dxa"/>
            <w:vAlign w:val="bottom"/>
          </w:tcPr>
          <w:p>
            <w:pPr>
              <w:spacing w:after="0"/>
              <w:rPr>
                <w:sz w:val="1"/>
                <w:szCs w:val="1"/>
                <w:color w:val="auto"/>
              </w:rPr>
            </w:pPr>
          </w:p>
        </w:tc>
      </w:tr>
      <w:tr>
        <w:trPr>
          <w:trHeight w:val="279"/>
        </w:trPr>
        <w:tc>
          <w:tcPr>
            <w:tcW w:w="5200" w:type="dxa"/>
            <w:vAlign w:val="bottom"/>
          </w:tcPr>
          <w:p>
            <w:pPr>
              <w:spacing w:after="0"/>
              <w:rPr>
                <w:sz w:val="20"/>
                <w:szCs w:val="20"/>
                <w:color w:val="auto"/>
              </w:rPr>
            </w:pPr>
            <w:r>
              <w:rPr>
                <w:rFonts w:ascii="Arial" w:cs="Arial" w:eastAsia="Arial" w:hAnsi="Arial"/>
                <w:sz w:val="18"/>
                <w:szCs w:val="18"/>
                <w:color w:val="191919"/>
              </w:rPr>
              <w:t>Executive Officer of Matador Petroleum Corporation (Matador I)</w:t>
            </w:r>
          </w:p>
        </w:tc>
        <w:tc>
          <w:tcPr>
            <w:tcW w:w="5240" w:type="dxa"/>
            <w:vAlign w:val="bottom"/>
            <w:vMerge w:val="restart"/>
          </w:tcPr>
          <w:p>
            <w:pPr>
              <w:ind w:left="280"/>
              <w:spacing w:after="0"/>
              <w:rPr>
                <w:sz w:val="20"/>
                <w:szCs w:val="20"/>
                <w:color w:val="auto"/>
              </w:rPr>
            </w:pPr>
            <w:r>
              <w:rPr>
                <w:rFonts w:ascii="Arial" w:cs="Arial" w:eastAsia="Arial" w:hAnsi="Arial"/>
                <w:sz w:val="22"/>
                <w:szCs w:val="22"/>
                <w:b w:val="1"/>
                <w:bCs w:val="1"/>
                <w:color w:val="3E7EAC"/>
              </w:rPr>
              <w:t>Monika U. Ehrman</w:t>
            </w:r>
          </w:p>
        </w:tc>
        <w:tc>
          <w:tcPr>
            <w:tcW w:w="0" w:type="dxa"/>
            <w:vAlign w:val="bottom"/>
          </w:tcPr>
          <w:p>
            <w:pPr>
              <w:spacing w:after="0"/>
              <w:rPr>
                <w:sz w:val="1"/>
                <w:szCs w:val="1"/>
                <w:color w:val="auto"/>
              </w:rPr>
            </w:pPr>
          </w:p>
        </w:tc>
      </w:tr>
      <w:tr>
        <w:trPr>
          <w:trHeight w:val="142"/>
        </w:trPr>
        <w:tc>
          <w:tcPr>
            <w:tcW w:w="5200" w:type="dxa"/>
            <w:vAlign w:val="bottom"/>
            <w:vMerge w:val="restart"/>
          </w:tcPr>
          <w:p>
            <w:pPr>
              <w:spacing w:after="0"/>
              <w:rPr>
                <w:sz w:val="20"/>
                <w:szCs w:val="20"/>
                <w:color w:val="auto"/>
              </w:rPr>
            </w:pPr>
            <w:r>
              <w:rPr>
                <w:rFonts w:ascii="Arial" w:cs="Arial" w:eastAsia="Arial" w:hAnsi="Arial"/>
                <w:sz w:val="22"/>
                <w:szCs w:val="22"/>
                <w:b w:val="1"/>
                <w:bCs w:val="1"/>
                <w:color w:val="3E7EAC"/>
              </w:rPr>
              <w:t>Timothy E. Parker</w:t>
            </w:r>
          </w:p>
        </w:tc>
        <w:tc>
          <w:tcPr>
            <w:tcW w:w="5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5200" w:type="dxa"/>
            <w:vAlign w:val="bottom"/>
            <w:vMerge w:val="continue"/>
          </w:tcPr>
          <w:p>
            <w:pPr>
              <w:spacing w:after="0"/>
              <w:rPr>
                <w:sz w:val="20"/>
                <w:szCs w:val="20"/>
                <w:color w:val="auto"/>
              </w:rPr>
            </w:pPr>
          </w:p>
        </w:tc>
        <w:tc>
          <w:tcPr>
            <w:tcW w:w="5240" w:type="dxa"/>
            <w:vAlign w:val="bottom"/>
          </w:tcPr>
          <w:p>
            <w:pPr>
              <w:ind w:left="280"/>
              <w:spacing w:after="0"/>
              <w:rPr>
                <w:sz w:val="20"/>
                <w:szCs w:val="20"/>
                <w:color w:val="auto"/>
              </w:rPr>
            </w:pPr>
            <w:r>
              <w:rPr>
                <w:rFonts w:ascii="Arial" w:cs="Arial" w:eastAsia="Arial" w:hAnsi="Arial"/>
                <w:sz w:val="18"/>
                <w:szCs w:val="18"/>
                <w:color w:val="191919"/>
              </w:rPr>
              <w:t>Director; Professor of Law, Southern Methodist University</w:t>
            </w:r>
          </w:p>
        </w:tc>
        <w:tc>
          <w:tcPr>
            <w:tcW w:w="0" w:type="dxa"/>
            <w:vAlign w:val="bottom"/>
          </w:tcPr>
          <w:p>
            <w:pPr>
              <w:spacing w:after="0"/>
              <w:rPr>
                <w:sz w:val="1"/>
                <w:szCs w:val="1"/>
                <w:color w:val="auto"/>
              </w:rPr>
            </w:pPr>
          </w:p>
        </w:tc>
      </w:tr>
      <w:tr>
        <w:trPr>
          <w:trHeight w:val="240"/>
        </w:trPr>
        <w:tc>
          <w:tcPr>
            <w:tcW w:w="5200" w:type="dxa"/>
            <w:vAlign w:val="bottom"/>
          </w:tcPr>
          <w:p>
            <w:pPr>
              <w:spacing w:after="0"/>
              <w:rPr>
                <w:sz w:val="20"/>
                <w:szCs w:val="20"/>
                <w:color w:val="auto"/>
              </w:rPr>
            </w:pPr>
            <w:r>
              <w:rPr>
                <w:rFonts w:ascii="Arial" w:cs="Arial" w:eastAsia="Arial" w:hAnsi="Arial"/>
                <w:sz w:val="18"/>
                <w:szCs w:val="18"/>
                <w:color w:val="191919"/>
              </w:rPr>
              <w:t>Lead Independent Director; Contractor in Charge of Research,</w:t>
            </w:r>
          </w:p>
        </w:tc>
        <w:tc>
          <w:tcPr>
            <w:tcW w:w="5240" w:type="dxa"/>
            <w:vAlign w:val="bottom"/>
          </w:tcPr>
          <w:p>
            <w:pPr>
              <w:ind w:left="280"/>
              <w:spacing w:after="0"/>
              <w:rPr>
                <w:sz w:val="20"/>
                <w:szCs w:val="20"/>
                <w:color w:val="auto"/>
              </w:rPr>
            </w:pPr>
            <w:r>
              <w:rPr>
                <w:rFonts w:ascii="Arial" w:cs="Arial" w:eastAsia="Arial" w:hAnsi="Arial"/>
                <w:sz w:val="18"/>
                <w:szCs w:val="18"/>
                <w:color w:val="191919"/>
                <w:w w:val="98"/>
              </w:rPr>
              <w:t>Dedman School of Law; Former Professor of Law, University of</w:t>
            </w:r>
          </w:p>
        </w:tc>
        <w:tc>
          <w:tcPr>
            <w:tcW w:w="0" w:type="dxa"/>
            <w:vAlign w:val="bottom"/>
          </w:tcPr>
          <w:p>
            <w:pPr>
              <w:spacing w:after="0"/>
              <w:rPr>
                <w:sz w:val="1"/>
                <w:szCs w:val="1"/>
                <w:color w:val="auto"/>
              </w:rPr>
            </w:pPr>
          </w:p>
        </w:tc>
      </w:tr>
      <w:tr>
        <w:trPr>
          <w:trHeight w:val="240"/>
        </w:trPr>
        <w:tc>
          <w:tcPr>
            <w:tcW w:w="5200" w:type="dxa"/>
            <w:vAlign w:val="bottom"/>
          </w:tcPr>
          <w:p>
            <w:pPr>
              <w:spacing w:after="0"/>
              <w:rPr>
                <w:sz w:val="20"/>
                <w:szCs w:val="20"/>
                <w:color w:val="auto"/>
              </w:rPr>
            </w:pPr>
            <w:r>
              <w:rPr>
                <w:rFonts w:ascii="Arial" w:cs="Arial" w:eastAsia="Arial" w:hAnsi="Arial"/>
                <w:sz w:val="18"/>
                <w:szCs w:val="18"/>
                <w:color w:val="191919"/>
                <w:w w:val="99"/>
              </w:rPr>
              <w:t>Brightworks Wealth Management, LLC; Former Portfolio Manager</w:t>
            </w:r>
          </w:p>
        </w:tc>
        <w:tc>
          <w:tcPr>
            <w:tcW w:w="5240" w:type="dxa"/>
            <w:vAlign w:val="bottom"/>
          </w:tcPr>
          <w:p>
            <w:pPr>
              <w:ind w:left="280"/>
              <w:spacing w:after="0"/>
              <w:rPr>
                <w:sz w:val="20"/>
                <w:szCs w:val="20"/>
                <w:color w:val="auto"/>
              </w:rPr>
            </w:pPr>
            <w:r>
              <w:rPr>
                <w:rFonts w:ascii="Arial" w:cs="Arial" w:eastAsia="Arial" w:hAnsi="Arial"/>
                <w:sz w:val="18"/>
                <w:szCs w:val="18"/>
                <w:color w:val="191919"/>
                <w:w w:val="95"/>
              </w:rPr>
              <w:t>Oklahoma College of Law; BS in Petroleum Engineering; Former</w:t>
            </w:r>
          </w:p>
        </w:tc>
        <w:tc>
          <w:tcPr>
            <w:tcW w:w="0" w:type="dxa"/>
            <w:vAlign w:val="bottom"/>
          </w:tcPr>
          <w:p>
            <w:pPr>
              <w:spacing w:after="0"/>
              <w:rPr>
                <w:sz w:val="1"/>
                <w:szCs w:val="1"/>
                <w:color w:val="auto"/>
              </w:rPr>
            </w:pPr>
          </w:p>
        </w:tc>
      </w:tr>
      <w:tr>
        <w:trPr>
          <w:trHeight w:val="279"/>
        </w:trPr>
        <w:tc>
          <w:tcPr>
            <w:tcW w:w="5200" w:type="dxa"/>
            <w:vAlign w:val="bottom"/>
          </w:tcPr>
          <w:p>
            <w:pPr>
              <w:spacing w:after="0"/>
              <w:rPr>
                <w:sz w:val="20"/>
                <w:szCs w:val="20"/>
                <w:color w:val="auto"/>
              </w:rPr>
            </w:pPr>
            <w:r>
              <w:rPr>
                <w:rFonts w:ascii="Arial" w:cs="Arial" w:eastAsia="Arial" w:hAnsi="Arial"/>
                <w:sz w:val="18"/>
                <w:szCs w:val="18"/>
                <w:color w:val="191919"/>
              </w:rPr>
              <w:t>and Analyst — Natural Resources, T. Rowe Price &amp; Associates</w:t>
            </w:r>
          </w:p>
        </w:tc>
        <w:tc>
          <w:tcPr>
            <w:tcW w:w="5240" w:type="dxa"/>
            <w:vAlign w:val="bottom"/>
          </w:tcPr>
          <w:p>
            <w:pPr>
              <w:ind w:left="280"/>
              <w:spacing w:after="0"/>
              <w:rPr>
                <w:sz w:val="20"/>
                <w:szCs w:val="20"/>
                <w:color w:val="auto"/>
              </w:rPr>
            </w:pPr>
            <w:r>
              <w:rPr>
                <w:rFonts w:ascii="Arial" w:cs="Arial" w:eastAsia="Arial" w:hAnsi="Arial"/>
                <w:sz w:val="18"/>
                <w:szCs w:val="18"/>
                <w:color w:val="191919"/>
              </w:rPr>
              <w:t>In-House Legal Counsel for public Oil and Gas Company</w:t>
            </w: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880" w:h="15480" w:orient="portrait"/>
          <w:cols w:equalWidth="0" w:num="1">
            <w:col w:w="10440"/>
          </w:cols>
          <w:pgMar w:left="740" w:top="1440" w:right="700" w:bottom="55" w:gutter="0" w:footer="0" w:header="0"/>
        </w:sectPr>
      </w:pPr>
    </w:p>
    <w:p>
      <w:pPr>
        <w:spacing w:after="0"/>
        <w:rPr>
          <w:sz w:val="20"/>
          <w:szCs w:val="20"/>
          <w:color w:val="auto"/>
        </w:rPr>
      </w:pPr>
      <w:r>
        <w:rPr>
          <w:rFonts w:ascii="Arial" w:cs="Arial" w:eastAsia="Arial" w:hAnsi="Arial"/>
          <w:sz w:val="22"/>
          <w:szCs w:val="22"/>
          <w:b w:val="1"/>
          <w:bCs w:val="1"/>
          <w:color w:val="3E7EAC"/>
        </w:rPr>
        <w:t>R. Gaines Baty</w:t>
      </w:r>
    </w:p>
    <w:p>
      <w:pPr>
        <w:ind w:right="220"/>
        <w:spacing w:after="0" w:line="319" w:lineRule="auto"/>
        <w:rPr>
          <w:sz w:val="20"/>
          <w:szCs w:val="20"/>
          <w:color w:val="auto"/>
        </w:rPr>
      </w:pPr>
      <w:r>
        <w:rPr>
          <w:rFonts w:ascii="Arial" w:cs="Arial" w:eastAsia="Arial" w:hAnsi="Arial"/>
          <w:sz w:val="18"/>
          <w:szCs w:val="18"/>
          <w:color w:val="191919"/>
        </w:rPr>
        <w:t>Deputy Lead Independent Director; Chief Executive Officer, R. Gaines Baty Associates, Inc., a leading executive search firm; Published Author</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3E7EAC"/>
        </w:rPr>
        <w:t>Shelley F. Appel</w:t>
      </w:r>
    </w:p>
    <w:p>
      <w:pPr>
        <w:ind w:right="40"/>
        <w:spacing w:after="0" w:line="305" w:lineRule="auto"/>
        <w:rPr>
          <w:sz w:val="20"/>
          <w:szCs w:val="20"/>
          <w:color w:val="auto"/>
        </w:rPr>
      </w:pPr>
      <w:r>
        <w:rPr>
          <w:rFonts w:ascii="Arial" w:cs="Arial" w:eastAsia="Arial" w:hAnsi="Arial"/>
          <w:sz w:val="18"/>
          <w:szCs w:val="18"/>
          <w:color w:val="191919"/>
        </w:rPr>
        <w:t>Director; Former Senior Investor Relations Officer and Mergers &amp; Acquisitions Manager, Royal Dutch Shell PLC; Former Business Analyst, Corporate Strategy, NYSE Euronext and Intercontinental Exchange Group</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b w:val="1"/>
          <w:bCs w:val="1"/>
          <w:color w:val="3E7EAC"/>
        </w:rPr>
        <w:t>Reynald A. Baribault</w:t>
      </w:r>
    </w:p>
    <w:p>
      <w:pPr>
        <w:spacing w:after="0" w:line="298" w:lineRule="auto"/>
        <w:rPr>
          <w:sz w:val="20"/>
          <w:szCs w:val="20"/>
          <w:color w:val="auto"/>
        </w:rPr>
      </w:pPr>
      <w:r>
        <w:rPr>
          <w:rFonts w:ascii="Arial" w:cs="Arial" w:eastAsia="Arial" w:hAnsi="Arial"/>
          <w:sz w:val="18"/>
          <w:szCs w:val="18"/>
          <w:color w:val="191919"/>
        </w:rPr>
        <w:t>Director; President, CEO and Co-Founder, IPR Energy Partners, LLC; Former Executive Vice President/Engineering and Co-Founder NP Resources, LLC; Former Vice President and Co-Founder, North Plains Energy, LLC; Former Vice President, Netherland, Sewell &amp; Associates,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3E7EAC"/>
        </w:rPr>
        <w:t>Paul W. Harvey</w:t>
      </w:r>
    </w:p>
    <w:p>
      <w:pPr>
        <w:ind w:right="80"/>
        <w:spacing w:after="0" w:line="354" w:lineRule="auto"/>
        <w:rPr>
          <w:sz w:val="20"/>
          <w:szCs w:val="20"/>
          <w:color w:val="auto"/>
        </w:rPr>
      </w:pPr>
      <w:r>
        <w:rPr>
          <w:rFonts w:ascii="Arial" w:cs="Arial" w:eastAsia="Arial" w:hAnsi="Arial"/>
          <w:sz w:val="16"/>
          <w:szCs w:val="16"/>
          <w:color w:val="191919"/>
        </w:rPr>
        <w:t>Director; Private Wealth Advisor and Former Chief Investment Officer, Vaquero Private Wealth; Former Managing Director, BlackRock, Inc.; Former Regional Director and Portfolio Manager, Merrill Lynch Asset Management</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b w:val="1"/>
          <w:bCs w:val="1"/>
          <w:color w:val="3E7EAC"/>
        </w:rPr>
        <w:t>Kenneth L. Stewart</w:t>
      </w:r>
    </w:p>
    <w:p>
      <w:pPr>
        <w:ind w:right="200"/>
        <w:spacing w:after="0" w:line="374" w:lineRule="auto"/>
        <w:rPr>
          <w:sz w:val="20"/>
          <w:szCs w:val="20"/>
          <w:color w:val="auto"/>
        </w:rPr>
      </w:pPr>
      <w:r>
        <w:rPr>
          <w:rFonts w:ascii="Arial" w:cs="Arial" w:eastAsia="Arial" w:hAnsi="Arial"/>
          <w:sz w:val="16"/>
          <w:szCs w:val="16"/>
          <w:color w:val="191919"/>
        </w:rPr>
        <w:t>Director; Retired Executive Vice President, Compliance and Legal Affairs, Children’s Health System of Texas; Retired Partner, Chair — United States, Norton Rose Fulbright US LLP</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3E7EAC"/>
        </w:rPr>
        <w:t>Susan M. Ward</w:t>
      </w:r>
    </w:p>
    <w:p>
      <w:pPr>
        <w:ind w:right="100"/>
        <w:spacing w:after="0" w:line="354" w:lineRule="auto"/>
        <w:rPr>
          <w:sz w:val="20"/>
          <w:szCs w:val="20"/>
          <w:color w:val="auto"/>
        </w:rPr>
      </w:pPr>
      <w:r>
        <w:rPr>
          <w:rFonts w:ascii="Arial" w:cs="Arial" w:eastAsia="Arial" w:hAnsi="Arial"/>
          <w:sz w:val="16"/>
          <w:szCs w:val="16"/>
          <w:color w:val="191919"/>
        </w:rPr>
        <w:t>Director; Former Senior Executive, Shell Oil Company; Former Chief Financial Officer and Board member, Shell Midstream Partners; Former Managing Director, Natural Resources and Energy, UBS Securities; Former Refining Process Engineer, Exxon</w:t>
      </w:r>
    </w:p>
    <w:p>
      <w:pPr>
        <w:sectPr>
          <w:pgSz w:w="11880" w:h="15480" w:orient="portrait"/>
          <w:cols w:equalWidth="0" w:num="2">
            <w:col w:w="4900" w:space="580"/>
            <w:col w:w="4960"/>
          </w:cols>
          <w:pgMar w:left="740" w:top="1440" w:right="700" w:bottom="55"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457200</wp:posOffset>
            </wp:positionH>
            <wp:positionV relativeFrom="page">
              <wp:posOffset>457200</wp:posOffset>
            </wp:positionV>
            <wp:extent cx="6629400" cy="3543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629400" cy="354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5"/>
          <w:szCs w:val="15"/>
          <w:i w:val="1"/>
          <w:iCs w:val="1"/>
          <w:color w:val="191919"/>
        </w:rPr>
        <w:t>Seated (left to right): Robert T. Macalik, Bryan A. Erman, Joseph Wm. Foran, Van H. Singleton II, Christopher P. Calvert</w:t>
      </w:r>
    </w:p>
    <w:p>
      <w:pPr>
        <w:spacing w:after="0" w:line="117" w:lineRule="exact"/>
        <w:rPr>
          <w:sz w:val="20"/>
          <w:szCs w:val="20"/>
          <w:color w:val="auto"/>
        </w:rPr>
      </w:pPr>
    </w:p>
    <w:p>
      <w:pPr>
        <w:spacing w:after="0" w:line="370" w:lineRule="auto"/>
        <w:rPr>
          <w:sz w:val="20"/>
          <w:szCs w:val="20"/>
          <w:color w:val="auto"/>
        </w:rPr>
      </w:pPr>
      <w:r>
        <w:rPr>
          <w:rFonts w:ascii="Arial" w:cs="Arial" w:eastAsia="Arial" w:hAnsi="Arial"/>
          <w:sz w:val="15"/>
          <w:szCs w:val="15"/>
          <w:i w:val="1"/>
          <w:iCs w:val="1"/>
          <w:color w:val="191919"/>
        </w:rPr>
        <w:t>Standing (left to right): Anton L. Langland, Andrew D. Parker, Michael D. Frenzel, Glenn W. Stetson, Joshua D. Passauer, W. Thomas Elsener, Brian J. Willey, Jordan M. Ellington, Amanda M. Crawford, Jonathan J. Filbert, Ricky F. Alexander, M. Cliff Humphreys</w:t>
      </w:r>
    </w:p>
    <w:p>
      <w:pPr>
        <w:sectPr>
          <w:pgSz w:w="11880" w:h="15480" w:orient="portrait"/>
          <w:cols w:equalWidth="0" w:num="1">
            <w:col w:w="10300"/>
          </w:cols>
          <w:pgMar w:left="720" w:top="1440" w:right="860" w:bottom="270" w:gutter="0" w:footer="0" w:header="0"/>
        </w:sectPr>
      </w:pPr>
    </w:p>
    <w:p>
      <w:pPr>
        <w:spacing w:after="0" w:line="315" w:lineRule="exact"/>
        <w:rPr>
          <w:sz w:val="20"/>
          <w:szCs w:val="20"/>
          <w:color w:val="auto"/>
        </w:rPr>
      </w:pPr>
    </w:p>
    <w:p>
      <w:pPr>
        <w:spacing w:after="0"/>
        <w:rPr>
          <w:sz w:val="20"/>
          <w:szCs w:val="20"/>
          <w:color w:val="auto"/>
        </w:rPr>
      </w:pPr>
      <w:r>
        <w:rPr>
          <w:rFonts w:ascii="Arial" w:cs="Arial" w:eastAsia="Arial" w:hAnsi="Arial"/>
          <w:sz w:val="46"/>
          <w:szCs w:val="46"/>
          <w:b w:val="1"/>
          <w:bCs w:val="1"/>
          <w:color w:val="00002F"/>
        </w:rPr>
        <w:t>Leadership Team</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3E7EAC"/>
        </w:rPr>
        <w:t>Joseph Wm. Foran</w:t>
      </w:r>
    </w:p>
    <w:p>
      <w:pPr>
        <w:spacing w:after="0"/>
        <w:rPr>
          <w:sz w:val="20"/>
          <w:szCs w:val="20"/>
          <w:color w:val="auto"/>
        </w:rPr>
      </w:pPr>
      <w:r>
        <w:rPr>
          <w:rFonts w:ascii="Arial" w:cs="Arial" w:eastAsia="Arial" w:hAnsi="Arial"/>
          <w:sz w:val="18"/>
          <w:szCs w:val="18"/>
          <w:color w:val="191919"/>
        </w:rPr>
        <w:t>Founder, Chairman of the Board and Chief Executive Officer</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3E7EAC"/>
        </w:rPr>
        <w:t>Van H. Singleton II</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191919"/>
        </w:rPr>
        <w:t>Co-President — Land, Acquisitions and Divestitures and Planning</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3E7EAC"/>
        </w:rPr>
        <w:t>Bryan A. Erman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191919"/>
        </w:rPr>
        <w:t>Co-President, Chief Legal Officer and Head of M&amp;A</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3E7EAC"/>
        </w:rPr>
        <w:t>Robert T. Macalik</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191919"/>
        </w:rPr>
        <w:t>Executive Vice President and Chief Financial Officer</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3E7EAC"/>
        </w:rPr>
        <w:t>Christopher P. Calvert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191919"/>
        </w:rPr>
        <w:t>Executive Vice President and Chief Operating Officer</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3E7EAC"/>
        </w:rPr>
        <w:t>Ricky F. Alexander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191919"/>
        </w:rPr>
        <w:t>Executive Vice President — Measurement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3E7EAC"/>
        </w:rPr>
        <w:t>Amanda M. Crawford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191919"/>
        </w:rPr>
        <w:t>Chief Administration Assistant and Senior Advisor</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3E7EAC"/>
        </w:rPr>
        <w:t>Jordan M. Ellington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191919"/>
        </w:rPr>
        <w:t>Executive Vice President — Personnel and Asset Manager</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3E7EAC"/>
        </w:rPr>
        <w:t>W. Thomas Elsener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3E7EAC"/>
        </w:rPr>
        <w:t>Jonathan J. Filbert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191919"/>
        </w:rPr>
        <w:t>Executive Vice President — Land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3E7EAC"/>
        </w:rPr>
        <w:t>Michael D. Frenzel</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191919"/>
        </w:rPr>
        <w:t>Executive Vice President and Treasurer</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3E7EAC"/>
        </w:rPr>
        <w:t>M. Cliff Humphreys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191919"/>
        </w:rPr>
        <w:t>Executive Vice President — Completions</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3E7EAC"/>
        </w:rPr>
        <w:t>Anton L. Langland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191919"/>
        </w:rPr>
        <w:t>Executive Vice President — Marketing</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3E7EAC"/>
        </w:rPr>
        <w:t>Andrew D. Parker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191919"/>
        </w:rPr>
        <w:t>Executive Vice President — Geosciences</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3E7EAC"/>
        </w:rPr>
        <w:t>Joshua D. Passauer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191919"/>
        </w:rPr>
        <w:t>Executive Vice President — Drilling</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3E7EAC"/>
        </w:rPr>
        <w:t>Glenn W. Stetson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191919"/>
        </w:rPr>
        <w:t>Executive Vice President — Production</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3E7EAC"/>
        </w:rPr>
        <w:t>Brian J. Willey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191919"/>
        </w:rPr>
        <w:t>Executive Vice President — Midstream</w:t>
      </w:r>
    </w:p>
    <w:p>
      <w:pPr>
        <w:spacing w:after="0" w:line="466" w:lineRule="exact"/>
        <w:rPr>
          <w:sz w:val="20"/>
          <w:szCs w:val="20"/>
          <w:color w:val="auto"/>
        </w:rPr>
      </w:pPr>
    </w:p>
    <w:p>
      <w:pPr>
        <w:sectPr>
          <w:pgSz w:w="11880" w:h="15480" w:orient="portrait"/>
          <w:cols w:equalWidth="0" w:num="2">
            <w:col w:w="4820" w:space="680"/>
            <w:col w:w="4800"/>
          </w:cols>
          <w:pgMar w:left="720" w:top="1440" w:right="860" w:bottom="270" w:gutter="0" w:footer="0" w:header="0"/>
          <w:type w:val="continuous"/>
        </w:sectPr>
      </w:pPr>
    </w:p>
    <w:p>
      <w:pPr>
        <w:spacing w:after="0"/>
        <w:rPr>
          <w:sz w:val="20"/>
          <w:szCs w:val="20"/>
          <w:color w:val="auto"/>
        </w:rPr>
      </w:pPr>
      <w:r>
        <w:rPr>
          <w:rFonts w:ascii="Arial" w:cs="Arial" w:eastAsia="Arial" w:hAnsi="Arial"/>
          <w:sz w:val="16"/>
          <w:szCs w:val="16"/>
          <w:color w:val="191919"/>
        </w:rPr>
        <w:t>Executive Vice President of Reservoir Engineering and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191919"/>
        </w:rPr>
        <w:t>Senior Asset Manager</w:t>
      </w:r>
    </w:p>
    <w:p>
      <w:pPr>
        <w:sectPr>
          <w:pgSz w:w="11880" w:h="15480" w:orient="portrait"/>
          <w:cols w:equalWidth="0" w:num="1">
            <w:col w:w="10300"/>
          </w:cols>
          <w:pgMar w:left="720" w:top="1440" w:right="860" w:bottom="270" w:gutter="0" w:footer="0" w:header="0"/>
          <w:type w:val="continuous"/>
        </w:sectPr>
      </w:pPr>
    </w:p>
    <w:bookmarkStart w:id="7" w:name="page8"/>
    <w:bookmarkEnd w:id="7"/>
    <w:p>
      <w:pPr>
        <w:spacing w:after="0"/>
        <w:rPr>
          <w:sz w:val="20"/>
          <w:szCs w:val="20"/>
          <w:color w:val="auto"/>
        </w:rPr>
      </w:pPr>
      <w:r>
        <w:rPr>
          <w:rFonts w:ascii="Arial" w:cs="Arial" w:eastAsia="Arial" w:hAnsi="Arial"/>
          <w:sz w:val="42"/>
          <w:szCs w:val="42"/>
          <w:b w:val="1"/>
          <w:bCs w:val="1"/>
          <w:color w:val="00002F"/>
        </w:rPr>
        <w:t>Dear Shareholders and Friends</w:t>
      </w:r>
    </w:p>
    <w:p>
      <w:pPr>
        <w:sectPr>
          <w:pgSz w:w="11880" w:h="15480" w:orient="portrait"/>
          <w:cols w:equalWidth="0" w:num="1">
            <w:col w:w="10420"/>
          </w:cols>
          <w:pgMar w:left="720" w:top="627" w:right="740" w:bottom="242" w:gutter="0" w:footer="0" w:header="0"/>
        </w:sect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3E7EAC"/>
        </w:rPr>
        <w:t>Introduction</w:t>
      </w:r>
    </w:p>
    <w:p>
      <w:pPr>
        <w:spacing w:after="0" w:line="28"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color w:val="191919"/>
        </w:rPr>
        <w:t>Matador’s Board of Directors, Executive Committee, staff and I are pleased to celebrate with you another record year for Matador in 2025. It was not easy but throughout the volatile commodity cycles of 2025 and the challenging and uncertain business conditions of 2026, Matador has found ways to succeed by remaining disciplined in a business strategy focused on operational excellence, financial strength, quality assets and profitable growth at a measured pace. These assets and this approach paired with dedicated and skilled staff has consistently generated record results for Matador shareholders year after year. As tangible evidence of this progress, Matador can point to a steady annual growth in the value of its reserves, a steadily increasing annualized dividend, a steady flow of high-quality acreage acquisitions and the addition of meaningful free cash flow through exploration success and continued gains in operational efficiencies, as shown in the graphs and charts included in this report.</w:t>
      </w:r>
    </w:p>
    <w:p>
      <w:pPr>
        <w:spacing w:after="0" w:line="103"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191919"/>
        </w:rPr>
        <w:t xml:space="preserve">The Board and staff’s confidence in Matador’s future also remains strong, with more than 95% of employees participating in our Employee Stock Purchase Plan (ESPP) as well as stock purchases by directors, management and other insiders. Notably, our directors and executive officers have collectively made over 100 purchases and no sales of our stock in the past five years, despite market volatility and challenges in the market and in the industry </w:t>
      </w:r>
      <w:r>
        <w:rPr>
          <w:rFonts w:ascii="Arial" w:cs="Arial" w:eastAsia="Arial" w:hAnsi="Arial"/>
          <w:sz w:val="9"/>
          <w:szCs w:val="9"/>
          <w:color w:val="191919"/>
        </w:rPr>
        <w:t>(1)</w:t>
      </w:r>
      <w:r>
        <w:rPr>
          <w:rFonts w:ascii="Arial" w:cs="Arial" w:eastAsia="Arial" w:hAnsi="Arial"/>
          <w:sz w:val="17"/>
          <w:szCs w:val="17"/>
          <w:color w:val="191919"/>
        </w:rPr>
        <w:t xml:space="preserve">. In light of these circumstances, we like Matador’s chances going forward and hope you do, too. In October of 2025 </w:t>
      </w:r>
      <w:r>
        <w:rPr>
          <w:rFonts w:ascii="Arial" w:cs="Arial" w:eastAsia="Arial" w:hAnsi="Arial"/>
          <w:sz w:val="17"/>
          <w:szCs w:val="17"/>
          <w:i w:val="1"/>
          <w:iCs w:val="1"/>
          <w:color w:val="191919"/>
        </w:rPr>
        <w:t>The Dallas Morning News</w:t>
      </w:r>
      <w:r>
        <w:rPr>
          <w:rFonts w:ascii="Arial" w:cs="Arial" w:eastAsia="Arial" w:hAnsi="Arial"/>
          <w:sz w:val="17"/>
          <w:szCs w:val="17"/>
          <w:color w:val="191919"/>
        </w:rPr>
        <w:t xml:space="preserve"> reported that Matador was the 36th largest public company in Dallas by revenue in 2024. Matador was not only the biggest public oil and gas company in Dallas but also ranked first in profitability per employee across all industries </w:t>
      </w:r>
      <w:r>
        <w:rPr>
          <w:rFonts w:ascii="Arial" w:cs="Arial" w:eastAsia="Arial" w:hAnsi="Arial"/>
          <w:sz w:val="9"/>
          <w:szCs w:val="9"/>
          <w:color w:val="191919"/>
        </w:rPr>
        <w:t>(2)</w:t>
      </w:r>
      <w:r>
        <w:rPr>
          <w:rFonts w:ascii="Arial" w:cs="Arial" w:eastAsia="Arial" w:hAnsi="Arial"/>
          <w:sz w:val="17"/>
          <w:szCs w:val="17"/>
          <w:color w:val="191919"/>
        </w:rPr>
        <w:t>.</w:t>
      </w: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3E7EAC"/>
        </w:rPr>
        <w:t>2025 Accomplishments</w:t>
      </w:r>
    </w:p>
    <w:p>
      <w:pPr>
        <w:spacing w:after="0" w:line="22" w:lineRule="exact"/>
        <w:rPr>
          <w:sz w:val="20"/>
          <w:szCs w:val="20"/>
          <w:color w:val="auto"/>
        </w:rPr>
      </w:pPr>
    </w:p>
    <w:p>
      <w:pPr>
        <w:spacing w:after="0" w:line="281" w:lineRule="auto"/>
        <w:rPr>
          <w:sz w:val="20"/>
          <w:szCs w:val="20"/>
          <w:color w:val="auto"/>
        </w:rPr>
      </w:pPr>
      <w:r>
        <w:rPr>
          <w:rFonts w:ascii="Arial" w:cs="Arial" w:eastAsia="Arial" w:hAnsi="Arial"/>
          <w:sz w:val="17"/>
          <w:szCs w:val="17"/>
          <w:color w:val="191919"/>
        </w:rPr>
        <w:t>Matador remains a unique investment opportunity, founded by friends and family in 1983 with $270,000. Matador now has over $10 billion in assets as of December 31, 2025. It is driven these past 40 years by tightly aligned teams focused on delivering record production, constantly lowering capital costs and seeking midstream opportunities and efficiencies. In 2025, Matador achieved record average daily production of 207,070 BOE per day, a 21% increase year-over-year. Additionally, the wells Matador acquired from Ameredev in 2024 continue to outperform expectations and achieve better than expected production growth. We look forward to these continued favorable realizations and results in 2026. In the second half of 2025, Matador simultaneously brought online its largest batch development to date of 17 wells on the John Callahan lease in the Antelope Ridge asset area. Other multi-well development packages are planned for calendar year 2026 wells.</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289" w:lineRule="auto"/>
        <w:rPr>
          <w:sz w:val="20"/>
          <w:szCs w:val="20"/>
          <w:color w:val="auto"/>
        </w:rPr>
      </w:pPr>
      <w:r>
        <w:rPr>
          <w:rFonts w:ascii="Arial" w:cs="Arial" w:eastAsia="Arial" w:hAnsi="Arial"/>
          <w:sz w:val="17"/>
          <w:szCs w:val="17"/>
          <w:color w:val="191919"/>
        </w:rPr>
        <w:t>Our operations teams outperformed expectations, again by lowering drilling and completion costs from $910 to $842 per completed lateral foot in 2025, which was also a 7% reduction in costs from 2024. These cost improvements reflect meaningful operational advancements, including simul- and trimul -frac operations, increased lateral lengths, large-scale batch development projects, AI-enabled collaboration and other technological advances with our service partners. During 2025, Matador turned to production five wells at or exceeding three-mile lateral lengths and we expect to drill and complete 29 more in 2026 including 11 of which drilled with average lateral lengths of 3.4-miles each. These accomplishments, and others, demonstrate Matador’s growing ability to push technical boundaries to increase the value and capital efficiency of our acreage.</w:t>
      </w:r>
    </w:p>
    <w:p>
      <w:pPr>
        <w:spacing w:after="0" w:line="335"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191919"/>
        </w:rPr>
        <w:t xml:space="preserve">Our land team continued executing our disciplined “brick by brick” acquisition strategy, completing 690 separate transactions totaling approximately 17,500 net acres acquired in 2025. These efforts increased Matador’s premier Delaware Basin acreage position to 212,500 net acres at year-end. As further evidence of the value potential of our asset base, we ended the year with total proved oil and natural gas reserves of 667.0 million BOE, a 9% increase from 611.5 million BOE at year-end 2024 </w:t>
      </w:r>
      <w:r>
        <w:rPr>
          <w:rFonts w:ascii="Arial" w:cs="Arial" w:eastAsia="Arial" w:hAnsi="Arial"/>
          <w:sz w:val="9"/>
          <w:szCs w:val="9"/>
          <w:color w:val="191919"/>
        </w:rPr>
        <w:t>(3)</w:t>
      </w:r>
      <w:r>
        <w:rPr>
          <w:rFonts w:ascii="Arial" w:cs="Arial" w:eastAsia="Arial" w:hAnsi="Arial"/>
          <w:sz w:val="17"/>
          <w:szCs w:val="17"/>
          <w:color w:val="191919"/>
        </w:rPr>
        <w:t xml:space="preserve"> . Approximately 98% of this increase was organic, resulting in a reserve replacement ratio of 173% and reinforcing Matador’s demonstrated ability to grow substantial production and reserves from its existing acreage base.</w:t>
      </w:r>
    </w:p>
    <w:p>
      <w:pPr>
        <w:spacing w:after="0" w:line="105"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191919"/>
        </w:rPr>
        <w:t>Meanwhile, Matador secured 500 MMBtu per day of firm natural gas transportation on Energy Transfer’s new Hugh Brinson pipeline, which is expected to be one of the Company’s most important transportation and marketing arrangements to date. This pipeline is expected to provide direct access</w:t>
      </w:r>
    </w:p>
    <w:p>
      <w:pPr>
        <w:spacing w:after="0" w:line="2" w:lineRule="exact"/>
        <w:rPr>
          <w:sz w:val="20"/>
          <w:szCs w:val="20"/>
          <w:color w:val="auto"/>
        </w:rPr>
      </w:pPr>
    </w:p>
    <w:p>
      <w:pPr>
        <w:ind w:right="100"/>
        <w:spacing w:after="0" w:line="293" w:lineRule="auto"/>
        <w:rPr>
          <w:sz w:val="20"/>
          <w:szCs w:val="20"/>
          <w:color w:val="auto"/>
        </w:rPr>
      </w:pPr>
      <w:r>
        <w:rPr>
          <w:rFonts w:ascii="Arial" w:cs="Arial" w:eastAsia="Arial" w:hAnsi="Arial"/>
          <w:sz w:val="17"/>
          <w:szCs w:val="17"/>
          <w:color w:val="191919"/>
        </w:rPr>
        <w:t>for Matador away from the volatile Waha hub in the Permian Basin to the historically more profitable (and desirable) Henry Hub markets along the Louisiana Gulf Coast. For example, a $0.50 net increase in realized natural gas price would increase Matador’s revenue by approximately $90 million annually. The Hugh Brinson pipeline is also expected to help Matador access other key markets, including data centers supporting Artificial Intelligence (AI) and terminals for exports of Liquified Natural Gas (LNG).</w:t>
      </w: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3E7EAC"/>
        </w:rPr>
        <w:t>Midstream Value</w:t>
      </w:r>
    </w:p>
    <w:p>
      <w:pPr>
        <w:spacing w:after="0" w:line="28" w:lineRule="exact"/>
        <w:rPr>
          <w:sz w:val="20"/>
          <w:szCs w:val="20"/>
          <w:color w:val="auto"/>
        </w:rPr>
      </w:pPr>
    </w:p>
    <w:p>
      <w:pPr>
        <w:ind w:right="60"/>
        <w:spacing w:after="0" w:line="300" w:lineRule="auto"/>
        <w:rPr>
          <w:sz w:val="20"/>
          <w:szCs w:val="20"/>
          <w:color w:val="auto"/>
        </w:rPr>
      </w:pPr>
      <w:r>
        <w:rPr>
          <w:rFonts w:ascii="Arial" w:cs="Arial" w:eastAsia="Arial" w:hAnsi="Arial"/>
          <w:sz w:val="17"/>
          <w:szCs w:val="17"/>
          <w:color w:val="191919"/>
        </w:rPr>
        <w:t>San Mateo, Matador’s 51%-owned midstream joint venture, continues to provide essential infrastructure and flow assurance for both Matador and third parties in the broader Delaware Basin. Since its inception in 2017 with approximately 48 miles of three stream pipelines, San Mateo (Midstream) has expanded to roughly 660 miles of pipeline by year-end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-3454400</wp:posOffset>
                </wp:positionH>
                <wp:positionV relativeFrom="paragraph">
                  <wp:posOffset>55880</wp:posOffset>
                </wp:positionV>
                <wp:extent cx="66294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191919"/>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2pt,4.4pt" to="250pt,4.4pt" o:allowincell="f" strokecolor="#191919" strokeweight="0.5pt"/>
            </w:pict>
          </mc:Fallback>
        </mc:AlternateContent>
      </w:r>
    </w:p>
    <w:p>
      <w:pPr>
        <w:spacing w:after="0" w:line="200" w:lineRule="exact"/>
        <w:rPr>
          <w:sz w:val="20"/>
          <w:szCs w:val="20"/>
          <w:color w:val="auto"/>
        </w:rPr>
      </w:pPr>
    </w:p>
    <w:p>
      <w:pPr>
        <w:sectPr>
          <w:pgSz w:w="11880" w:h="15480" w:orient="portrait"/>
          <w:cols w:equalWidth="0" w:num="2">
            <w:col w:w="4980" w:space="460"/>
            <w:col w:w="4980"/>
          </w:cols>
          <w:pgMar w:left="720" w:top="627" w:right="740" w:bottom="242" w:gutter="0" w:footer="0" w:header="0"/>
          <w:type w:val="continuous"/>
        </w:sectPr>
      </w:pPr>
    </w:p>
    <w:p>
      <w:pPr>
        <w:spacing w:after="0" w:line="46" w:lineRule="exact"/>
        <w:rPr>
          <w:sz w:val="20"/>
          <w:szCs w:val="20"/>
          <w:color w:val="auto"/>
        </w:rPr>
      </w:pPr>
    </w:p>
    <w:p>
      <w:pPr>
        <w:ind w:left="100" w:hanging="100"/>
        <w:spacing w:after="0"/>
        <w:tabs>
          <w:tab w:leader="none" w:pos="100" w:val="left"/>
        </w:tabs>
        <w:numPr>
          <w:ilvl w:val="0"/>
          <w:numId w:val="7"/>
        </w:numPr>
        <w:rPr>
          <w:rFonts w:ascii="Arial" w:cs="Arial" w:eastAsia="Arial" w:hAnsi="Arial"/>
          <w:sz w:val="8"/>
          <w:szCs w:val="8"/>
          <w:color w:val="191919"/>
        </w:rPr>
      </w:pPr>
      <w:r>
        <w:rPr>
          <w:rFonts w:ascii="Arial" w:cs="Arial" w:eastAsia="Arial" w:hAnsi="Arial"/>
          <w:sz w:val="13"/>
          <w:szCs w:val="13"/>
          <w:color w:val="191919"/>
        </w:rPr>
        <w:t>Based on Section 16 filings since April 1, 2021.</w:t>
      </w:r>
    </w:p>
    <w:p>
      <w:pPr>
        <w:spacing w:after="0" w:line="91" w:lineRule="exact"/>
        <w:rPr>
          <w:rFonts w:ascii="Arial" w:cs="Arial" w:eastAsia="Arial" w:hAnsi="Arial"/>
          <w:sz w:val="8"/>
          <w:szCs w:val="8"/>
          <w:color w:val="191919"/>
        </w:rPr>
      </w:pPr>
    </w:p>
    <w:p>
      <w:pPr>
        <w:ind w:left="100" w:right="60" w:hanging="100"/>
        <w:spacing w:after="0" w:line="305" w:lineRule="auto"/>
        <w:tabs>
          <w:tab w:leader="none" w:pos="103" w:val="left"/>
        </w:tabs>
        <w:numPr>
          <w:ilvl w:val="0"/>
          <w:numId w:val="7"/>
        </w:numPr>
        <w:rPr>
          <w:rFonts w:ascii="Arial" w:cs="Arial" w:eastAsia="Arial" w:hAnsi="Arial"/>
          <w:sz w:val="8"/>
          <w:szCs w:val="8"/>
          <w:color w:val="191919"/>
        </w:rPr>
      </w:pPr>
      <w:r>
        <w:rPr>
          <w:rFonts w:ascii="Arial" w:cs="Arial" w:eastAsia="Arial" w:hAnsi="Arial"/>
          <w:sz w:val="13"/>
          <w:szCs w:val="13"/>
          <w:color w:val="191919"/>
        </w:rPr>
        <w:t xml:space="preserve">Source: </w:t>
      </w:r>
      <w:r>
        <w:rPr>
          <w:rFonts w:ascii="Arial" w:cs="Arial" w:eastAsia="Arial" w:hAnsi="Arial"/>
          <w:sz w:val="13"/>
          <w:szCs w:val="13"/>
          <w:i w:val="1"/>
          <w:iCs w:val="1"/>
          <w:color w:val="191919"/>
        </w:rPr>
        <w:t>The Dallas Morning News</w:t>
      </w:r>
      <w:r>
        <w:rPr>
          <w:rFonts w:ascii="Arial" w:cs="Arial" w:eastAsia="Arial" w:hAnsi="Arial"/>
          <w:sz w:val="13"/>
          <w:szCs w:val="13"/>
          <w:color w:val="191919"/>
        </w:rPr>
        <w:t xml:space="preserve"> article published on October 5, 2025. Note: Revenue per employee is calculated using total 2024 full-year revenue and the employee count as of year-end 2024 and is compared to the top 50 companies listed in </w:t>
      </w:r>
      <w:r>
        <w:rPr>
          <w:rFonts w:ascii="Arial" w:cs="Arial" w:eastAsia="Arial" w:hAnsi="Arial"/>
          <w:sz w:val="13"/>
          <w:szCs w:val="13"/>
          <w:i w:val="1"/>
          <w:iCs w:val="1"/>
          <w:color w:val="191919"/>
        </w:rPr>
        <w:t>The Dallas Morning News</w:t>
      </w:r>
      <w:r>
        <w:rPr>
          <w:rFonts w:ascii="Arial" w:cs="Arial" w:eastAsia="Arial" w:hAnsi="Arial"/>
          <w:sz w:val="13"/>
          <w:szCs w:val="13"/>
          <w:color w:val="191919"/>
        </w:rPr>
        <w:t xml:space="preserve"> article.</w:t>
      </w:r>
    </w:p>
    <w:p>
      <w:pPr>
        <w:spacing w:after="0" w:line="1" w:lineRule="exact"/>
        <w:rPr>
          <w:rFonts w:ascii="Arial" w:cs="Arial" w:eastAsia="Arial" w:hAnsi="Arial"/>
          <w:sz w:val="8"/>
          <w:szCs w:val="8"/>
          <w:color w:val="191919"/>
        </w:rPr>
      </w:pPr>
    </w:p>
    <w:p>
      <w:pPr>
        <w:ind w:left="100" w:right="160" w:hanging="100"/>
        <w:spacing w:after="0" w:line="305" w:lineRule="auto"/>
        <w:tabs>
          <w:tab w:leader="none" w:pos="104" w:val="left"/>
        </w:tabs>
        <w:numPr>
          <w:ilvl w:val="0"/>
          <w:numId w:val="7"/>
        </w:numPr>
        <w:rPr>
          <w:rFonts w:ascii="Arial" w:cs="Arial" w:eastAsia="Arial" w:hAnsi="Arial"/>
          <w:sz w:val="8"/>
          <w:szCs w:val="8"/>
          <w:color w:val="191919"/>
        </w:rPr>
      </w:pPr>
      <w:r>
        <w:rPr>
          <w:rFonts w:ascii="Arial" w:cs="Arial" w:eastAsia="Arial" w:hAnsi="Arial"/>
          <w:sz w:val="13"/>
          <w:szCs w:val="13"/>
          <w:color w:val="191919"/>
        </w:rPr>
        <w:t>PV-10 as of December 31, 2025; using SEC pricing of $61.82 per Bbl and $3.39 per MMBtu, as audited by NSAI. PV-10 is a non-GAAP financial measure. For a definition of PV-10 and a reconciliation to Standardized Measure, see “Business-Estimated Proves Reserves” in the Annual Report on Form 10-K enclosed herein.</w:t>
      </w:r>
    </w:p>
    <w:p>
      <w:pPr>
        <w:ind w:left="120" w:hanging="120"/>
        <w:spacing w:after="0"/>
        <w:tabs>
          <w:tab w:leader="none" w:pos="120" w:val="left"/>
        </w:tabs>
        <w:numPr>
          <w:ilvl w:val="0"/>
          <w:numId w:val="7"/>
        </w:numPr>
        <w:rPr>
          <w:rFonts w:ascii="Arial" w:cs="Arial" w:eastAsia="Arial" w:hAnsi="Arial"/>
          <w:sz w:val="8"/>
          <w:szCs w:val="8"/>
          <w:color w:val="191919"/>
        </w:rPr>
      </w:pPr>
      <w:r>
        <w:rPr>
          <w:rFonts w:ascii="Arial" w:cs="Arial" w:eastAsia="Arial" w:hAnsi="Arial"/>
          <w:sz w:val="13"/>
          <w:szCs w:val="13"/>
          <w:color w:val="191919"/>
        </w:rPr>
        <w:t>Adjusted EBITDA is a non-GAAP financial measure. For a definition and reconciliations to the comparable GAAP measures, see Additional Financial Information.</w:t>
      </w:r>
    </w:p>
    <w:p>
      <w:pPr>
        <w:sectPr>
          <w:pgSz w:w="11880" w:h="15480" w:orient="portrait"/>
          <w:cols w:equalWidth="0" w:num="1">
            <w:col w:w="10420"/>
          </w:cols>
          <w:pgMar w:left="720" w:top="627" w:right="740" w:bottom="242" w:gutter="0" w:footer="0" w:header="0"/>
          <w:type w:val="continuous"/>
        </w:sectPr>
      </w:pPr>
    </w:p>
    <w:bookmarkStart w:id="8" w:name="page9"/>
    <w:bookmarkEnd w:id="8"/>
    <w:p>
      <w:pPr>
        <w:spacing w:after="0" w:line="282" w:lineRule="auto"/>
        <w:rPr>
          <w:sz w:val="20"/>
          <w:szCs w:val="20"/>
          <w:color w:val="auto"/>
        </w:rPr>
      </w:pPr>
      <w:r>
        <w:rPr>
          <w:rFonts w:ascii="Arial" w:cs="Arial" w:eastAsia="Arial" w:hAnsi="Arial"/>
          <w:sz w:val="17"/>
          <w:szCs w:val="17"/>
          <w:color w:val="191919"/>
        </w:rPr>
        <w:t>2025, an increase that highlights its consistent growth and its critical role in supporting Matador’s production and takeaway needs as well as providing flow assurance to other operators in the Delaware Basin. Reflecting the strength of the midstream business and lender confidence in its future, all 16 banks in San Mateo’s revolving credit facility unanimously renewed their lending commitments and unanimously approved a</w:t>
      </w:r>
    </w:p>
    <w:p>
      <w:pPr>
        <w:spacing w:after="0" w:line="2" w:lineRule="exact"/>
        <w:rPr>
          <w:sz w:val="20"/>
          <w:szCs w:val="20"/>
          <w:color w:val="auto"/>
        </w:rPr>
      </w:pPr>
    </w:p>
    <w:p>
      <w:pPr>
        <w:spacing w:after="0" w:line="292" w:lineRule="auto"/>
        <w:rPr>
          <w:sz w:val="20"/>
          <w:szCs w:val="20"/>
          <w:color w:val="auto"/>
        </w:rPr>
      </w:pPr>
      <w:r>
        <w:rPr>
          <w:rFonts w:ascii="Arial" w:cs="Arial" w:eastAsia="Arial" w:hAnsi="Arial"/>
          <w:sz w:val="17"/>
          <w:szCs w:val="17"/>
          <w:color w:val="191919"/>
        </w:rPr>
        <w:t xml:space="preserve">29% increase in aggregate commitments from $850 million to $1.10 billion. San Mateo and Matador’s wholly-owned midstream assets earned Adjusted EBITDA of $332 million on a combined basis at year end 2025 </w:t>
      </w:r>
      <w:r>
        <w:rPr>
          <w:rFonts w:ascii="Arial" w:cs="Arial" w:eastAsia="Arial" w:hAnsi="Arial"/>
          <w:sz w:val="9"/>
          <w:szCs w:val="9"/>
          <w:color w:val="191919"/>
        </w:rPr>
        <w:t>(4)</w:t>
      </w:r>
      <w:r>
        <w:rPr>
          <w:rFonts w:ascii="Arial" w:cs="Arial" w:eastAsia="Arial" w:hAnsi="Arial"/>
          <w:sz w:val="17"/>
          <w:szCs w:val="17"/>
          <w:color w:val="191919"/>
        </w:rPr>
        <w:t>, a 16% increase as compared to Adjusted EBITDA of $286 million on a combined basis in 2024. Matador sees significant opportunities to further expand San Mateo’s midstream business in 2026 as both Matador and San Mateo pursue growing volumes in new and old areas, building on the strong momentum of its oil and gas production established in 2025.</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3E7EAC"/>
        </w:rPr>
        <w:t>Financial Strength</w:t>
      </w:r>
    </w:p>
    <w:p>
      <w:pPr>
        <w:spacing w:after="0" w:line="28"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191919"/>
        </w:rPr>
        <w:t>Matador will continue to pursue acquisitions and drilling opportunities to generate additional free cash flow and reserve growth while focusing on maintaining its strong, resilient balance sheet or its asset base. In 2025, the Company repaid approximately $200 million borrowed on our Reserve- Based Lending (RBL) credit facility and ended the year with a leverage ratio of approximately 1.1x and $1.8 billion of liquidity under the RBL. To further protect or cushion Matador’s balance sheet from market volatility or market fluctuations, Matador hedged approximately 50% of our projected 2026 production using costless collars with a weighted average floor price of approximately $53 per barrel and a weighted average ceiling price of approximately $66 per barrel.</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3E7EAC"/>
        </w:rPr>
        <w:t>Shareholder Returns</w:t>
      </w:r>
    </w:p>
    <w:p>
      <w:pPr>
        <w:spacing w:after="0" w:line="28" w:lineRule="exact"/>
        <w:rPr>
          <w:sz w:val="20"/>
          <w:szCs w:val="20"/>
          <w:color w:val="auto"/>
        </w:rPr>
      </w:pPr>
    </w:p>
    <w:p>
      <w:pPr>
        <w:ind w:right="140"/>
        <w:spacing w:after="0" w:line="300" w:lineRule="auto"/>
        <w:rPr>
          <w:sz w:val="20"/>
          <w:szCs w:val="20"/>
          <w:color w:val="auto"/>
        </w:rPr>
      </w:pPr>
      <w:r>
        <w:rPr>
          <w:rFonts w:ascii="Arial" w:cs="Arial" w:eastAsia="Arial" w:hAnsi="Arial"/>
          <w:sz w:val="17"/>
          <w:szCs w:val="17"/>
          <w:color w:val="191919"/>
        </w:rPr>
        <w:t>Matador believes that increasing our fixed dividend remains the most meaningful way to return cash to our shareholders. We are pleased that Matador’s Board of Directors approved two increases in Matador’s dividend policy in 2025, ultimately raising the quarterly dividend to $0.375, or $1.50 annually (See next page).</w:t>
      </w:r>
    </w:p>
    <w:p>
      <w:pPr>
        <w:spacing w:after="0" w:line="94" w:lineRule="exact"/>
        <w:rPr>
          <w:sz w:val="20"/>
          <w:szCs w:val="20"/>
          <w:color w:val="auto"/>
        </w:rPr>
      </w:pPr>
    </w:p>
    <w:p>
      <w:pPr>
        <w:ind w:right="40"/>
        <w:spacing w:after="0" w:line="294" w:lineRule="auto"/>
        <w:rPr>
          <w:sz w:val="20"/>
          <w:szCs w:val="20"/>
          <w:color w:val="auto"/>
        </w:rPr>
      </w:pPr>
      <w:r>
        <w:rPr>
          <w:rFonts w:ascii="Arial" w:cs="Arial" w:eastAsia="Arial" w:hAnsi="Arial"/>
          <w:sz w:val="17"/>
          <w:szCs w:val="17"/>
          <w:color w:val="191919"/>
        </w:rPr>
        <w:t>This marked the seventh dividend increase in the past five years and reflects Matador’s continued commitment to delivering additional value to our shareholders as Matador grows. In the first quarter of 2025, Matador’s Board of Directors authorized the repurchase of up to $400 million of Matador’s common stock, and the Company has repurchased $55.8 million of Matador’s shares as of December 31, 2025. This strategic action provides another meaningful avenue for returning value to shareholders.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3E7EAC"/>
        </w:rPr>
        <w:t>2026 Outlook</w:t>
      </w:r>
    </w:p>
    <w:p>
      <w:pPr>
        <w:spacing w:after="0" w:line="28" w:lineRule="exact"/>
        <w:rPr>
          <w:sz w:val="20"/>
          <w:szCs w:val="20"/>
          <w:color w:val="auto"/>
        </w:rPr>
      </w:pPr>
    </w:p>
    <w:p>
      <w:pPr>
        <w:ind w:right="200"/>
        <w:spacing w:after="0" w:line="313" w:lineRule="auto"/>
        <w:rPr>
          <w:sz w:val="20"/>
          <w:szCs w:val="20"/>
          <w:color w:val="auto"/>
        </w:rPr>
      </w:pPr>
      <w:r>
        <w:rPr>
          <w:rFonts w:ascii="Arial" w:cs="Arial" w:eastAsia="Arial" w:hAnsi="Arial"/>
          <w:sz w:val="17"/>
          <w:szCs w:val="17"/>
          <w:color w:val="191919"/>
        </w:rPr>
        <w:t>Matador remains optimistic about our 2026 objectives to increase production while reducing capital spending, expanding our midstream footprint and staying opportunistic on acquisition opportunities that may arise. We project oil</w:t>
      </w:r>
    </w:p>
    <w:p>
      <w:pPr>
        <w:spacing w:after="0" w:line="20" w:lineRule="exact"/>
        <w:rPr>
          <w:sz w:val="20"/>
          <w:szCs w:val="20"/>
          <w:color w:val="auto"/>
        </w:rPr>
      </w:pPr>
      <w:r>
        <w:rPr>
          <w:sz w:val="20"/>
          <w:szCs w:val="20"/>
          <w:color w:val="auto"/>
        </w:rPr>
        <w:br w:type="column"/>
      </w:r>
    </w:p>
    <w:p>
      <w:pPr>
        <w:ind w:right="160"/>
        <w:spacing w:after="0" w:line="289" w:lineRule="auto"/>
        <w:rPr>
          <w:sz w:val="20"/>
          <w:szCs w:val="20"/>
          <w:color w:val="auto"/>
        </w:rPr>
      </w:pPr>
      <w:r>
        <w:rPr>
          <w:rFonts w:ascii="Arial" w:cs="Arial" w:eastAsia="Arial" w:hAnsi="Arial"/>
          <w:sz w:val="17"/>
          <w:szCs w:val="17"/>
          <w:color w:val="191919"/>
        </w:rPr>
        <w:t>production to grow approximately 3% to 123,000 barrels per day in 2026, while reducing total capital expenditures by 11% to $1.50 billion, as compared to 2025. Drilling and completion costs are expected to average $795 per lateral foot in 2026, a 6% improvement from 2025. We also look forward to the Hugh Brinson project coming online and being fully in service, which is expected to be in the second half of 2026 creating the opportunity to generate additional cash flow. We continue to evaluate other opportunities to enhance our high-quality acreage and maximize the value of our core Delaware Basin position. The strong relationships we maintain with our field personnel, service providers, and industry partners help us identify and execute future win-win solutions, for Matador and San Mateo. (Please see back cover for more details.)</w:t>
      </w: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3E7EAC"/>
        </w:rPr>
        <w:t>Shareholder Meeting</w:t>
      </w:r>
    </w:p>
    <w:p>
      <w:pPr>
        <w:spacing w:after="0" w:line="28"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191919"/>
        </w:rPr>
        <w:t>We invite all of you to attend our Annual Shareholders Meeting on June 11th, 2026, at the Hilton Dallas Lincoln Center. We hope that you will join us in person or via the live broadcast, as over 300 shareholders and friends come together to meet and engage with Matador’s directors, management, and staff. Additional details about our meeting and live broadcast will be available on our website. We hope to see you there “to meet and greet you” as we celebrate Matador’s 40 years of progress and review our 2025 results and our 2026 plans and objectives. As in years past, our young and talented staff will be present answering questions and demonstrating how oilfield tools and equipment work. Our senior staff will also be there to welcome you and answer any questions you may have.</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3E7EAC"/>
        </w:rPr>
        <w:t>Thank You!</w:t>
      </w:r>
    </w:p>
    <w:p>
      <w:pPr>
        <w:spacing w:after="0" w:line="28" w:lineRule="exact"/>
        <w:rPr>
          <w:sz w:val="20"/>
          <w:szCs w:val="20"/>
          <w:color w:val="auto"/>
        </w:rPr>
      </w:pPr>
    </w:p>
    <w:p>
      <w:pPr>
        <w:spacing w:after="0" w:line="291" w:lineRule="auto"/>
        <w:rPr>
          <w:sz w:val="20"/>
          <w:szCs w:val="20"/>
          <w:color w:val="auto"/>
        </w:rPr>
      </w:pPr>
      <w:r>
        <w:rPr>
          <w:rFonts w:ascii="Arial" w:cs="Arial" w:eastAsia="Arial" w:hAnsi="Arial"/>
          <w:sz w:val="17"/>
          <w:szCs w:val="17"/>
          <w:color w:val="191919"/>
        </w:rPr>
        <w:t>Matador could not have grown from just $270,000 in capital from family and friends in 1983 to now over $10 billion in assets as of December 31, 2025, without the steadfast support of our shareholders, Board, executive team and our office and field teams. We also value our strong relationships with our banks and vendors, who have helped us expand our array of strategic opportunities and establish Matador as an exploration and production leader in the Delaware Basin and in Dallas. We look forward to continuing this growth and welcome you to visit us at our Dallas office anytime to meet our staff and to hear about our activities.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191919"/>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-66675</wp:posOffset>
            </wp:positionV>
            <wp:extent cx="2597785" cy="16008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extLst>
                    </a:blip>
                    <a:srcRect/>
                    <a:stretch>
                      <a:fillRect/>
                    </a:stretch>
                  </pic:blipFill>
                  <pic:spPr bwMode="auto">
                    <a:xfrm>
                      <a:off x="0" y="0"/>
                      <a:ext cx="2597785" cy="160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3E7EAC"/>
        </w:rPr>
        <w:t>Joseph Wm. Foran</w:t>
      </w:r>
    </w:p>
    <w:p>
      <w:pPr>
        <w:spacing w:after="0" w:line="4" w:lineRule="exact"/>
        <w:rPr>
          <w:sz w:val="20"/>
          <w:szCs w:val="20"/>
          <w:color w:val="auto"/>
        </w:rPr>
      </w:pPr>
    </w:p>
    <w:p>
      <w:pPr>
        <w:ind w:left="700"/>
        <w:spacing w:after="0"/>
        <w:rPr>
          <w:sz w:val="20"/>
          <w:szCs w:val="20"/>
          <w:color w:val="auto"/>
        </w:rPr>
      </w:pPr>
      <w:r>
        <w:rPr>
          <w:rFonts w:ascii="Arial" w:cs="Arial" w:eastAsia="Arial" w:hAnsi="Arial"/>
          <w:sz w:val="16"/>
          <w:szCs w:val="16"/>
          <w:color w:val="00002F"/>
        </w:rPr>
        <w:t>Founder, Chairman &amp; CEO</w:t>
      </w:r>
    </w:p>
    <w:p>
      <w:pPr>
        <w:sectPr>
          <w:pgSz w:w="11880" w:h="15480" w:orient="portrait"/>
          <w:cols w:equalWidth="0" w:num="2">
            <w:col w:w="4960" w:space="480"/>
            <w:col w:w="4980"/>
          </w:cols>
          <w:pgMar w:left="720" w:top="1402" w:right="740" w:bottom="109" w:gutter="0" w:footer="0" w:header="0"/>
        </w:sectPr>
      </w:pPr>
    </w:p>
    <w:bookmarkStart w:id="9" w:name="page10"/>
    <w:bookmarkEnd w:id="9"/>
    <w:p>
      <w:pPr>
        <w:spacing w:after="0"/>
        <w:rPr>
          <w:sz w:val="20"/>
          <w:szCs w:val="20"/>
          <w:color w:val="auto"/>
        </w:rPr>
      </w:pPr>
      <w:r>
        <w:rPr>
          <w:rFonts w:ascii="Arial" w:cs="Arial" w:eastAsia="Arial" w:hAnsi="Arial"/>
          <w:sz w:val="50"/>
          <w:szCs w:val="50"/>
          <w:b w:val="1"/>
          <w:bCs w:val="1"/>
          <w:color w:val="FB662D"/>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100" w:right="400"/>
        <w:spacing w:after="0" w:line="387" w:lineRule="auto"/>
        <w:rPr>
          <w:sz w:val="20"/>
          <w:szCs w:val="20"/>
          <w:color w:val="auto"/>
        </w:rPr>
      </w:pPr>
      <w:r>
        <w:rPr>
          <w:rFonts w:ascii="Arial" w:cs="Arial" w:eastAsia="Arial" w:hAnsi="Arial"/>
          <w:sz w:val="18"/>
          <w:szCs w:val="18"/>
          <w:b w:val="1"/>
          <w:bCs w:val="1"/>
          <w:color w:val="FFFFFF"/>
        </w:rPr>
        <w:t xml:space="preserve">Matador </w:t>
      </w:r>
      <w:r>
        <w:rPr>
          <w:rFonts w:ascii="Arial" w:cs="Arial" w:eastAsia="Arial" w:hAnsi="Arial"/>
          <w:sz w:val="18"/>
          <w:szCs w:val="18"/>
          <w:color w:val="FFFFFF"/>
        </w:rPr>
        <w:t>is an independent energy company that, together with its predecessor companies, has</w:t>
      </w:r>
      <w:r>
        <w:rPr>
          <w:rFonts w:ascii="Arial" w:cs="Arial" w:eastAsia="Arial" w:hAnsi="Arial"/>
          <w:sz w:val="18"/>
          <w:szCs w:val="18"/>
          <w:b w:val="1"/>
          <w:bCs w:val="1"/>
          <w:color w:val="FFFFFF"/>
        </w:rPr>
        <w:t xml:space="preserve"> </w:t>
      </w:r>
      <w:r>
        <w:rPr>
          <w:rFonts w:ascii="Arial" w:cs="Arial" w:eastAsia="Arial" w:hAnsi="Arial"/>
          <w:sz w:val="18"/>
          <w:szCs w:val="18"/>
          <w:color w:val="FFFFFF"/>
        </w:rPr>
        <w:t>operated for over 40 years after being founded with investments from friends and family. Matador is engaged in the exploration, development, production and acquisition of oil and natural gas resources in the United States, with an emphasis on oil and natural gas shale and other unconventional plays. Its current operations are focused primarily on the oil and liquids-rich portion of the Wolfcamp and Bone Spring plays in the Delaware Basin in Southeast New Mexico and West Texas. Matador also operates in the Haynesville shale and Cotton Valley plays in Northwest Louisiana.</w:t>
      </w:r>
    </w:p>
    <w:p>
      <w:pPr>
        <w:spacing w:after="0" w:line="178" w:lineRule="exact"/>
        <w:rPr>
          <w:sz w:val="20"/>
          <w:szCs w:val="20"/>
          <w:color w:val="auto"/>
        </w:rPr>
      </w:pPr>
    </w:p>
    <w:p>
      <w:pPr>
        <w:ind w:left="1100" w:right="380"/>
        <w:spacing w:after="0" w:line="386" w:lineRule="auto"/>
        <w:rPr>
          <w:sz w:val="20"/>
          <w:szCs w:val="20"/>
          <w:color w:val="auto"/>
        </w:rPr>
      </w:pPr>
      <w:r>
        <w:rPr>
          <w:rFonts w:ascii="Arial" w:cs="Arial" w:eastAsia="Arial" w:hAnsi="Arial"/>
          <w:sz w:val="18"/>
          <w:szCs w:val="18"/>
          <w:color w:val="FFFFFF"/>
        </w:rPr>
        <w:t>Additionally, Matador owns and operates midstream assets in support of its exploration, development and production operations and provides natural gas processing, oil transportation services, natural gas, oil and produced water gathering services and produced water disposal services to third parties. Presently, the assets owned and operated by Matador and its midstream joint venture, San Mateo, include over 900 miles of pipelines, 19 saltwater disposal wells and processing plants with 720 MMcf per day of natural gas processing capacity. These assets provide flow assurance to Matador and to third-party customers.</w:t>
      </w:r>
    </w:p>
    <w:p>
      <w:pPr>
        <w:sectPr>
          <w:pgSz w:w="11880" w:h="15480" w:orient="portrait"/>
          <w:cols w:equalWidth="0" w:num="1">
            <w:col w:w="9720"/>
          </w:cols>
          <w:pgMar w:left="720" w:top="6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760" w:right="260"/>
        <w:spacing w:after="0" w:line="263" w:lineRule="auto"/>
        <w:rPr>
          <w:sz w:val="20"/>
          <w:szCs w:val="20"/>
          <w:color w:val="auto"/>
        </w:rPr>
      </w:pPr>
      <w:r>
        <w:rPr>
          <w:rFonts w:ascii="Arial" w:cs="Arial" w:eastAsia="Arial" w:hAnsi="Arial"/>
          <w:sz w:val="36"/>
          <w:szCs w:val="36"/>
          <w:b w:val="1"/>
          <w:bCs w:val="1"/>
          <w:color w:val="FFFFFF"/>
        </w:rPr>
        <w:t>Steadily Increasing Fixed Dividend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ind w:left="80"/>
        <w:spacing w:after="0"/>
        <w:tabs>
          <w:tab w:leader="none" w:pos="1820" w:val="left"/>
        </w:tabs>
        <w:rPr>
          <w:sz w:val="20"/>
          <w:szCs w:val="20"/>
          <w:color w:val="auto"/>
        </w:rPr>
      </w:pPr>
      <w:r>
        <w:rPr>
          <w:rFonts w:ascii="Arial" w:cs="Arial" w:eastAsia="Arial" w:hAnsi="Arial"/>
          <w:sz w:val="46"/>
          <w:szCs w:val="46"/>
          <w:b w:val="1"/>
          <w:bCs w:val="1"/>
          <w:color w:val="FFFFFF"/>
          <w:vertAlign w:val="superscript"/>
        </w:rPr>
        <w:t>+73%</w:t>
      </w:r>
      <w:r>
        <w:rPr>
          <w:sz w:val="20"/>
          <w:szCs w:val="20"/>
          <w:color w:val="auto"/>
        </w:rPr>
        <w:tab/>
      </w:r>
      <w:r>
        <w:rPr>
          <w:rFonts w:ascii="Arial" w:cs="Arial" w:eastAsia="Arial" w:hAnsi="Arial"/>
          <w:sz w:val="17"/>
          <w:szCs w:val="17"/>
          <w:b w:val="1"/>
          <w:bCs w:val="1"/>
          <w:color w:val="FFFFFF"/>
        </w:rPr>
        <w:t>$1.50</w:t>
      </w:r>
    </w:p>
    <w:p>
      <w:pPr>
        <w:spacing w:after="0" w:line="101" w:lineRule="exact"/>
        <w:rPr>
          <w:sz w:val="20"/>
          <w:szCs w:val="20"/>
          <w:color w:val="auto"/>
        </w:rPr>
      </w:pPr>
    </w:p>
    <w:p>
      <w:pPr>
        <w:spacing w:after="0"/>
        <w:rPr>
          <w:sz w:val="20"/>
          <w:szCs w:val="20"/>
          <w:color w:val="auto"/>
        </w:rPr>
      </w:pPr>
      <w:r>
        <w:rPr>
          <w:rFonts w:ascii="Arial" w:cs="Arial" w:eastAsia="Arial" w:hAnsi="Arial"/>
          <w:sz w:val="23"/>
          <w:szCs w:val="23"/>
          <w:b w:val="1"/>
          <w:bCs w:val="1"/>
          <w:color w:val="FFFFFF"/>
        </w:rPr>
        <w:t>CAGR</w:t>
      </w:r>
    </w:p>
    <w:p>
      <w:pPr>
        <w:spacing w:after="0" w:line="389" w:lineRule="exact"/>
        <w:rPr>
          <w:sz w:val="20"/>
          <w:szCs w:val="20"/>
          <w:color w:val="auto"/>
        </w:rPr>
      </w:pPr>
    </w:p>
    <w:p>
      <w:pPr>
        <w:sectPr>
          <w:pgSz w:w="11880" w:h="15480" w:orient="portrait"/>
          <w:cols w:equalWidth="0" w:num="2">
            <w:col w:w="5340" w:space="720"/>
            <w:col w:w="3660"/>
          </w:cols>
          <w:pgMar w:left="720" w:top="618" w:right="1440" w:bottom="1440" w:gutter="0" w:footer="0" w:header="0"/>
          <w:type w:val="continuous"/>
        </w:sectPr>
      </w:pPr>
    </w:p>
    <w:tbl>
      <w:tblPr>
        <w:tblLayout w:type="fixed"/>
        <w:tblInd w:w="1780" w:type="dxa"/>
        <w:tblCellMar>
          <w:top w:w="0" w:type="dxa"/>
          <w:left w:w="0" w:type="dxa"/>
          <w:bottom w:w="0" w:type="dxa"/>
          <w:right w:w="0" w:type="dxa"/>
        </w:tblCellMar>
      </w:tblPr>
      <w:tr>
        <w:trPr>
          <w:trHeight w:val="207"/>
        </w:trPr>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35"/>
              <w:spacing w:after="0"/>
              <w:rPr>
                <w:sz w:val="20"/>
                <w:szCs w:val="20"/>
                <w:color w:val="auto"/>
              </w:rPr>
            </w:pPr>
            <w:r>
              <w:rPr>
                <w:rFonts w:ascii="Arial" w:cs="Arial" w:eastAsia="Arial" w:hAnsi="Arial"/>
                <w:sz w:val="17"/>
                <w:szCs w:val="17"/>
                <w:color w:val="FFFFFF"/>
              </w:rPr>
              <w:t>$1.25</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5"/>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7"/>
                <w:szCs w:val="17"/>
                <w:color w:val="FFFFFF"/>
              </w:rPr>
              <w:t>$1.00</w:t>
            </w: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gridSpan w:val="3"/>
            <w:vMerge w:val="restart"/>
          </w:tcPr>
          <w:p>
            <w:pPr>
              <w:jc w:val="right"/>
              <w:ind w:right="220"/>
              <w:spacing w:after="0"/>
              <w:rPr>
                <w:sz w:val="20"/>
                <w:szCs w:val="20"/>
                <w:color w:val="auto"/>
              </w:rPr>
            </w:pPr>
            <w:r>
              <w:rPr>
                <w:rFonts w:ascii="Arial" w:cs="Arial" w:eastAsia="Arial" w:hAnsi="Arial"/>
                <w:sz w:val="17"/>
                <w:szCs w:val="17"/>
                <w:color w:val="FFFFFF"/>
              </w:rPr>
              <w:t>$0.80</w:t>
            </w: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2"/>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shd w:val="clear" w:color="auto" w:fill="3E7EAC"/>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gridSpan w:val="3"/>
            <w:vMerge w:val="restart"/>
          </w:tcPr>
          <w:p>
            <w:pPr>
              <w:jc w:val="right"/>
              <w:ind w:right="220"/>
              <w:spacing w:after="0"/>
              <w:rPr>
                <w:sz w:val="20"/>
                <w:szCs w:val="20"/>
                <w:color w:val="auto"/>
              </w:rPr>
            </w:pPr>
            <w:r>
              <w:rPr>
                <w:rFonts w:ascii="Arial" w:cs="Arial" w:eastAsia="Arial" w:hAnsi="Arial"/>
                <w:sz w:val="17"/>
                <w:szCs w:val="17"/>
                <w:color w:val="FFFFFF"/>
              </w:rPr>
              <w:t>$0.60</w:t>
            </w: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shd w:val="clear" w:color="auto" w:fill="3E7EAC"/>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9"/>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shd w:val="clear" w:color="auto" w:fill="3E7EAC"/>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shd w:val="clear" w:color="auto" w:fill="3E7EAC"/>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gridSpan w:val="3"/>
            <w:vMerge w:val="restart"/>
          </w:tcPr>
          <w:p>
            <w:pPr>
              <w:jc w:val="right"/>
              <w:ind w:right="200"/>
              <w:spacing w:after="0"/>
              <w:rPr>
                <w:sz w:val="20"/>
                <w:szCs w:val="20"/>
                <w:color w:val="auto"/>
              </w:rPr>
            </w:pPr>
            <w:r>
              <w:rPr>
                <w:rFonts w:ascii="Arial" w:cs="Arial" w:eastAsia="Arial" w:hAnsi="Arial"/>
                <w:sz w:val="17"/>
                <w:szCs w:val="17"/>
                <w:color w:val="FFFFFF"/>
              </w:rPr>
              <w:t>$0.40</w:t>
            </w: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shd w:val="clear" w:color="auto" w:fill="3E7EAC"/>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shd w:val="clear" w:color="auto" w:fill="3E7EAC"/>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7"/>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shd w:val="clear" w:color="auto" w:fill="3E7EAC"/>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shd w:val="clear" w:color="auto" w:fill="3E7EAC"/>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shd w:val="clear" w:color="auto" w:fill="3E7EAC"/>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gridSpan w:val="3"/>
            <w:vMerge w:val="restart"/>
          </w:tcPr>
          <w:p>
            <w:pPr>
              <w:jc w:val="right"/>
              <w:ind w:right="220"/>
              <w:spacing w:after="0"/>
              <w:rPr>
                <w:sz w:val="20"/>
                <w:szCs w:val="20"/>
                <w:color w:val="auto"/>
              </w:rPr>
            </w:pPr>
            <w:r>
              <w:rPr>
                <w:rFonts w:ascii="Arial" w:cs="Arial" w:eastAsia="Arial" w:hAnsi="Arial"/>
                <w:sz w:val="17"/>
                <w:szCs w:val="17"/>
                <w:color w:val="FFFFFF"/>
              </w:rPr>
              <w:t>$0.20</w:t>
            </w: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shd w:val="clear" w:color="auto" w:fill="3E7EAC"/>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shd w:val="clear" w:color="auto" w:fill="3E7EAC"/>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shd w:val="clear" w:color="auto" w:fill="3E7EAC"/>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1"/>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shd w:val="clear" w:color="auto" w:fill="3E7EAC"/>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shd w:val="clear" w:color="auto" w:fill="3E7EAC"/>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shd w:val="clear" w:color="auto" w:fill="3E7EAC"/>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shd w:val="clear" w:color="auto" w:fill="3E7EAC"/>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60" w:type="dxa"/>
            <w:vAlign w:val="bottom"/>
            <w:gridSpan w:val="3"/>
            <w:vMerge w:val="restart"/>
          </w:tcPr>
          <w:p>
            <w:pPr>
              <w:jc w:val="right"/>
              <w:ind w:right="220"/>
              <w:spacing w:after="0"/>
              <w:rPr>
                <w:sz w:val="20"/>
                <w:szCs w:val="20"/>
                <w:color w:val="auto"/>
              </w:rPr>
            </w:pPr>
            <w:r>
              <w:rPr>
                <w:rFonts w:ascii="Arial" w:cs="Arial" w:eastAsia="Arial" w:hAnsi="Arial"/>
                <w:sz w:val="17"/>
                <w:szCs w:val="17"/>
                <w:color w:val="FFFFFF"/>
              </w:rPr>
              <w:t>$0.10</w:t>
            </w: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shd w:val="clear" w:color="auto" w:fill="3E7EAC"/>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shd w:val="clear" w:color="auto" w:fill="3E7EAC"/>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shd w:val="clear" w:color="auto" w:fill="3E7EAC"/>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shd w:val="clear" w:color="auto" w:fill="3E7EAC"/>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76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shd w:val="clear" w:color="auto" w:fill="3E7EAC"/>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shd w:val="clear" w:color="auto" w:fill="3E7EAC"/>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shd w:val="clear" w:color="auto" w:fill="3E7EAC"/>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shd w:val="clear" w:color="auto" w:fill="3E7EAC"/>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shd w:val="clear" w:color="auto" w:fill="3E7EAC"/>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760" w:type="dxa"/>
            <w:vAlign w:val="bottom"/>
            <w:gridSpan w:val="3"/>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shd w:val="clear" w:color="auto" w:fill="3E7EAC"/>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shd w:val="clear" w:color="auto" w:fill="3E7EAC"/>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shd w:val="clear" w:color="auto" w:fill="3E7EAC"/>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shd w:val="clear" w:color="auto" w:fill="3E7EAC"/>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shd w:val="clear" w:color="auto" w:fill="3E7EAC"/>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160" w:type="dxa"/>
            <w:vAlign w:val="bottom"/>
          </w:tcPr>
          <w:p>
            <w:pPr>
              <w:spacing w:after="0"/>
              <w:rPr>
                <w:sz w:val="20"/>
                <w:szCs w:val="20"/>
                <w:color w:val="auto"/>
              </w:rPr>
            </w:pPr>
          </w:p>
        </w:tc>
        <w:tc>
          <w:tcPr>
            <w:tcW w:w="340" w:type="dxa"/>
            <w:vAlign w:val="bottom"/>
            <w:shd w:val="clear" w:color="auto" w:fill="3E7EAC"/>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shd w:val="clear" w:color="auto" w:fill="3E7EAC"/>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shd w:val="clear" w:color="auto" w:fill="3E7EAC"/>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shd w:val="clear" w:color="auto" w:fill="3E7EAC"/>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shd w:val="clear" w:color="auto" w:fill="3E7EAC"/>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shd w:val="clear" w:color="auto" w:fill="3E7EAC"/>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5"/>
        </w:trPr>
        <w:tc>
          <w:tcPr>
            <w:tcW w:w="760" w:type="dxa"/>
            <w:vAlign w:val="bottom"/>
            <w:gridSpan w:val="3"/>
          </w:tcPr>
          <w:p>
            <w:pPr>
              <w:jc w:val="center"/>
              <w:ind w:right="100"/>
              <w:spacing w:after="0"/>
              <w:rPr>
                <w:sz w:val="20"/>
                <w:szCs w:val="20"/>
                <w:color w:val="auto"/>
              </w:rPr>
            </w:pPr>
            <w:r>
              <w:rPr>
                <w:rFonts w:ascii="Arial" w:cs="Arial" w:eastAsia="Arial" w:hAnsi="Arial"/>
                <w:sz w:val="17"/>
                <w:szCs w:val="17"/>
                <w:color w:val="FFFFFF"/>
              </w:rPr>
              <w:t>Q1 2021</w:t>
            </w:r>
          </w:p>
        </w:tc>
        <w:tc>
          <w:tcPr>
            <w:tcW w:w="860" w:type="dxa"/>
            <w:vAlign w:val="bottom"/>
            <w:gridSpan w:val="3"/>
          </w:tcPr>
          <w:p>
            <w:pPr>
              <w:jc w:val="center"/>
              <w:spacing w:after="0"/>
              <w:rPr>
                <w:sz w:val="20"/>
                <w:szCs w:val="20"/>
                <w:color w:val="auto"/>
              </w:rPr>
            </w:pPr>
            <w:r>
              <w:rPr>
                <w:rFonts w:ascii="Arial" w:cs="Arial" w:eastAsia="Arial" w:hAnsi="Arial"/>
                <w:sz w:val="17"/>
                <w:szCs w:val="17"/>
                <w:color w:val="FFFFFF"/>
              </w:rPr>
              <w:t>Q4 2021</w:t>
            </w:r>
          </w:p>
        </w:tc>
        <w:tc>
          <w:tcPr>
            <w:tcW w:w="840" w:type="dxa"/>
            <w:vAlign w:val="bottom"/>
            <w:gridSpan w:val="3"/>
          </w:tcPr>
          <w:p>
            <w:pPr>
              <w:jc w:val="center"/>
              <w:spacing w:after="0"/>
              <w:rPr>
                <w:sz w:val="20"/>
                <w:szCs w:val="20"/>
                <w:color w:val="auto"/>
              </w:rPr>
            </w:pPr>
            <w:r>
              <w:rPr>
                <w:rFonts w:ascii="Arial" w:cs="Arial" w:eastAsia="Arial" w:hAnsi="Arial"/>
                <w:sz w:val="17"/>
                <w:szCs w:val="17"/>
                <w:color w:val="FFFFFF"/>
              </w:rPr>
              <w:t>Q3 2022</w:t>
            </w:r>
          </w:p>
        </w:tc>
        <w:tc>
          <w:tcPr>
            <w:tcW w:w="880" w:type="dxa"/>
            <w:vAlign w:val="bottom"/>
            <w:gridSpan w:val="3"/>
          </w:tcPr>
          <w:p>
            <w:pPr>
              <w:jc w:val="center"/>
              <w:spacing w:after="0"/>
              <w:rPr>
                <w:sz w:val="20"/>
                <w:szCs w:val="20"/>
                <w:color w:val="auto"/>
              </w:rPr>
            </w:pPr>
            <w:r>
              <w:rPr>
                <w:rFonts w:ascii="Arial" w:cs="Arial" w:eastAsia="Arial" w:hAnsi="Arial"/>
                <w:sz w:val="17"/>
                <w:szCs w:val="17"/>
                <w:color w:val="FFFFFF"/>
              </w:rPr>
              <w:t>Q1 2023</w:t>
            </w:r>
          </w:p>
        </w:tc>
        <w:tc>
          <w:tcPr>
            <w:tcW w:w="860" w:type="dxa"/>
            <w:vAlign w:val="bottom"/>
            <w:gridSpan w:val="3"/>
          </w:tcPr>
          <w:p>
            <w:pPr>
              <w:jc w:val="center"/>
              <w:spacing w:after="0"/>
              <w:rPr>
                <w:sz w:val="20"/>
                <w:szCs w:val="20"/>
                <w:color w:val="auto"/>
              </w:rPr>
            </w:pPr>
            <w:r>
              <w:rPr>
                <w:rFonts w:ascii="Arial" w:cs="Arial" w:eastAsia="Arial" w:hAnsi="Arial"/>
                <w:sz w:val="17"/>
                <w:szCs w:val="17"/>
                <w:color w:val="FFFFFF"/>
              </w:rPr>
              <w:t>Q4 2023</w:t>
            </w:r>
          </w:p>
        </w:tc>
        <w:tc>
          <w:tcPr>
            <w:tcW w:w="860" w:type="dxa"/>
            <w:vAlign w:val="bottom"/>
            <w:gridSpan w:val="3"/>
          </w:tcPr>
          <w:p>
            <w:pPr>
              <w:jc w:val="center"/>
              <w:spacing w:after="0"/>
              <w:rPr>
                <w:sz w:val="20"/>
                <w:szCs w:val="20"/>
                <w:color w:val="auto"/>
              </w:rPr>
            </w:pPr>
            <w:r>
              <w:rPr>
                <w:rFonts w:ascii="Arial" w:cs="Arial" w:eastAsia="Arial" w:hAnsi="Arial"/>
                <w:sz w:val="17"/>
                <w:szCs w:val="17"/>
                <w:color w:val="FFFFFF"/>
              </w:rPr>
              <w:t>Q4 2024</w:t>
            </w:r>
          </w:p>
        </w:tc>
        <w:tc>
          <w:tcPr>
            <w:tcW w:w="860" w:type="dxa"/>
            <w:vAlign w:val="bottom"/>
          </w:tcPr>
          <w:p>
            <w:pPr>
              <w:jc w:val="center"/>
              <w:spacing w:after="0"/>
              <w:rPr>
                <w:sz w:val="20"/>
                <w:szCs w:val="20"/>
                <w:color w:val="auto"/>
              </w:rPr>
            </w:pPr>
            <w:r>
              <w:rPr>
                <w:rFonts w:ascii="Arial" w:cs="Arial" w:eastAsia="Arial" w:hAnsi="Arial"/>
                <w:sz w:val="17"/>
                <w:szCs w:val="17"/>
                <w:color w:val="FFFFFF"/>
              </w:rPr>
              <w:t>Q1 2025</w:t>
            </w:r>
          </w:p>
        </w:tc>
        <w:tc>
          <w:tcPr>
            <w:tcW w:w="760" w:type="dxa"/>
            <w:vAlign w:val="bottom"/>
          </w:tcPr>
          <w:p>
            <w:pPr>
              <w:ind w:left="100"/>
              <w:spacing w:after="0"/>
              <w:rPr>
                <w:sz w:val="20"/>
                <w:szCs w:val="20"/>
                <w:color w:val="auto"/>
              </w:rPr>
            </w:pPr>
            <w:r>
              <w:rPr>
                <w:rFonts w:ascii="Arial" w:cs="Arial" w:eastAsia="Arial" w:hAnsi="Arial"/>
                <w:sz w:val="17"/>
                <w:szCs w:val="17"/>
                <w:color w:val="FFFFFF"/>
                <w:w w:val="98"/>
              </w:rPr>
              <w:t>Q4 2025</w:t>
            </w:r>
          </w:p>
        </w:tc>
        <w:tc>
          <w:tcPr>
            <w:tcW w:w="0" w:type="dxa"/>
            <w:vAlign w:val="bottom"/>
          </w:tcPr>
          <w:p>
            <w:pPr>
              <w:spacing w:after="0"/>
              <w:rPr>
                <w:sz w:val="1"/>
                <w:szCs w:val="1"/>
                <w:color w:val="auto"/>
              </w:rPr>
            </w:pPr>
          </w:p>
        </w:tc>
      </w:tr>
      <w:tr>
        <w:trPr>
          <w:trHeight w:val="496"/>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6"/>
          </w:tcPr>
          <w:p>
            <w:pPr>
              <w:ind w:left="80"/>
              <w:spacing w:after="0"/>
              <w:rPr>
                <w:sz w:val="20"/>
                <w:szCs w:val="20"/>
                <w:color w:val="auto"/>
              </w:rPr>
            </w:pPr>
            <w:r>
              <w:rPr>
                <w:rFonts w:ascii="Arial" w:cs="Arial" w:eastAsia="Arial" w:hAnsi="Arial"/>
                <w:sz w:val="17"/>
                <w:szCs w:val="17"/>
                <w:color w:val="FFFFFF"/>
              </w:rPr>
              <w:t>Annualized Dividend</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880" w:h="15480" w:orient="portrait"/>
          <w:cols w:equalWidth="0" w:num="1">
            <w:col w:w="9720"/>
          </w:cols>
          <w:pgMar w:left="720" w:top="618" w:right="1440"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68"/>
          <w:szCs w:val="68"/>
          <w:color w:val="FFFFFF"/>
        </w:rPr>
        <w:t>Positioned</w:t>
      </w:r>
    </w:p>
    <w:p>
      <w:pPr>
        <w:spacing w:after="0"/>
        <w:tabs>
          <w:tab w:leader="none" w:pos="7720" w:val="left"/>
          <w:tab w:leader="none" w:pos="8500" w:val="left"/>
        </w:tabs>
        <w:rPr>
          <w:sz w:val="20"/>
          <w:szCs w:val="20"/>
          <w:color w:val="auto"/>
        </w:rPr>
      </w:pPr>
      <w:r>
        <w:rPr>
          <w:rFonts w:ascii="Arial" w:cs="Arial" w:eastAsia="Arial" w:hAnsi="Arial"/>
          <w:sz w:val="68"/>
          <w:szCs w:val="68"/>
          <w:color w:val="FFFFFF"/>
        </w:rPr>
        <w:t>and Prepared</w:t>
      </w:r>
      <w:r>
        <w:rPr>
          <w:sz w:val="20"/>
          <w:szCs w:val="20"/>
          <w:color w:val="auto"/>
        </w:rPr>
        <w:tab/>
      </w:r>
      <w:r>
        <w:rPr>
          <w:rFonts w:ascii="Arial" w:cs="Arial" w:eastAsia="Arial" w:hAnsi="Arial"/>
          <w:sz w:val="19"/>
          <w:szCs w:val="19"/>
          <w:b w:val="1"/>
          <w:bCs w:val="1"/>
          <w:color w:val="FFFFFF"/>
        </w:rPr>
        <w:t>2 0 2 5</w:t>
        <w:tab/>
        <w:t>F O R M  1 0 - K</w:t>
      </w:r>
    </w:p>
    <w:p>
      <w:pPr>
        <w:sectPr>
          <w:pgSz w:w="11880" w:h="15480" w:orient="portrait"/>
          <w:cols w:equalWidth="0" w:num="1">
            <w:col w:w="9960"/>
          </w:cols>
          <w:pgMar w:left="980" w:top="1440" w:right="940" w:bottom="339" w:gutter="0" w:footer="0" w:header="0"/>
        </w:sectPr>
      </w:pPr>
    </w:p>
    <w:bookmarkStart w:id="11" w:name="page12"/>
    <w:bookmarkEnd w:id="11"/>
    <w:p>
      <w:pPr>
        <w:spacing w:after="0"/>
        <w:tabs>
          <w:tab w:leader="none" w:pos="7720" w:val="left"/>
          <w:tab w:leader="none" w:pos="8500" w:val="left"/>
        </w:tabs>
        <w:rPr>
          <w:sz w:val="20"/>
          <w:szCs w:val="20"/>
          <w:color w:val="auto"/>
        </w:rPr>
      </w:pPr>
    </w:p>
    <w:p>
      <w:pPr>
        <w:sectPr>
          <w:pgSz w:w="11880" w:h="15480"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rFonts w:ascii="Calibri" w:cs="Calibri" w:eastAsia="Calibri" w:hAnsi="Calibri"/>
          <w:sz w:val="22"/>
          <w:szCs w:val="22"/>
          <w:b w:val="1"/>
          <w:bCs w:val="1"/>
          <w:color w:val="auto"/>
        </w:rPr>
        <w:t>UNITED STATES SECURITIES AND EXCHANGE COMMISSION</w:t>
      </w:r>
    </w:p>
    <w:p>
      <w:pPr>
        <w:spacing w:after="0" w:line="12"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2895600</wp:posOffset>
            </wp:positionH>
            <wp:positionV relativeFrom="paragraph">
              <wp:posOffset>58420</wp:posOffset>
            </wp:positionV>
            <wp:extent cx="723900"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extLst>
                    </a:blip>
                    <a:srcRect/>
                    <a:stretch>
                      <a:fillRect/>
                    </a:stretch>
                  </pic:blipFill>
                  <pic:spPr bwMode="auto">
                    <a:xfrm>
                      <a:off x="0" y="0"/>
                      <a:ext cx="723900" cy="12700"/>
                    </a:xfrm>
                    <a:prstGeom prst="rect">
                      <a:avLst/>
                    </a:prstGeom>
                    <a:noFill/>
                  </pic:spPr>
                </pic:pic>
              </a:graphicData>
            </a:graphic>
          </wp:anchor>
        </w:drawing>
      </w:r>
    </w:p>
    <w:p>
      <w:pPr>
        <w:spacing w:after="0" w:line="85"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u w:val="single" w:color="auto"/>
          <w:color w:val="auto"/>
        </w:rPr>
        <w:t>FORM 10-K</w:t>
      </w:r>
    </w:p>
    <w:p>
      <w:pPr>
        <w:spacing w:after="0" w:line="98" w:lineRule="exact"/>
        <w:rPr>
          <w:sz w:val="20"/>
          <w:szCs w:val="20"/>
          <w:color w:val="auto"/>
        </w:rPr>
      </w:pPr>
    </w:p>
    <w:p>
      <w:pPr>
        <w:jc w:val="center"/>
        <w:ind w:right="-39"/>
        <w:spacing w:after="0"/>
        <w:rPr>
          <w:sz w:val="20"/>
          <w:szCs w:val="20"/>
          <w:color w:val="auto"/>
        </w:rPr>
      </w:pPr>
      <w:r>
        <w:rPr>
          <w:rFonts w:ascii="Calibri" w:cs="Calibri" w:eastAsia="Calibri" w:hAnsi="Calibri"/>
          <w:sz w:val="16"/>
          <w:szCs w:val="16"/>
          <w:i w:val="1"/>
          <w:iCs w:val="1"/>
          <w:color w:val="auto"/>
        </w:rPr>
        <w:t>(Mark One)</w:t>
      </w:r>
    </w:p>
    <w:p>
      <w:pPr>
        <w:spacing w:after="0" w:line="14" w:lineRule="exact"/>
        <w:rPr>
          <w:sz w:val="20"/>
          <w:szCs w:val="20"/>
          <w:color w:val="auto"/>
        </w:rPr>
      </w:pPr>
    </w:p>
    <w:p>
      <w:pPr>
        <w:ind w:left="1760" w:hanging="267"/>
        <w:spacing w:after="0"/>
        <w:tabs>
          <w:tab w:leader="none" w:pos="1760" w:val="left"/>
        </w:tabs>
        <w:numPr>
          <w:ilvl w:val="0"/>
          <w:numId w:val="8"/>
        </w:numPr>
        <w:rPr>
          <w:rFonts w:ascii="Arial" w:cs="Arial" w:eastAsia="Arial" w:hAnsi="Arial"/>
          <w:sz w:val="20"/>
          <w:szCs w:val="20"/>
          <w:color w:val="auto"/>
        </w:rPr>
      </w:pPr>
      <w:r>
        <w:rPr>
          <w:rFonts w:ascii="Calibri" w:cs="Calibri" w:eastAsia="Calibri" w:hAnsi="Calibri"/>
          <w:sz w:val="16"/>
          <w:szCs w:val="16"/>
          <w:color w:val="auto"/>
        </w:rPr>
        <w:t>ANNUAL REPORT PURSUANT TO SECTION 13 OR 15(d) OF THE SECURITIES EXCHANGE ACT OF 1934</w:t>
      </w:r>
    </w:p>
    <w:p>
      <w:pPr>
        <w:spacing w:after="0" w:line="137"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For the fiscal year ended December 31, 2025</w:t>
      </w:r>
    </w:p>
    <w:p>
      <w:pPr>
        <w:jc w:val="center"/>
        <w:spacing w:after="0" w:line="235" w:lineRule="auto"/>
        <w:rPr>
          <w:sz w:val="20"/>
          <w:szCs w:val="20"/>
          <w:color w:val="auto"/>
        </w:rPr>
      </w:pPr>
      <w:r>
        <w:rPr>
          <w:rFonts w:ascii="Calibri" w:cs="Calibri" w:eastAsia="Calibri" w:hAnsi="Calibri"/>
          <w:sz w:val="16"/>
          <w:szCs w:val="16"/>
          <w:color w:val="auto"/>
        </w:rPr>
        <w:t>or</w:t>
      </w:r>
    </w:p>
    <w:p>
      <w:pPr>
        <w:spacing w:after="0" w:line="15" w:lineRule="exact"/>
        <w:rPr>
          <w:sz w:val="20"/>
          <w:szCs w:val="20"/>
          <w:color w:val="auto"/>
        </w:rPr>
      </w:pPr>
    </w:p>
    <w:p>
      <w:pPr>
        <w:ind w:left="2100" w:hanging="607"/>
        <w:spacing w:after="0"/>
        <w:tabs>
          <w:tab w:leader="none" w:pos="2100" w:val="left"/>
        </w:tabs>
        <w:numPr>
          <w:ilvl w:val="0"/>
          <w:numId w:val="9"/>
        </w:numPr>
        <w:rPr>
          <w:rFonts w:ascii="Arial" w:cs="Arial" w:eastAsia="Arial" w:hAnsi="Arial"/>
          <w:sz w:val="20"/>
          <w:szCs w:val="20"/>
          <w:color w:val="auto"/>
        </w:rPr>
      </w:pPr>
      <w:r>
        <w:rPr>
          <w:rFonts w:ascii="Calibri" w:cs="Calibri" w:eastAsia="Calibri" w:hAnsi="Calibri"/>
          <w:sz w:val="16"/>
          <w:szCs w:val="16"/>
          <w:color w:val="auto"/>
        </w:rPr>
        <w:t>TRANSITION REPORT PURSUANT TO SECTION 13 OR 15(d) OF THE SECURITIES EXCHANGE ACT OF 1934</w:t>
      </w:r>
    </w:p>
    <w:p>
      <w:pPr>
        <w:spacing w:after="0" w:line="137" w:lineRule="exact"/>
        <w:rPr>
          <w:sz w:val="20"/>
          <w:szCs w:val="20"/>
          <w:color w:val="auto"/>
        </w:rPr>
      </w:pPr>
    </w:p>
    <w:p>
      <w:pPr>
        <w:ind w:left="2880"/>
        <w:spacing w:after="0"/>
        <w:tabs>
          <w:tab w:leader="none" w:pos="5840" w:val="left"/>
        </w:tabs>
        <w:rPr>
          <w:sz w:val="20"/>
          <w:szCs w:val="20"/>
          <w:color w:val="auto"/>
        </w:rPr>
      </w:pPr>
      <w:r>
        <w:rPr>
          <w:rFonts w:ascii="Calibri" w:cs="Calibri" w:eastAsia="Calibri" w:hAnsi="Calibri"/>
          <w:sz w:val="16"/>
          <w:szCs w:val="16"/>
          <w:color w:val="auto"/>
        </w:rPr>
        <w:t>For the transition period from</w:t>
      </w:r>
      <w:r>
        <w:rPr>
          <w:sz w:val="20"/>
          <w:szCs w:val="20"/>
          <w:color w:val="auto"/>
        </w:rPr>
        <w:tab/>
      </w:r>
      <w:r>
        <w:rPr>
          <w:rFonts w:ascii="Calibri" w:cs="Calibri" w:eastAsia="Calibri" w:hAnsi="Calibri"/>
          <w:sz w:val="16"/>
          <w:szCs w:val="16"/>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-6985</wp:posOffset>
            </wp:positionV>
            <wp:extent cx="1367790" cy="5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extLst>
                    </a:blip>
                    <a:srcRect/>
                    <a:stretch>
                      <a:fillRect/>
                    </a:stretch>
                  </pic:blipFill>
                  <pic:spPr bwMode="auto">
                    <a:xfrm>
                      <a:off x="0" y="0"/>
                      <a:ext cx="1367790" cy="5080"/>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Commission File Number 001-35410</w:t>
      </w:r>
    </w:p>
    <w:p>
      <w:pPr>
        <w:jc w:val="center"/>
        <w:spacing w:after="0" w:line="228" w:lineRule="auto"/>
        <w:rPr>
          <w:sz w:val="20"/>
          <w:szCs w:val="20"/>
          <w:color w:val="auto"/>
        </w:rPr>
      </w:pPr>
      <w:r>
        <w:rPr>
          <w:rFonts w:ascii="Calibri" w:cs="Calibri" w:eastAsia="Calibri" w:hAnsi="Calibri"/>
          <w:sz w:val="38"/>
          <w:szCs w:val="38"/>
          <w:b w:val="1"/>
          <w:bCs w:val="1"/>
          <w:color w:val="214E93"/>
        </w:rPr>
        <w:t>MATADOR RESOURCES COMPANY</w:t>
      </w:r>
    </w:p>
    <w:p>
      <w:pPr>
        <w:spacing w:after="0" w:line="55"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(Exact name of registrant as specified in its charter)</w:t>
      </w:r>
    </w:p>
    <w:p>
      <w:pPr>
        <w:spacing w:after="0" w:line="49" w:lineRule="exact"/>
        <w:rPr>
          <w:sz w:val="20"/>
          <w:szCs w:val="20"/>
          <w:color w:val="auto"/>
        </w:rPr>
      </w:pPr>
    </w:p>
    <w:tbl>
      <w:tblPr>
        <w:tblLayout w:type="fixed"/>
        <w:tblInd w:w="1060" w:type="dxa"/>
        <w:tblCellMar>
          <w:top w:w="0" w:type="dxa"/>
          <w:left w:w="0" w:type="dxa"/>
          <w:bottom w:w="0" w:type="dxa"/>
          <w:right w:w="0" w:type="dxa"/>
        </w:tblCellMar>
      </w:tblPr>
      <w:tr>
        <w:trPr>
          <w:trHeight w:val="208"/>
        </w:trPr>
        <w:tc>
          <w:tcPr>
            <w:tcW w:w="1680" w:type="dxa"/>
            <w:vAlign w:val="bottom"/>
          </w:tcPr>
          <w:p>
            <w:pPr>
              <w:spacing w:after="0"/>
              <w:rPr>
                <w:sz w:val="18"/>
                <w:szCs w:val="18"/>
                <w:color w:val="auto"/>
              </w:rPr>
            </w:pPr>
          </w:p>
        </w:tc>
        <w:tc>
          <w:tcPr>
            <w:tcW w:w="1560" w:type="dxa"/>
            <w:vAlign w:val="bottom"/>
            <w:gridSpan w:val="2"/>
          </w:tcPr>
          <w:p>
            <w:pPr>
              <w:jc w:val="center"/>
              <w:ind w:right="720"/>
              <w:spacing w:after="0"/>
              <w:rPr>
                <w:sz w:val="20"/>
                <w:szCs w:val="20"/>
                <w:color w:val="auto"/>
              </w:rPr>
            </w:pPr>
            <w:r>
              <w:rPr>
                <w:rFonts w:ascii="Calibri" w:cs="Calibri" w:eastAsia="Calibri" w:hAnsi="Calibri"/>
                <w:sz w:val="17"/>
                <w:szCs w:val="17"/>
                <w:b w:val="1"/>
                <w:bCs w:val="1"/>
                <w:color w:val="auto"/>
              </w:rPr>
              <w:t>Texas</w:t>
            </w:r>
          </w:p>
        </w:tc>
        <w:tc>
          <w:tcPr>
            <w:tcW w:w="1480" w:type="dxa"/>
            <w:vAlign w:val="bottom"/>
          </w:tcPr>
          <w:p>
            <w:pPr>
              <w:spacing w:after="0"/>
              <w:rPr>
                <w:sz w:val="18"/>
                <w:szCs w:val="18"/>
                <w:color w:val="auto"/>
              </w:rPr>
            </w:pPr>
          </w:p>
        </w:tc>
        <w:tc>
          <w:tcPr>
            <w:tcW w:w="3420" w:type="dxa"/>
            <w:vAlign w:val="bottom"/>
            <w:gridSpan w:val="3"/>
          </w:tcPr>
          <w:p>
            <w:pPr>
              <w:jc w:val="right"/>
              <w:ind w:right="1100"/>
              <w:spacing w:after="0"/>
              <w:rPr>
                <w:sz w:val="20"/>
                <w:szCs w:val="20"/>
                <w:color w:val="auto"/>
              </w:rPr>
            </w:pPr>
            <w:r>
              <w:rPr>
                <w:rFonts w:ascii="Calibri" w:cs="Calibri" w:eastAsia="Calibri" w:hAnsi="Calibri"/>
                <w:sz w:val="17"/>
                <w:szCs w:val="17"/>
                <w:b w:val="1"/>
                <w:bCs w:val="1"/>
                <w:color w:val="auto"/>
              </w:rPr>
              <w:t>27-4662601</w:t>
            </w:r>
          </w:p>
        </w:tc>
      </w:tr>
      <w:tr>
        <w:trPr>
          <w:trHeight w:val="238"/>
        </w:trPr>
        <w:tc>
          <w:tcPr>
            <w:tcW w:w="3240" w:type="dxa"/>
            <w:vAlign w:val="bottom"/>
            <w:gridSpan w:val="3"/>
          </w:tcPr>
          <w:p>
            <w:pPr>
              <w:jc w:val="center"/>
              <w:ind w:left="884"/>
              <w:spacing w:after="0"/>
              <w:rPr>
                <w:sz w:val="20"/>
                <w:szCs w:val="20"/>
                <w:color w:val="auto"/>
              </w:rPr>
            </w:pPr>
            <w:r>
              <w:rPr>
                <w:rFonts w:ascii="Calibri" w:cs="Calibri" w:eastAsia="Calibri" w:hAnsi="Calibri"/>
                <w:sz w:val="14"/>
                <w:szCs w:val="14"/>
                <w:color w:val="auto"/>
                <w:w w:val="99"/>
              </w:rPr>
              <w:t>(State or other jurisdiction of</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2"/>
          </w:tcPr>
          <w:p>
            <w:pPr>
              <w:jc w:val="center"/>
              <w:ind w:left="127"/>
              <w:spacing w:after="0"/>
              <w:rPr>
                <w:sz w:val="20"/>
                <w:szCs w:val="20"/>
                <w:color w:val="auto"/>
              </w:rPr>
            </w:pPr>
            <w:r>
              <w:rPr>
                <w:rFonts w:ascii="Calibri" w:cs="Calibri" w:eastAsia="Calibri" w:hAnsi="Calibri"/>
                <w:sz w:val="14"/>
                <w:szCs w:val="14"/>
                <w:color w:val="auto"/>
              </w:rPr>
              <w:t>(I.R.S. Employer</w:t>
            </w:r>
          </w:p>
        </w:tc>
      </w:tr>
      <w:tr>
        <w:trPr>
          <w:trHeight w:val="168"/>
        </w:trPr>
        <w:tc>
          <w:tcPr>
            <w:tcW w:w="3240" w:type="dxa"/>
            <w:vAlign w:val="bottom"/>
            <w:gridSpan w:val="3"/>
          </w:tcPr>
          <w:p>
            <w:pPr>
              <w:jc w:val="center"/>
              <w:ind w:left="884"/>
              <w:spacing w:after="0" w:line="168" w:lineRule="exact"/>
              <w:rPr>
                <w:sz w:val="20"/>
                <w:szCs w:val="20"/>
                <w:color w:val="auto"/>
              </w:rPr>
            </w:pPr>
            <w:r>
              <w:rPr>
                <w:rFonts w:ascii="Calibri" w:cs="Calibri" w:eastAsia="Calibri" w:hAnsi="Calibri"/>
                <w:sz w:val="14"/>
                <w:szCs w:val="14"/>
                <w:color w:val="auto"/>
              </w:rPr>
              <w:t>incorporation or organization)</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20" w:type="dxa"/>
            <w:vAlign w:val="bottom"/>
            <w:gridSpan w:val="2"/>
          </w:tcPr>
          <w:p>
            <w:pPr>
              <w:jc w:val="center"/>
              <w:ind w:left="147"/>
              <w:spacing w:after="0" w:line="168" w:lineRule="exact"/>
              <w:rPr>
                <w:sz w:val="20"/>
                <w:szCs w:val="20"/>
                <w:color w:val="auto"/>
              </w:rPr>
            </w:pPr>
            <w:r>
              <w:rPr>
                <w:rFonts w:ascii="Calibri" w:cs="Calibri" w:eastAsia="Calibri" w:hAnsi="Calibri"/>
                <w:sz w:val="14"/>
                <w:szCs w:val="14"/>
                <w:color w:val="auto"/>
              </w:rPr>
              <w:t>Identification No.)</w:t>
            </w:r>
          </w:p>
        </w:tc>
      </w:tr>
      <w:tr>
        <w:trPr>
          <w:trHeight w:val="284"/>
        </w:trPr>
        <w:tc>
          <w:tcPr>
            <w:tcW w:w="3240" w:type="dxa"/>
            <w:vAlign w:val="bottom"/>
            <w:gridSpan w:val="3"/>
          </w:tcPr>
          <w:p>
            <w:pPr>
              <w:jc w:val="center"/>
              <w:ind w:left="884"/>
              <w:spacing w:after="0"/>
              <w:rPr>
                <w:sz w:val="20"/>
                <w:szCs w:val="20"/>
                <w:color w:val="auto"/>
              </w:rPr>
            </w:pPr>
            <w:r>
              <w:rPr>
                <w:rFonts w:ascii="Calibri" w:cs="Calibri" w:eastAsia="Calibri" w:hAnsi="Calibri"/>
                <w:sz w:val="17"/>
                <w:szCs w:val="17"/>
                <w:b w:val="1"/>
                <w:bCs w:val="1"/>
                <w:color w:val="auto"/>
              </w:rPr>
              <w:t>5400 LBJ Freeway, Suite 1500</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5"/>
        </w:trPr>
        <w:tc>
          <w:tcPr>
            <w:tcW w:w="3240" w:type="dxa"/>
            <w:vAlign w:val="bottom"/>
            <w:gridSpan w:val="3"/>
          </w:tcPr>
          <w:p>
            <w:pPr>
              <w:jc w:val="center"/>
              <w:ind w:left="884"/>
              <w:spacing w:after="0"/>
              <w:rPr>
                <w:sz w:val="20"/>
                <w:szCs w:val="20"/>
                <w:color w:val="auto"/>
              </w:rPr>
            </w:pPr>
            <w:r>
              <w:rPr>
                <w:rFonts w:ascii="Calibri" w:cs="Calibri" w:eastAsia="Calibri" w:hAnsi="Calibri"/>
                <w:sz w:val="17"/>
                <w:szCs w:val="17"/>
                <w:b w:val="1"/>
                <w:bCs w:val="1"/>
                <w:color w:val="auto"/>
              </w:rPr>
              <w:t>Dallas, Texas</w:t>
            </w:r>
          </w:p>
        </w:tc>
        <w:tc>
          <w:tcPr>
            <w:tcW w:w="1480" w:type="dxa"/>
            <w:vAlign w:val="bottom"/>
          </w:tcPr>
          <w:p>
            <w:pPr>
              <w:spacing w:after="0"/>
              <w:rPr>
                <w:sz w:val="22"/>
                <w:szCs w:val="22"/>
                <w:color w:val="auto"/>
              </w:rPr>
            </w:pPr>
          </w:p>
        </w:tc>
        <w:tc>
          <w:tcPr>
            <w:tcW w:w="3420" w:type="dxa"/>
            <w:vAlign w:val="bottom"/>
            <w:gridSpan w:val="3"/>
          </w:tcPr>
          <w:p>
            <w:pPr>
              <w:jc w:val="right"/>
              <w:ind w:right="1280"/>
              <w:spacing w:after="0"/>
              <w:rPr>
                <w:sz w:val="20"/>
                <w:szCs w:val="20"/>
                <w:color w:val="auto"/>
              </w:rPr>
            </w:pPr>
            <w:r>
              <w:rPr>
                <w:rFonts w:ascii="Calibri" w:cs="Calibri" w:eastAsia="Calibri" w:hAnsi="Calibri"/>
                <w:sz w:val="17"/>
                <w:szCs w:val="17"/>
                <w:b w:val="1"/>
                <w:bCs w:val="1"/>
                <w:color w:val="auto"/>
              </w:rPr>
              <w:t>75240</w:t>
            </w:r>
          </w:p>
        </w:tc>
      </w:tr>
      <w:tr>
        <w:trPr>
          <w:trHeight w:val="226"/>
        </w:trPr>
        <w:tc>
          <w:tcPr>
            <w:tcW w:w="3240" w:type="dxa"/>
            <w:vAlign w:val="bottom"/>
            <w:gridSpan w:val="3"/>
          </w:tcPr>
          <w:p>
            <w:pPr>
              <w:jc w:val="center"/>
              <w:ind w:left="884"/>
              <w:spacing w:after="0"/>
              <w:rPr>
                <w:sz w:val="20"/>
                <w:szCs w:val="20"/>
                <w:color w:val="auto"/>
              </w:rPr>
            </w:pPr>
            <w:r>
              <w:rPr>
                <w:rFonts w:ascii="Calibri" w:cs="Calibri" w:eastAsia="Calibri" w:hAnsi="Calibri"/>
                <w:sz w:val="14"/>
                <w:szCs w:val="14"/>
                <w:color w:val="auto"/>
              </w:rPr>
              <w:t>(Address of principal executive offices)</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20" w:type="dxa"/>
            <w:vAlign w:val="bottom"/>
            <w:gridSpan w:val="2"/>
          </w:tcPr>
          <w:p>
            <w:pPr>
              <w:jc w:val="center"/>
              <w:ind w:left="127"/>
              <w:spacing w:after="0"/>
              <w:rPr>
                <w:sz w:val="20"/>
                <w:szCs w:val="20"/>
                <w:color w:val="auto"/>
              </w:rPr>
            </w:pPr>
            <w:r>
              <w:rPr>
                <w:rFonts w:ascii="Calibri" w:cs="Calibri" w:eastAsia="Calibri" w:hAnsi="Calibri"/>
                <w:sz w:val="14"/>
                <w:szCs w:val="14"/>
                <w:color w:val="auto"/>
              </w:rPr>
              <w:t>(Zip Code)</w:t>
            </w:r>
          </w:p>
        </w:tc>
      </w:tr>
      <w:tr>
        <w:trPr>
          <w:trHeight w:val="286"/>
        </w:trPr>
        <w:tc>
          <w:tcPr>
            <w:tcW w:w="1680" w:type="dxa"/>
            <w:vAlign w:val="bottom"/>
          </w:tcPr>
          <w:p>
            <w:pPr>
              <w:spacing w:after="0"/>
              <w:rPr>
                <w:sz w:val="24"/>
                <w:szCs w:val="24"/>
                <w:color w:val="auto"/>
              </w:rPr>
            </w:pPr>
          </w:p>
        </w:tc>
        <w:tc>
          <w:tcPr>
            <w:tcW w:w="4820" w:type="dxa"/>
            <w:vAlign w:val="bottom"/>
            <w:tcBorders>
              <w:bottom w:val="single" w:sz="8" w:color="auto"/>
            </w:tcBorders>
            <w:gridSpan w:val="5"/>
          </w:tcPr>
          <w:p>
            <w:pPr>
              <w:jc w:val="center"/>
              <w:spacing w:after="0"/>
              <w:rPr>
                <w:sz w:val="20"/>
                <w:szCs w:val="20"/>
                <w:color w:val="auto"/>
              </w:rPr>
            </w:pPr>
            <w:r>
              <w:rPr>
                <w:rFonts w:ascii="Calibri" w:cs="Calibri" w:eastAsia="Calibri" w:hAnsi="Calibri"/>
                <w:sz w:val="17"/>
                <w:szCs w:val="17"/>
                <w:b w:val="1"/>
                <w:bCs w:val="1"/>
                <w:color w:val="auto"/>
                <w:w w:val="99"/>
              </w:rPr>
              <w:t>Registrant’s telephone number, including area code: (972) 371-5200</w:t>
            </w:r>
          </w:p>
        </w:tc>
        <w:tc>
          <w:tcPr>
            <w:tcW w:w="1640" w:type="dxa"/>
            <w:vAlign w:val="bottom"/>
          </w:tcPr>
          <w:p>
            <w:pPr>
              <w:spacing w:after="0"/>
              <w:rPr>
                <w:sz w:val="24"/>
                <w:szCs w:val="24"/>
                <w:color w:val="auto"/>
              </w:rPr>
            </w:pPr>
          </w:p>
        </w:tc>
      </w:tr>
      <w:tr>
        <w:trPr>
          <w:trHeight w:val="297"/>
        </w:trPr>
        <w:tc>
          <w:tcPr>
            <w:tcW w:w="1680" w:type="dxa"/>
            <w:vAlign w:val="bottom"/>
          </w:tcPr>
          <w:p>
            <w:pPr>
              <w:spacing w:after="0"/>
              <w:rPr>
                <w:sz w:val="24"/>
                <w:szCs w:val="24"/>
                <w:color w:val="auto"/>
              </w:rPr>
            </w:pPr>
          </w:p>
        </w:tc>
        <w:tc>
          <w:tcPr>
            <w:tcW w:w="6460" w:type="dxa"/>
            <w:vAlign w:val="bottom"/>
            <w:gridSpan w:val="6"/>
          </w:tcPr>
          <w:p>
            <w:pPr>
              <w:jc w:val="center"/>
              <w:ind w:right="1680"/>
              <w:spacing w:after="0"/>
              <w:rPr>
                <w:sz w:val="20"/>
                <w:szCs w:val="20"/>
                <w:color w:val="auto"/>
              </w:rPr>
            </w:pPr>
            <w:r>
              <w:rPr>
                <w:rFonts w:ascii="Calibri" w:cs="Calibri" w:eastAsia="Calibri" w:hAnsi="Calibri"/>
                <w:sz w:val="17"/>
                <w:szCs w:val="17"/>
                <w:b w:val="1"/>
                <w:bCs w:val="1"/>
                <w:color w:val="auto"/>
              </w:rPr>
              <w:t>Securities registered pursuant to Section 12(b) of the Act:</w:t>
            </w:r>
          </w:p>
        </w:tc>
      </w:tr>
      <w:tr>
        <w:trPr>
          <w:trHeight w:val="231"/>
        </w:trPr>
        <w:tc>
          <w:tcPr>
            <w:tcW w:w="3240" w:type="dxa"/>
            <w:vAlign w:val="bottom"/>
            <w:gridSpan w:val="3"/>
          </w:tcPr>
          <w:p>
            <w:pPr>
              <w:jc w:val="center"/>
              <w:ind w:right="200"/>
              <w:spacing w:after="0"/>
              <w:rPr>
                <w:sz w:val="20"/>
                <w:szCs w:val="20"/>
                <w:color w:val="auto"/>
              </w:rPr>
            </w:pPr>
            <w:r>
              <w:rPr>
                <w:rFonts w:ascii="Calibri" w:cs="Calibri" w:eastAsia="Calibri" w:hAnsi="Calibri"/>
                <w:sz w:val="14"/>
                <w:szCs w:val="14"/>
                <w:color w:val="auto"/>
              </w:rPr>
              <w:t>Title of each class</w:t>
            </w:r>
          </w:p>
        </w:tc>
        <w:tc>
          <w:tcPr>
            <w:tcW w:w="1480" w:type="dxa"/>
            <w:vAlign w:val="bottom"/>
          </w:tcPr>
          <w:p>
            <w:pPr>
              <w:jc w:val="center"/>
              <w:spacing w:after="0"/>
              <w:rPr>
                <w:sz w:val="20"/>
                <w:szCs w:val="20"/>
                <w:color w:val="auto"/>
              </w:rPr>
            </w:pPr>
            <w:r>
              <w:rPr>
                <w:rFonts w:ascii="Calibri" w:cs="Calibri" w:eastAsia="Calibri" w:hAnsi="Calibri"/>
                <w:sz w:val="14"/>
                <w:szCs w:val="14"/>
                <w:color w:val="auto"/>
                <w:w w:val="98"/>
              </w:rPr>
              <w:t>Trading symbol(s)</w:t>
            </w:r>
          </w:p>
        </w:tc>
        <w:tc>
          <w:tcPr>
            <w:tcW w:w="200" w:type="dxa"/>
            <w:vAlign w:val="bottom"/>
          </w:tcPr>
          <w:p>
            <w:pPr>
              <w:spacing w:after="0"/>
              <w:rPr>
                <w:sz w:val="20"/>
                <w:szCs w:val="20"/>
                <w:color w:val="auto"/>
              </w:rPr>
            </w:pPr>
          </w:p>
        </w:tc>
        <w:tc>
          <w:tcPr>
            <w:tcW w:w="3220" w:type="dxa"/>
            <w:vAlign w:val="bottom"/>
            <w:gridSpan w:val="2"/>
          </w:tcPr>
          <w:p>
            <w:pPr>
              <w:jc w:val="center"/>
              <w:spacing w:after="0"/>
              <w:rPr>
                <w:sz w:val="20"/>
                <w:szCs w:val="20"/>
                <w:color w:val="auto"/>
              </w:rPr>
            </w:pPr>
            <w:r>
              <w:rPr>
                <w:rFonts w:ascii="Calibri" w:cs="Calibri" w:eastAsia="Calibri" w:hAnsi="Calibri"/>
                <w:sz w:val="14"/>
                <w:szCs w:val="14"/>
                <w:color w:val="auto"/>
                <w:w w:val="99"/>
              </w:rPr>
              <w:t>Name of each exchange on which registered</w:t>
            </w:r>
          </w:p>
        </w:tc>
      </w:tr>
      <w:tr>
        <w:trPr>
          <w:trHeight w:val="29"/>
        </w:trPr>
        <w:tc>
          <w:tcPr>
            <w:tcW w:w="304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20" w:type="dxa"/>
            <w:vAlign w:val="bottom"/>
            <w:tcBorders>
              <w:bottom w:val="single" w:sz="8" w:color="auto"/>
            </w:tcBorders>
            <w:gridSpan w:val="2"/>
          </w:tcPr>
          <w:p>
            <w:pPr>
              <w:spacing w:after="0"/>
              <w:rPr>
                <w:sz w:val="2"/>
                <w:szCs w:val="2"/>
                <w:color w:val="auto"/>
              </w:rPr>
            </w:pPr>
          </w:p>
        </w:tc>
      </w:tr>
      <w:tr>
        <w:trPr>
          <w:trHeight w:val="205"/>
        </w:trPr>
        <w:tc>
          <w:tcPr>
            <w:tcW w:w="3240" w:type="dxa"/>
            <w:vAlign w:val="bottom"/>
            <w:gridSpan w:val="3"/>
          </w:tcPr>
          <w:p>
            <w:pPr>
              <w:jc w:val="center"/>
              <w:ind w:right="200"/>
              <w:spacing w:after="0" w:line="205" w:lineRule="exact"/>
              <w:rPr>
                <w:sz w:val="20"/>
                <w:szCs w:val="20"/>
                <w:color w:val="auto"/>
              </w:rPr>
            </w:pPr>
            <w:r>
              <w:rPr>
                <w:rFonts w:ascii="Calibri" w:cs="Calibri" w:eastAsia="Calibri" w:hAnsi="Calibri"/>
                <w:sz w:val="17"/>
                <w:szCs w:val="17"/>
                <w:b w:val="1"/>
                <w:bCs w:val="1"/>
                <w:color w:val="auto"/>
                <w:w w:val="99"/>
              </w:rPr>
              <w:t>Common Stock, par value $0.01 per share</w:t>
            </w:r>
          </w:p>
        </w:tc>
        <w:tc>
          <w:tcPr>
            <w:tcW w:w="1480" w:type="dxa"/>
            <w:vAlign w:val="bottom"/>
          </w:tcPr>
          <w:p>
            <w:pPr>
              <w:jc w:val="center"/>
              <w:spacing w:after="0" w:line="205" w:lineRule="exact"/>
              <w:rPr>
                <w:sz w:val="20"/>
                <w:szCs w:val="20"/>
                <w:color w:val="auto"/>
              </w:rPr>
            </w:pPr>
            <w:r>
              <w:rPr>
                <w:rFonts w:ascii="Calibri" w:cs="Calibri" w:eastAsia="Calibri" w:hAnsi="Calibri"/>
                <w:sz w:val="17"/>
                <w:szCs w:val="17"/>
                <w:b w:val="1"/>
                <w:bCs w:val="1"/>
                <w:color w:val="auto"/>
              </w:rPr>
              <w:t>MTDR</w:t>
            </w:r>
          </w:p>
        </w:tc>
        <w:tc>
          <w:tcPr>
            <w:tcW w:w="200" w:type="dxa"/>
            <w:vAlign w:val="bottom"/>
          </w:tcPr>
          <w:p>
            <w:pPr>
              <w:spacing w:after="0"/>
              <w:rPr>
                <w:sz w:val="17"/>
                <w:szCs w:val="17"/>
                <w:color w:val="auto"/>
              </w:rPr>
            </w:pPr>
          </w:p>
        </w:tc>
        <w:tc>
          <w:tcPr>
            <w:tcW w:w="3220" w:type="dxa"/>
            <w:vAlign w:val="bottom"/>
            <w:gridSpan w:val="2"/>
          </w:tcPr>
          <w:p>
            <w:pPr>
              <w:jc w:val="center"/>
              <w:spacing w:after="0" w:line="205" w:lineRule="exact"/>
              <w:rPr>
                <w:sz w:val="20"/>
                <w:szCs w:val="20"/>
                <w:color w:val="auto"/>
              </w:rPr>
            </w:pPr>
            <w:r>
              <w:rPr>
                <w:rFonts w:ascii="Calibri" w:cs="Calibri" w:eastAsia="Calibri" w:hAnsi="Calibri"/>
                <w:sz w:val="17"/>
                <w:szCs w:val="17"/>
                <w:b w:val="1"/>
                <w:bCs w:val="1"/>
                <w:color w:val="auto"/>
              </w:rPr>
              <w:t>New York Stock Exchange</w:t>
            </w:r>
          </w:p>
        </w:tc>
      </w:tr>
    </w:tbl>
    <w:p>
      <w:pPr>
        <w:spacing w:after="0" w:line="103" w:lineRule="exact"/>
        <w:rPr>
          <w:sz w:val="20"/>
          <w:szCs w:val="20"/>
          <w:color w:val="auto"/>
        </w:rPr>
      </w:pPr>
    </w:p>
    <w:p>
      <w:pPr>
        <w:jc w:val="center"/>
        <w:ind w:right="40"/>
        <w:spacing w:after="0"/>
        <w:rPr>
          <w:sz w:val="20"/>
          <w:szCs w:val="20"/>
          <w:color w:val="auto"/>
        </w:rPr>
      </w:pPr>
      <w:r>
        <w:rPr>
          <w:rFonts w:ascii="Calibri" w:cs="Calibri" w:eastAsia="Calibri" w:hAnsi="Calibri"/>
          <w:sz w:val="17"/>
          <w:szCs w:val="17"/>
          <w:b w:val="1"/>
          <w:bCs w:val="1"/>
          <w:color w:val="auto"/>
        </w:rPr>
        <w:t>Securities registered pursuant to Section 12(g) of the Act: None</w:t>
      </w:r>
    </w:p>
    <w:p>
      <w:pPr>
        <w:spacing w:after="0" w:line="77" w:lineRule="exact"/>
        <w:rPr>
          <w:sz w:val="20"/>
          <w:szCs w:val="20"/>
          <w:color w:val="auto"/>
        </w:rPr>
      </w:pPr>
    </w:p>
    <w:p>
      <w:pPr>
        <w:ind w:right="1540"/>
        <w:spacing w:after="0" w:line="244" w:lineRule="exact"/>
        <w:rPr>
          <w:sz w:val="20"/>
          <w:szCs w:val="20"/>
          <w:color w:val="auto"/>
        </w:rPr>
      </w:pPr>
      <w:r>
        <w:rPr>
          <w:rFonts w:ascii="Calibri" w:cs="Calibri" w:eastAsia="Calibri" w:hAnsi="Calibri"/>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p>
    <w:p>
      <w:pPr>
        <w:spacing w:after="0" w:line="38" w:lineRule="exact"/>
        <w:rPr>
          <w:sz w:val="20"/>
          <w:szCs w:val="20"/>
          <w:color w:val="auto"/>
        </w:rPr>
      </w:pPr>
    </w:p>
    <w:p>
      <w:pPr>
        <w:jc w:val="both"/>
        <w:ind w:right="20"/>
        <w:spacing w:after="0" w:line="200" w:lineRule="exact"/>
        <w:rPr>
          <w:sz w:val="20"/>
          <w:szCs w:val="20"/>
          <w:color w:val="auto"/>
        </w:rPr>
      </w:pPr>
      <w:r>
        <w:rPr>
          <w:rFonts w:ascii="Calibri" w:cs="Calibri" w:eastAsia="Calibri" w:hAnsi="Calibri"/>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p>
    <w:p>
      <w:pPr>
        <w:spacing w:after="0" w:line="38" w:lineRule="exact"/>
        <w:rPr>
          <w:sz w:val="20"/>
          <w:szCs w:val="20"/>
          <w:color w:val="auto"/>
        </w:rPr>
      </w:pPr>
    </w:p>
    <w:p>
      <w:pPr>
        <w:ind w:right="420"/>
        <w:spacing w:after="0" w:line="200" w:lineRule="exact"/>
        <w:rPr>
          <w:sz w:val="20"/>
          <w:szCs w:val="20"/>
          <w:color w:val="auto"/>
        </w:rPr>
      </w:pPr>
      <w:r>
        <w:rPr>
          <w:rFonts w:ascii="Calibri" w:cs="Calibri" w:eastAsia="Calibri" w:hAnsi="Calibri"/>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p>
    <w:p>
      <w:pPr>
        <w:spacing w:after="0" w:line="38" w:lineRule="exact"/>
        <w:rPr>
          <w:sz w:val="20"/>
          <w:szCs w:val="20"/>
          <w:color w:val="auto"/>
        </w:rPr>
      </w:pPr>
    </w:p>
    <w:p>
      <w:pPr>
        <w:spacing w:after="0" w:line="231" w:lineRule="auto"/>
        <w:rPr>
          <w:sz w:val="20"/>
          <w:szCs w:val="20"/>
          <w:color w:val="auto"/>
        </w:rPr>
      </w:pPr>
      <w:r>
        <w:rPr>
          <w:rFonts w:ascii="Calibri" w:cs="Calibri" w:eastAsia="Calibri" w:hAnsi="Calibri"/>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7"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1700" w:type="dxa"/>
            <w:vAlign w:val="bottom"/>
          </w:tcPr>
          <w:p>
            <w:pPr>
              <w:spacing w:after="0"/>
              <w:rPr>
                <w:sz w:val="20"/>
                <w:szCs w:val="20"/>
                <w:color w:val="auto"/>
              </w:rPr>
            </w:pPr>
            <w:r>
              <w:rPr>
                <w:rFonts w:ascii="Calibri" w:cs="Calibri" w:eastAsia="Calibri" w:hAnsi="Calibri"/>
                <w:sz w:val="16"/>
                <w:szCs w:val="16"/>
                <w:color w:val="auto"/>
              </w:rPr>
              <w:t>Large accelerated filer</w:t>
            </w:r>
          </w:p>
        </w:tc>
        <w:tc>
          <w:tcPr>
            <w:tcW w:w="31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740"/>
              <w:spacing w:after="0"/>
              <w:rPr>
                <w:sz w:val="20"/>
                <w:szCs w:val="20"/>
                <w:color w:val="auto"/>
              </w:rPr>
            </w:pPr>
            <w:r>
              <w:rPr>
                <w:rFonts w:ascii="Calibri" w:cs="Calibri" w:eastAsia="Calibri" w:hAnsi="Calibri"/>
                <w:sz w:val="16"/>
                <w:szCs w:val="16"/>
                <w:color w:val="auto"/>
              </w:rPr>
              <w:t>Accelerated filer</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5"/>
        </w:trPr>
        <w:tc>
          <w:tcPr>
            <w:tcW w:w="1700" w:type="dxa"/>
            <w:vAlign w:val="bottom"/>
          </w:tcPr>
          <w:p>
            <w:pPr>
              <w:spacing w:after="0"/>
              <w:rPr>
                <w:sz w:val="20"/>
                <w:szCs w:val="20"/>
                <w:color w:val="auto"/>
              </w:rPr>
            </w:pPr>
            <w:r>
              <w:rPr>
                <w:rFonts w:ascii="Calibri" w:cs="Calibri" w:eastAsia="Calibri" w:hAnsi="Calibri"/>
                <w:sz w:val="16"/>
                <w:szCs w:val="16"/>
                <w:color w:val="auto"/>
              </w:rPr>
              <w:t>Non-accelerated filer</w:t>
            </w:r>
          </w:p>
        </w:tc>
        <w:tc>
          <w:tcPr>
            <w:tcW w:w="31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740"/>
              <w:spacing w:after="0"/>
              <w:rPr>
                <w:sz w:val="20"/>
                <w:szCs w:val="20"/>
                <w:color w:val="auto"/>
              </w:rPr>
            </w:pPr>
            <w:r>
              <w:rPr>
                <w:rFonts w:ascii="Calibri" w:cs="Calibri" w:eastAsia="Calibri" w:hAnsi="Calibri"/>
                <w:sz w:val="16"/>
                <w:szCs w:val="16"/>
                <w:color w:val="auto"/>
              </w:rPr>
              <w:t>Smaller reporting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5"/>
        </w:trPr>
        <w:tc>
          <w:tcPr>
            <w:tcW w:w="17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780" w:type="dxa"/>
            <w:vAlign w:val="bottom"/>
          </w:tcPr>
          <w:p>
            <w:pPr>
              <w:ind w:left="2740"/>
              <w:spacing w:after="0"/>
              <w:rPr>
                <w:sz w:val="20"/>
                <w:szCs w:val="20"/>
                <w:color w:val="auto"/>
              </w:rPr>
            </w:pPr>
            <w:r>
              <w:rPr>
                <w:rFonts w:ascii="Calibri" w:cs="Calibri" w:eastAsia="Calibri" w:hAnsi="Calibri"/>
                <w:sz w:val="16"/>
                <w:szCs w:val="16"/>
                <w:color w:val="auto"/>
              </w:rPr>
              <w:t>Emerging growth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36" w:lineRule="exact"/>
        <w:rPr>
          <w:sz w:val="20"/>
          <w:szCs w:val="20"/>
          <w:color w:val="auto"/>
        </w:rPr>
      </w:pPr>
    </w:p>
    <w:p>
      <w:pPr>
        <w:ind w:right="80"/>
        <w:spacing w:after="0" w:line="203" w:lineRule="exact"/>
        <w:rPr>
          <w:sz w:val="20"/>
          <w:szCs w:val="20"/>
          <w:color w:val="auto"/>
        </w:rPr>
      </w:pPr>
      <w:r>
        <w:rPr>
          <w:rFonts w:ascii="Calibri" w:cs="Calibri" w:eastAsia="Calibri" w:hAnsi="Calibri"/>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0"/>
          <w:szCs w:val="20"/>
          <w:color w:val="auto"/>
        </w:rPr>
      </w:pPr>
    </w:p>
    <w:p>
      <w:pPr>
        <w:jc w:val="both"/>
        <w:spacing w:after="0" w:line="200" w:lineRule="exact"/>
        <w:rPr>
          <w:sz w:val="20"/>
          <w:szCs w:val="20"/>
          <w:color w:val="auto"/>
        </w:rPr>
      </w:pPr>
      <w:r>
        <w:rPr>
          <w:rFonts w:ascii="Calibri" w:cs="Calibri" w:eastAsia="Calibri" w:hAnsi="Calibri"/>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7" w:lineRule="exact"/>
        <w:rPr>
          <w:sz w:val="20"/>
          <w:szCs w:val="20"/>
          <w:color w:val="auto"/>
        </w:rPr>
      </w:pPr>
    </w:p>
    <w:p>
      <w:pPr>
        <w:spacing w:after="0" w:line="196" w:lineRule="exact"/>
        <w:tabs>
          <w:tab w:leader="none" w:pos="7920" w:val="left"/>
        </w:tabs>
        <w:rPr>
          <w:sz w:val="20"/>
          <w:szCs w:val="20"/>
          <w:color w:val="auto"/>
        </w:rPr>
      </w:pPr>
      <w:r>
        <w:rPr>
          <w:rFonts w:ascii="Calibri" w:cs="Calibri" w:eastAsia="Calibri" w:hAnsi="Calibri"/>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Calibri" w:cs="Calibri" w:eastAsia="Calibri" w:hAnsi="Calibri"/>
          <w:sz w:val="15"/>
          <w:szCs w:val="15"/>
          <w:color w:val="auto"/>
        </w:rPr>
        <w:t xml:space="preserve">No </w:t>
      </w:r>
      <w:r>
        <w:rPr>
          <w:rFonts w:ascii="MS PGothic" w:cs="MS PGothic" w:eastAsia="MS PGothic" w:hAnsi="MS PGothic"/>
          <w:sz w:val="15"/>
          <w:szCs w:val="15"/>
          <w:color w:val="auto"/>
        </w:rPr>
        <w:t>☒</w:t>
      </w:r>
    </w:p>
    <w:p>
      <w:pPr>
        <w:spacing w:after="0" w:line="77" w:lineRule="exact"/>
        <w:rPr>
          <w:sz w:val="20"/>
          <w:szCs w:val="20"/>
          <w:color w:val="auto"/>
        </w:rPr>
      </w:pPr>
    </w:p>
    <w:p>
      <w:pPr>
        <w:jc w:val="both"/>
        <w:spacing w:after="0" w:line="203" w:lineRule="exact"/>
        <w:rPr>
          <w:sz w:val="20"/>
          <w:szCs w:val="20"/>
          <w:color w:val="auto"/>
        </w:rPr>
      </w:pPr>
      <w:r>
        <w:rPr>
          <w:rFonts w:ascii="Calibri" w:cs="Calibri" w:eastAsia="Calibri" w:hAnsi="Calibri"/>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39" w:lineRule="exact"/>
        <w:rPr>
          <w:sz w:val="20"/>
          <w:szCs w:val="20"/>
          <w:color w:val="auto"/>
        </w:rPr>
      </w:pPr>
    </w:p>
    <w:p>
      <w:pPr>
        <w:ind w:right="120"/>
        <w:spacing w:after="0" w:line="203" w:lineRule="exact"/>
        <w:rPr>
          <w:sz w:val="20"/>
          <w:szCs w:val="20"/>
          <w:color w:val="auto"/>
        </w:rPr>
      </w:pPr>
      <w:r>
        <w:rPr>
          <w:rFonts w:ascii="Calibri" w:cs="Calibri" w:eastAsia="Calibri" w:hAnsi="Calibri"/>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39" w:lineRule="exact"/>
        <w:rPr>
          <w:sz w:val="20"/>
          <w:szCs w:val="20"/>
          <w:color w:val="auto"/>
        </w:rPr>
      </w:pPr>
    </w:p>
    <w:p>
      <w:pPr>
        <w:ind w:right="20"/>
        <w:spacing w:after="0" w:line="229" w:lineRule="auto"/>
        <w:rPr>
          <w:sz w:val="20"/>
          <w:szCs w:val="20"/>
          <w:color w:val="auto"/>
        </w:rPr>
      </w:pPr>
      <w:r>
        <w:rPr>
          <w:rFonts w:ascii="Calibri" w:cs="Calibri" w:eastAsia="Calibri" w:hAnsi="Calibri"/>
          <w:sz w:val="16"/>
          <w:szCs w:val="16"/>
          <w:color w:val="auto"/>
        </w:rPr>
        <w:t>The aggregate market value of the voting and non-voting common equity of the registrant held by non-affiliates, computed by reference to the price at which the common equity was last sold, as of the last business day of the registrant’s most recently completed second fiscal quarter was $5,506,467,014.</w:t>
      </w:r>
    </w:p>
    <w:p>
      <w:pPr>
        <w:spacing w:after="0" w:line="58" w:lineRule="exact"/>
        <w:rPr>
          <w:sz w:val="20"/>
          <w:szCs w:val="20"/>
          <w:color w:val="auto"/>
        </w:rPr>
      </w:pPr>
    </w:p>
    <w:p>
      <w:pPr>
        <w:spacing w:after="0"/>
        <w:rPr>
          <w:sz w:val="20"/>
          <w:szCs w:val="20"/>
          <w:color w:val="auto"/>
        </w:rPr>
      </w:pPr>
      <w:r>
        <w:rPr>
          <w:rFonts w:ascii="Calibri" w:cs="Calibri" w:eastAsia="Calibri" w:hAnsi="Calibri"/>
          <w:sz w:val="16"/>
          <w:szCs w:val="16"/>
          <w:color w:val="auto"/>
        </w:rPr>
        <w:t>As of February 24, 2026, there were 124,249,941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1757045</wp:posOffset>
            </wp:positionH>
            <wp:positionV relativeFrom="paragraph">
              <wp:posOffset>58420</wp:posOffset>
            </wp:positionV>
            <wp:extent cx="3000375" cy="12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extLst>
                    </a:blip>
                    <a:srcRect/>
                    <a:stretch>
                      <a:fillRect/>
                    </a:stretch>
                  </pic:blipFill>
                  <pic:spPr bwMode="auto">
                    <a:xfrm>
                      <a:off x="0" y="0"/>
                      <a:ext cx="3000375" cy="12700"/>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DOCUMENTS INCORPORATED BY REFERENCE</w:t>
      </w:r>
    </w:p>
    <w:p>
      <w:pPr>
        <w:spacing w:after="0" w:line="108" w:lineRule="exact"/>
        <w:rPr>
          <w:sz w:val="20"/>
          <w:szCs w:val="20"/>
          <w:color w:val="auto"/>
        </w:rPr>
      </w:pPr>
    </w:p>
    <w:p>
      <w:pPr>
        <w:ind w:right="120"/>
        <w:spacing w:after="0" w:line="231" w:lineRule="auto"/>
        <w:rPr>
          <w:sz w:val="20"/>
          <w:szCs w:val="20"/>
          <w:color w:val="auto"/>
        </w:rPr>
      </w:pPr>
      <w:r>
        <w:rPr>
          <w:rFonts w:ascii="Calibri" w:cs="Calibri" w:eastAsia="Calibri" w:hAnsi="Calibri"/>
          <w:sz w:val="16"/>
          <w:szCs w:val="16"/>
          <w:color w:val="auto"/>
        </w:rPr>
        <w:t>The information required by Part III of this Annual Report on Form 10-K, to the extent not set forth herein, is incorporated by reference to the registrant’s definitive proxy statement relating to the 2026 Annual Meeting of Shareholders, which will be filed with the Securities and Exchange Commission within 120 days after the end of the fiscal year to which this Annual Report on Form 10-K relates.</w:t>
      </w:r>
    </w:p>
    <w:p>
      <w:pPr>
        <w:spacing w:after="0" w:line="52" w:lineRule="exact"/>
        <w:rPr>
          <w:sz w:val="20"/>
          <w:szCs w:val="20"/>
          <w:color w:val="auto"/>
        </w:rPr>
      </w:pPr>
    </w:p>
    <w:p>
      <w:pPr>
        <w:ind w:left="60"/>
        <w:spacing w:after="0"/>
        <w:tabs>
          <w:tab w:leader="none" w:pos="3800" w:val="left"/>
          <w:tab w:leader="none" w:pos="8760" w:val="left"/>
        </w:tabs>
        <w:rPr>
          <w:sz w:val="20"/>
          <w:szCs w:val="20"/>
          <w:color w:val="auto"/>
        </w:rPr>
      </w:pPr>
      <w:r>
        <w:rPr>
          <w:rFonts w:ascii="Calibri" w:cs="Calibri" w:eastAsia="Calibri" w:hAnsi="Calibri"/>
          <w:sz w:val="16"/>
          <w:szCs w:val="16"/>
          <w:color w:val="auto"/>
        </w:rPr>
        <w:t>Auditor Name: KPMG LLP</w:t>
      </w:r>
      <w:r>
        <w:rPr>
          <w:sz w:val="20"/>
          <w:szCs w:val="20"/>
          <w:color w:val="auto"/>
        </w:rPr>
        <w:tab/>
      </w:r>
      <w:r>
        <w:rPr>
          <w:rFonts w:ascii="Calibri" w:cs="Calibri" w:eastAsia="Calibri" w:hAnsi="Calibri"/>
          <w:sz w:val="16"/>
          <w:szCs w:val="16"/>
          <w:color w:val="auto"/>
        </w:rPr>
        <w:t>Auditor Location: Dallas, TX</w:t>
      </w:r>
      <w:r>
        <w:rPr>
          <w:sz w:val="20"/>
          <w:szCs w:val="20"/>
          <w:color w:val="auto"/>
        </w:rPr>
        <w:tab/>
      </w:r>
      <w:r>
        <w:rPr>
          <w:rFonts w:ascii="Calibri" w:cs="Calibri" w:eastAsia="Calibri" w:hAnsi="Calibri"/>
          <w:sz w:val="16"/>
          <w:szCs w:val="16"/>
          <w:color w:val="auto"/>
        </w:rPr>
        <w:t>Auditor Firm ID: 185</w:t>
      </w:r>
    </w:p>
    <w:p>
      <w:pPr>
        <w:sectPr>
          <w:pgSz w:w="11880" w:h="15480" w:orient="portrait"/>
          <w:cols w:equalWidth="0" w:num="1">
            <w:col w:w="10260"/>
          </w:cols>
          <w:pgMar w:left="1080" w:top="658" w:right="540" w:bottom="315" w:gutter="0" w:footer="0" w:header="0"/>
        </w:sectPr>
      </w:pPr>
    </w:p>
    <w:bookmarkStart w:id="13" w:name="page14"/>
    <w:bookmarkEnd w:id="13"/>
    <w:p>
      <w:pPr>
        <w:ind w:left="660"/>
        <w:spacing w:after="0"/>
        <w:rPr>
          <w:sz w:val="20"/>
          <w:szCs w:val="20"/>
          <w:color w:val="auto"/>
        </w:rPr>
      </w:pPr>
      <w:r>
        <w:rPr>
          <w:rFonts w:ascii="Calibri" w:cs="Calibri" w:eastAsia="Calibri" w:hAnsi="Calibri"/>
          <w:sz w:val="18"/>
          <w:szCs w:val="18"/>
          <w:color w:val="auto"/>
        </w:rPr>
        <w:t>MATADOR RESOURCES COMPANY</w:t>
      </w:r>
    </w:p>
    <w:p>
      <w:pPr>
        <w:spacing w:after="0" w:line="223" w:lineRule="exact"/>
        <w:rPr>
          <w:sz w:val="20"/>
          <w:szCs w:val="20"/>
          <w:color w:val="auto"/>
        </w:rPr>
      </w:pPr>
    </w:p>
    <w:p>
      <w:pPr>
        <w:ind w:left="660"/>
        <w:spacing w:after="0"/>
        <w:rPr>
          <w:sz w:val="20"/>
          <w:szCs w:val="20"/>
          <w:color w:val="auto"/>
        </w:rPr>
      </w:pPr>
      <w:r>
        <w:rPr>
          <w:rFonts w:ascii="Verdana" w:cs="Verdana" w:eastAsia="Verdana" w:hAnsi="Verdana"/>
          <w:sz w:val="21"/>
          <w:szCs w:val="21"/>
          <w:color w:val="214E93"/>
        </w:rPr>
        <w:t>Table of Contents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381635</wp:posOffset>
                </wp:positionH>
                <wp:positionV relativeFrom="paragraph">
                  <wp:posOffset>17145</wp:posOffset>
                </wp:positionV>
                <wp:extent cx="697166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716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5pt,1.35pt" to="579pt,1.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381635</wp:posOffset>
                </wp:positionH>
                <wp:positionV relativeFrom="paragraph">
                  <wp:posOffset>17145</wp:posOffset>
                </wp:positionV>
                <wp:extent cx="697166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7166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5pt,1.35pt" to="579pt,1.35pt" o:allowincell="f" strokecolor="#214E93" strokeweight="1pt"/>
            </w:pict>
          </mc:Fallback>
        </mc:AlternateContent>
      </w:r>
    </w:p>
    <w:p>
      <w:pPr>
        <w:spacing w:after="0" w:line="234" w:lineRule="exact"/>
        <w:rPr>
          <w:sz w:val="20"/>
          <w:szCs w:val="20"/>
          <w:color w:val="auto"/>
        </w:rPr>
      </w:pPr>
    </w:p>
    <w:p>
      <w:pPr>
        <w:jc w:val="right"/>
        <w:spacing w:after="0"/>
        <w:rPr>
          <w:sz w:val="20"/>
          <w:szCs w:val="20"/>
          <w:color w:val="auto"/>
        </w:rPr>
      </w:pPr>
      <w:r>
        <w:rPr>
          <w:rFonts w:ascii="Calibri" w:cs="Calibri" w:eastAsia="Calibri" w:hAnsi="Calibri"/>
          <w:sz w:val="18"/>
          <w:szCs w:val="18"/>
          <w:i w:val="1"/>
          <w:iCs w:val="1"/>
          <w:color w:val="214E93"/>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19050</wp:posOffset>
            </wp:positionV>
            <wp:extent cx="6392545" cy="12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extLst>
                    </a:blip>
                    <a:srcRect/>
                    <a:stretch>
                      <a:fillRect/>
                    </a:stretch>
                  </pic:blipFill>
                  <pic:spPr bwMode="auto">
                    <a:xfrm>
                      <a:off x="0" y="0"/>
                      <a:ext cx="6392545" cy="1270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Calibri" w:cs="Calibri" w:eastAsia="Calibri" w:hAnsi="Calibri"/>
          <w:sz w:val="19"/>
          <w:szCs w:val="19"/>
          <w:color w:val="214E93"/>
        </w:rPr>
        <w:t>PART I</w:t>
      </w:r>
    </w:p>
    <w:p>
      <w:pPr>
        <w:spacing w:after="0" w:line="79" w:lineRule="exact"/>
        <w:rPr>
          <w:sz w:val="20"/>
          <w:szCs w:val="20"/>
          <w:color w:val="auto"/>
        </w:rPr>
      </w:pPr>
    </w:p>
    <w:p>
      <w:pPr>
        <w:ind w:left="660"/>
        <w:spacing w:after="0"/>
        <w:tabs>
          <w:tab w:leader="none" w:pos="1660" w:val="left"/>
          <w:tab w:leader="dot" w:pos="10520" w:val="left"/>
        </w:tabs>
        <w:rPr>
          <w:sz w:val="20"/>
          <w:szCs w:val="20"/>
          <w:color w:val="auto"/>
        </w:rPr>
      </w:pPr>
      <w:r>
        <w:rPr>
          <w:rFonts w:ascii="Calibri" w:cs="Calibri" w:eastAsia="Calibri" w:hAnsi="Calibri"/>
          <w:sz w:val="18"/>
          <w:szCs w:val="18"/>
          <w:color w:val="auto"/>
        </w:rPr>
        <w:t>ITEM 1.</w:t>
      </w:r>
      <w:r>
        <w:rPr>
          <w:sz w:val="20"/>
          <w:szCs w:val="20"/>
          <w:color w:val="auto"/>
        </w:rPr>
        <w:tab/>
      </w:r>
      <w:r>
        <w:rPr>
          <w:rFonts w:ascii="Calibri" w:cs="Calibri" w:eastAsia="Calibri" w:hAnsi="Calibri"/>
          <w:sz w:val="18"/>
          <w:szCs w:val="18"/>
          <w:color w:val="auto"/>
        </w:rPr>
        <w:t>Business</w:t>
      </w:r>
      <w:r>
        <w:rPr>
          <w:sz w:val="20"/>
          <w:szCs w:val="20"/>
          <w:color w:val="auto"/>
        </w:rPr>
        <w:tab/>
      </w:r>
      <w:r>
        <w:rPr>
          <w:rFonts w:ascii="Calibri" w:cs="Calibri" w:eastAsia="Calibri" w:hAnsi="Calibri"/>
          <w:sz w:val="15"/>
          <w:szCs w:val="15"/>
          <w:color w:val="auto"/>
        </w:rPr>
        <w:t>4</w:t>
      </w:r>
    </w:p>
    <w:p>
      <w:pPr>
        <w:spacing w:after="0" w:line="76" w:lineRule="exact"/>
        <w:rPr>
          <w:sz w:val="20"/>
          <w:szCs w:val="20"/>
          <w:color w:val="auto"/>
        </w:rPr>
      </w:pPr>
    </w:p>
    <w:p>
      <w:pPr>
        <w:ind w:left="660"/>
        <w:spacing w:after="0"/>
        <w:tabs>
          <w:tab w:leader="none" w:pos="1660" w:val="left"/>
          <w:tab w:leader="dot" w:pos="10420" w:val="left"/>
        </w:tabs>
        <w:rPr>
          <w:sz w:val="20"/>
          <w:szCs w:val="20"/>
          <w:color w:val="auto"/>
        </w:rPr>
      </w:pPr>
      <w:r>
        <w:rPr>
          <w:rFonts w:ascii="Calibri" w:cs="Calibri" w:eastAsia="Calibri" w:hAnsi="Calibri"/>
          <w:sz w:val="18"/>
          <w:szCs w:val="18"/>
          <w:color w:val="auto"/>
        </w:rPr>
        <w:t>ITEM 1A.</w:t>
      </w:r>
      <w:r>
        <w:rPr>
          <w:sz w:val="20"/>
          <w:szCs w:val="20"/>
          <w:color w:val="auto"/>
        </w:rPr>
        <w:tab/>
      </w:r>
      <w:r>
        <w:rPr>
          <w:rFonts w:ascii="Calibri" w:cs="Calibri" w:eastAsia="Calibri" w:hAnsi="Calibri"/>
          <w:sz w:val="18"/>
          <w:szCs w:val="18"/>
          <w:color w:val="auto"/>
        </w:rPr>
        <w:t>Risk Factors</w:t>
      </w:r>
      <w:r>
        <w:rPr>
          <w:sz w:val="20"/>
          <w:szCs w:val="20"/>
          <w:color w:val="auto"/>
        </w:rPr>
        <w:tab/>
      </w:r>
      <w:r>
        <w:rPr>
          <w:rFonts w:ascii="Calibri" w:cs="Calibri" w:eastAsia="Calibri" w:hAnsi="Calibri"/>
          <w:sz w:val="17"/>
          <w:szCs w:val="17"/>
          <w:color w:val="auto"/>
        </w:rPr>
        <w:t>39</w:t>
      </w:r>
    </w:p>
    <w:p>
      <w:pPr>
        <w:spacing w:after="0" w:line="76" w:lineRule="exact"/>
        <w:rPr>
          <w:sz w:val="20"/>
          <w:szCs w:val="20"/>
          <w:color w:val="auto"/>
        </w:rPr>
      </w:pPr>
    </w:p>
    <w:p>
      <w:pPr>
        <w:ind w:left="660"/>
        <w:spacing w:after="0"/>
        <w:tabs>
          <w:tab w:leader="none" w:pos="1660" w:val="left"/>
          <w:tab w:leader="dot" w:pos="10420" w:val="left"/>
        </w:tabs>
        <w:rPr>
          <w:sz w:val="20"/>
          <w:szCs w:val="20"/>
          <w:color w:val="auto"/>
        </w:rPr>
      </w:pPr>
      <w:r>
        <w:rPr>
          <w:rFonts w:ascii="Calibri" w:cs="Calibri" w:eastAsia="Calibri" w:hAnsi="Calibri"/>
          <w:sz w:val="18"/>
          <w:szCs w:val="18"/>
          <w:color w:val="auto"/>
        </w:rPr>
        <w:t>ITEM 1B.</w:t>
      </w:r>
      <w:r>
        <w:rPr>
          <w:sz w:val="20"/>
          <w:szCs w:val="20"/>
          <w:color w:val="auto"/>
        </w:rPr>
        <w:tab/>
      </w:r>
      <w:r>
        <w:rPr>
          <w:rFonts w:ascii="Calibri" w:cs="Calibri" w:eastAsia="Calibri" w:hAnsi="Calibri"/>
          <w:sz w:val="18"/>
          <w:szCs w:val="18"/>
          <w:color w:val="auto"/>
        </w:rPr>
        <w:t>Unresolved Staff Comments</w:t>
      </w:r>
      <w:r>
        <w:rPr>
          <w:sz w:val="20"/>
          <w:szCs w:val="20"/>
          <w:color w:val="auto"/>
        </w:rPr>
        <w:tab/>
      </w:r>
      <w:r>
        <w:rPr>
          <w:rFonts w:ascii="Calibri" w:cs="Calibri" w:eastAsia="Calibri" w:hAnsi="Calibri"/>
          <w:sz w:val="17"/>
          <w:szCs w:val="17"/>
          <w:color w:val="auto"/>
        </w:rPr>
        <w:t>76</w:t>
      </w:r>
    </w:p>
    <w:p>
      <w:pPr>
        <w:spacing w:after="0" w:line="76" w:lineRule="exact"/>
        <w:rPr>
          <w:sz w:val="20"/>
          <w:szCs w:val="20"/>
          <w:color w:val="auto"/>
        </w:rPr>
      </w:pPr>
    </w:p>
    <w:p>
      <w:pPr>
        <w:ind w:left="660"/>
        <w:spacing w:after="0"/>
        <w:tabs>
          <w:tab w:leader="none" w:pos="1660" w:val="left"/>
          <w:tab w:leader="dot" w:pos="10420" w:val="left"/>
        </w:tabs>
        <w:rPr>
          <w:sz w:val="20"/>
          <w:szCs w:val="20"/>
          <w:color w:val="auto"/>
        </w:rPr>
      </w:pPr>
      <w:r>
        <w:rPr>
          <w:rFonts w:ascii="Calibri" w:cs="Calibri" w:eastAsia="Calibri" w:hAnsi="Calibri"/>
          <w:sz w:val="18"/>
          <w:szCs w:val="18"/>
          <w:color w:val="auto"/>
        </w:rPr>
        <w:t>ITEM 1C.</w:t>
      </w:r>
      <w:r>
        <w:rPr>
          <w:sz w:val="20"/>
          <w:szCs w:val="20"/>
          <w:color w:val="auto"/>
        </w:rPr>
        <w:tab/>
      </w:r>
      <w:r>
        <w:rPr>
          <w:rFonts w:ascii="Calibri" w:cs="Calibri" w:eastAsia="Calibri" w:hAnsi="Calibri"/>
          <w:sz w:val="18"/>
          <w:szCs w:val="18"/>
          <w:color w:val="auto"/>
        </w:rPr>
        <w:t>Cybersecurity</w:t>
      </w:r>
      <w:r>
        <w:rPr>
          <w:sz w:val="20"/>
          <w:szCs w:val="20"/>
          <w:color w:val="auto"/>
        </w:rPr>
        <w:tab/>
      </w:r>
      <w:r>
        <w:rPr>
          <w:rFonts w:ascii="Calibri" w:cs="Calibri" w:eastAsia="Calibri" w:hAnsi="Calibri"/>
          <w:sz w:val="17"/>
          <w:szCs w:val="17"/>
          <w:color w:val="auto"/>
        </w:rPr>
        <w:t>76</w:t>
      </w:r>
    </w:p>
    <w:p>
      <w:pPr>
        <w:spacing w:after="0" w:line="75" w:lineRule="exact"/>
        <w:rPr>
          <w:sz w:val="20"/>
          <w:szCs w:val="20"/>
          <w:color w:val="auto"/>
        </w:rPr>
      </w:pPr>
    </w:p>
    <w:p>
      <w:pPr>
        <w:ind w:left="660"/>
        <w:spacing w:after="0"/>
        <w:tabs>
          <w:tab w:leader="none" w:pos="1660" w:val="left"/>
          <w:tab w:leader="dot" w:pos="10420" w:val="left"/>
        </w:tabs>
        <w:rPr>
          <w:sz w:val="20"/>
          <w:szCs w:val="20"/>
          <w:color w:val="auto"/>
        </w:rPr>
      </w:pPr>
      <w:r>
        <w:rPr>
          <w:rFonts w:ascii="Calibri" w:cs="Calibri" w:eastAsia="Calibri" w:hAnsi="Calibri"/>
          <w:sz w:val="18"/>
          <w:szCs w:val="18"/>
          <w:color w:val="auto"/>
        </w:rPr>
        <w:t>ITEM 2.</w:t>
      </w:r>
      <w:r>
        <w:rPr>
          <w:sz w:val="20"/>
          <w:szCs w:val="20"/>
          <w:color w:val="auto"/>
        </w:rPr>
        <w:tab/>
      </w:r>
      <w:r>
        <w:rPr>
          <w:rFonts w:ascii="Calibri" w:cs="Calibri" w:eastAsia="Calibri" w:hAnsi="Calibri"/>
          <w:sz w:val="18"/>
          <w:szCs w:val="18"/>
          <w:color w:val="auto"/>
        </w:rPr>
        <w:t>Properties</w:t>
      </w:r>
      <w:r>
        <w:rPr>
          <w:sz w:val="20"/>
          <w:szCs w:val="20"/>
          <w:color w:val="auto"/>
        </w:rPr>
        <w:tab/>
      </w:r>
      <w:r>
        <w:rPr>
          <w:rFonts w:ascii="Calibri" w:cs="Calibri" w:eastAsia="Calibri" w:hAnsi="Calibri"/>
          <w:sz w:val="17"/>
          <w:szCs w:val="17"/>
          <w:color w:val="auto"/>
        </w:rPr>
        <w:t>78</w:t>
      </w:r>
    </w:p>
    <w:p>
      <w:pPr>
        <w:spacing w:after="0" w:line="76" w:lineRule="exact"/>
        <w:rPr>
          <w:sz w:val="20"/>
          <w:szCs w:val="20"/>
          <w:color w:val="auto"/>
        </w:rPr>
      </w:pPr>
    </w:p>
    <w:p>
      <w:pPr>
        <w:ind w:left="660"/>
        <w:spacing w:after="0"/>
        <w:tabs>
          <w:tab w:leader="none" w:pos="1660" w:val="left"/>
          <w:tab w:leader="dot" w:pos="10420" w:val="left"/>
        </w:tabs>
        <w:rPr>
          <w:sz w:val="20"/>
          <w:szCs w:val="20"/>
          <w:color w:val="auto"/>
        </w:rPr>
      </w:pPr>
      <w:r>
        <w:rPr>
          <w:rFonts w:ascii="Calibri" w:cs="Calibri" w:eastAsia="Calibri" w:hAnsi="Calibri"/>
          <w:sz w:val="18"/>
          <w:szCs w:val="18"/>
          <w:color w:val="auto"/>
        </w:rPr>
        <w:t>ITEM 3.</w:t>
      </w:r>
      <w:r>
        <w:rPr>
          <w:sz w:val="20"/>
          <w:szCs w:val="20"/>
          <w:color w:val="auto"/>
        </w:rPr>
        <w:tab/>
      </w:r>
      <w:r>
        <w:rPr>
          <w:rFonts w:ascii="Calibri" w:cs="Calibri" w:eastAsia="Calibri" w:hAnsi="Calibri"/>
          <w:sz w:val="18"/>
          <w:szCs w:val="18"/>
          <w:color w:val="auto"/>
        </w:rPr>
        <w:t>Legal Proceedings</w:t>
      </w:r>
      <w:r>
        <w:rPr>
          <w:sz w:val="20"/>
          <w:szCs w:val="20"/>
          <w:color w:val="auto"/>
        </w:rPr>
        <w:tab/>
      </w:r>
      <w:r>
        <w:rPr>
          <w:rFonts w:ascii="Calibri" w:cs="Calibri" w:eastAsia="Calibri" w:hAnsi="Calibri"/>
          <w:sz w:val="17"/>
          <w:szCs w:val="17"/>
          <w:color w:val="auto"/>
        </w:rPr>
        <w:t>78</w:t>
      </w:r>
    </w:p>
    <w:p>
      <w:pPr>
        <w:spacing w:after="0" w:line="76" w:lineRule="exact"/>
        <w:rPr>
          <w:sz w:val="20"/>
          <w:szCs w:val="20"/>
          <w:color w:val="auto"/>
        </w:rPr>
      </w:pPr>
    </w:p>
    <w:p>
      <w:pPr>
        <w:ind w:left="660"/>
        <w:spacing w:after="0"/>
        <w:tabs>
          <w:tab w:leader="none" w:pos="1660" w:val="left"/>
          <w:tab w:leader="dot" w:pos="10420" w:val="left"/>
        </w:tabs>
        <w:rPr>
          <w:sz w:val="20"/>
          <w:szCs w:val="20"/>
          <w:color w:val="auto"/>
        </w:rPr>
      </w:pPr>
      <w:r>
        <w:rPr>
          <w:rFonts w:ascii="Calibri" w:cs="Calibri" w:eastAsia="Calibri" w:hAnsi="Calibri"/>
          <w:sz w:val="18"/>
          <w:szCs w:val="18"/>
          <w:color w:val="auto"/>
        </w:rPr>
        <w:t>ITEM 4.</w:t>
      </w:r>
      <w:r>
        <w:rPr>
          <w:sz w:val="20"/>
          <w:szCs w:val="20"/>
          <w:color w:val="auto"/>
        </w:rPr>
        <w:tab/>
      </w:r>
      <w:r>
        <w:rPr>
          <w:rFonts w:ascii="Calibri" w:cs="Calibri" w:eastAsia="Calibri" w:hAnsi="Calibri"/>
          <w:sz w:val="18"/>
          <w:szCs w:val="18"/>
          <w:color w:val="auto"/>
        </w:rPr>
        <w:t>Mine Safety Disclosures</w:t>
      </w:r>
      <w:r>
        <w:rPr>
          <w:sz w:val="20"/>
          <w:szCs w:val="20"/>
          <w:color w:val="auto"/>
        </w:rPr>
        <w:tab/>
      </w:r>
      <w:r>
        <w:rPr>
          <w:rFonts w:ascii="Calibri" w:cs="Calibri" w:eastAsia="Calibri" w:hAnsi="Calibri"/>
          <w:sz w:val="17"/>
          <w:szCs w:val="17"/>
          <w:color w:val="auto"/>
        </w:rPr>
        <w:t>78</w:t>
      </w:r>
    </w:p>
    <w:p>
      <w:pPr>
        <w:spacing w:after="0" w:line="341" w:lineRule="exact"/>
        <w:rPr>
          <w:sz w:val="20"/>
          <w:szCs w:val="20"/>
          <w:color w:val="auto"/>
        </w:rPr>
      </w:pPr>
    </w:p>
    <w:p>
      <w:pPr>
        <w:ind w:left="660"/>
        <w:spacing w:after="0"/>
        <w:rPr>
          <w:sz w:val="20"/>
          <w:szCs w:val="20"/>
          <w:color w:val="auto"/>
        </w:rPr>
      </w:pPr>
      <w:r>
        <w:rPr>
          <w:rFonts w:ascii="Calibri" w:cs="Calibri" w:eastAsia="Calibri" w:hAnsi="Calibri"/>
          <w:sz w:val="19"/>
          <w:szCs w:val="19"/>
          <w:color w:val="214E93"/>
        </w:rPr>
        <w:t>PART II</w:t>
      </w:r>
    </w:p>
    <w:p>
      <w:pPr>
        <w:ind w:left="660"/>
        <w:spacing w:after="0"/>
        <w:tabs>
          <w:tab w:leader="none" w:pos="1660" w:val="left"/>
          <w:tab w:leader="none" w:pos="10420" w:val="left"/>
        </w:tabs>
        <w:rPr>
          <w:sz w:val="20"/>
          <w:szCs w:val="20"/>
          <w:color w:val="auto"/>
        </w:rPr>
      </w:pPr>
      <w:r>
        <w:rPr>
          <w:rFonts w:ascii="Calibri" w:cs="Calibri" w:eastAsia="Calibri" w:hAnsi="Calibri"/>
          <w:sz w:val="35"/>
          <w:szCs w:val="35"/>
          <w:color w:val="auto"/>
          <w:vertAlign w:val="superscript"/>
        </w:rPr>
        <w:t>ITEM 5.</w:t>
      </w:r>
      <w:r>
        <w:rPr>
          <w:sz w:val="20"/>
          <w:szCs w:val="20"/>
          <w:color w:val="auto"/>
        </w:rPr>
        <w:tab/>
      </w:r>
      <w:r>
        <w:rPr>
          <w:rFonts w:ascii="Calibri" w:cs="Calibri" w:eastAsia="Calibri" w:hAnsi="Calibri"/>
          <w:sz w:val="18"/>
          <w:szCs w:val="18"/>
          <w:color w:val="auto"/>
        </w:rPr>
        <w:t>Market for Registrant’s Common Equity, Related Stockholder Matters and Issuer Purchases of Equity Securities</w:t>
      </w:r>
      <w:r>
        <w:rPr>
          <w:sz w:val="20"/>
          <w:szCs w:val="20"/>
          <w:color w:val="auto"/>
        </w:rPr>
        <w:tab/>
      </w:r>
      <w:r>
        <w:rPr>
          <w:rFonts w:ascii="Calibri" w:cs="Calibri" w:eastAsia="Calibri" w:hAnsi="Calibri"/>
          <w:sz w:val="17"/>
          <w:szCs w:val="17"/>
          <w:color w:val="auto"/>
        </w:rPr>
        <w:t>79</w:t>
      </w:r>
    </w:p>
    <w:p>
      <w:pPr>
        <w:ind w:left="660"/>
        <w:spacing w:after="0" w:line="235" w:lineRule="auto"/>
        <w:tabs>
          <w:tab w:leader="none" w:pos="1660" w:val="left"/>
          <w:tab w:leader="dot" w:pos="10420" w:val="left"/>
        </w:tabs>
        <w:rPr>
          <w:sz w:val="20"/>
          <w:szCs w:val="20"/>
          <w:color w:val="auto"/>
        </w:rPr>
      </w:pPr>
      <w:r>
        <w:rPr>
          <w:rFonts w:ascii="Calibri" w:cs="Calibri" w:eastAsia="Calibri" w:hAnsi="Calibri"/>
          <w:sz w:val="18"/>
          <w:szCs w:val="18"/>
          <w:color w:val="auto"/>
        </w:rPr>
        <w:t>ITEM 6.</w:t>
      </w:r>
      <w:r>
        <w:rPr>
          <w:sz w:val="20"/>
          <w:szCs w:val="20"/>
          <w:color w:val="auto"/>
        </w:rPr>
        <w:tab/>
      </w:r>
      <w:r>
        <w:rPr>
          <w:rFonts w:ascii="Calibri" w:cs="Calibri" w:eastAsia="Calibri" w:hAnsi="Calibri"/>
          <w:sz w:val="18"/>
          <w:szCs w:val="18"/>
          <w:color w:val="auto"/>
        </w:rPr>
        <w:t>Selected Financial Data</w:t>
      </w:r>
      <w:r>
        <w:rPr>
          <w:sz w:val="20"/>
          <w:szCs w:val="20"/>
          <w:color w:val="auto"/>
        </w:rPr>
        <w:tab/>
      </w:r>
      <w:r>
        <w:rPr>
          <w:rFonts w:ascii="Calibri" w:cs="Calibri" w:eastAsia="Calibri" w:hAnsi="Calibri"/>
          <w:sz w:val="17"/>
          <w:szCs w:val="17"/>
          <w:color w:val="auto"/>
        </w:rPr>
        <w:t>82</w:t>
      </w:r>
    </w:p>
    <w:p>
      <w:pPr>
        <w:spacing w:after="0" w:line="76" w:lineRule="exact"/>
        <w:rPr>
          <w:sz w:val="20"/>
          <w:szCs w:val="20"/>
          <w:color w:val="auto"/>
        </w:rPr>
      </w:pPr>
    </w:p>
    <w:p>
      <w:pPr>
        <w:ind w:left="660"/>
        <w:spacing w:after="0"/>
        <w:tabs>
          <w:tab w:leader="none" w:pos="1660" w:val="left"/>
          <w:tab w:leader="dot" w:pos="10420" w:val="left"/>
        </w:tabs>
        <w:rPr>
          <w:sz w:val="20"/>
          <w:szCs w:val="20"/>
          <w:color w:val="auto"/>
        </w:rPr>
      </w:pPr>
      <w:r>
        <w:rPr>
          <w:rFonts w:ascii="Calibri" w:cs="Calibri" w:eastAsia="Calibri" w:hAnsi="Calibri"/>
          <w:sz w:val="18"/>
          <w:szCs w:val="18"/>
          <w:color w:val="auto"/>
        </w:rPr>
        <w:t>ITEM 7.</w:t>
      </w:r>
      <w:r>
        <w:rPr>
          <w:sz w:val="20"/>
          <w:szCs w:val="20"/>
          <w:color w:val="auto"/>
        </w:rPr>
        <w:tab/>
      </w:r>
      <w:r>
        <w:rPr>
          <w:rFonts w:ascii="Calibri" w:cs="Calibri" w:eastAsia="Calibri" w:hAnsi="Calibri"/>
          <w:sz w:val="18"/>
          <w:szCs w:val="18"/>
          <w:color w:val="auto"/>
        </w:rPr>
        <w:t>Management’s Discussion and Analysis of Financial Condition and Results of Operations</w:t>
      </w:r>
      <w:r>
        <w:rPr>
          <w:sz w:val="20"/>
          <w:szCs w:val="20"/>
          <w:color w:val="auto"/>
        </w:rPr>
        <w:tab/>
      </w:r>
      <w:r>
        <w:rPr>
          <w:rFonts w:ascii="Calibri" w:cs="Calibri" w:eastAsia="Calibri" w:hAnsi="Calibri"/>
          <w:sz w:val="17"/>
          <w:szCs w:val="17"/>
          <w:color w:val="auto"/>
        </w:rPr>
        <w:t>82</w:t>
      </w:r>
    </w:p>
    <w:p>
      <w:pPr>
        <w:spacing w:after="0" w:line="76" w:lineRule="exact"/>
        <w:rPr>
          <w:sz w:val="20"/>
          <w:szCs w:val="20"/>
          <w:color w:val="auto"/>
        </w:rPr>
      </w:pPr>
    </w:p>
    <w:p>
      <w:pPr>
        <w:ind w:left="660"/>
        <w:spacing w:after="0"/>
        <w:tabs>
          <w:tab w:leader="none" w:pos="1660" w:val="left"/>
          <w:tab w:leader="dot" w:pos="10420" w:val="left"/>
        </w:tabs>
        <w:rPr>
          <w:sz w:val="20"/>
          <w:szCs w:val="20"/>
          <w:color w:val="auto"/>
        </w:rPr>
      </w:pPr>
      <w:r>
        <w:rPr>
          <w:rFonts w:ascii="Calibri" w:cs="Calibri" w:eastAsia="Calibri" w:hAnsi="Calibri"/>
          <w:sz w:val="18"/>
          <w:szCs w:val="18"/>
          <w:color w:val="auto"/>
        </w:rPr>
        <w:t>ITEM 7A.</w:t>
      </w:r>
      <w:r>
        <w:rPr>
          <w:sz w:val="20"/>
          <w:szCs w:val="20"/>
          <w:color w:val="auto"/>
        </w:rPr>
        <w:tab/>
      </w:r>
      <w:r>
        <w:rPr>
          <w:rFonts w:ascii="Calibri" w:cs="Calibri" w:eastAsia="Calibri" w:hAnsi="Calibri"/>
          <w:sz w:val="18"/>
          <w:szCs w:val="18"/>
          <w:color w:val="auto"/>
        </w:rPr>
        <w:t>Quantitative and Qualitative Disclosures about Market Risk</w:t>
      </w:r>
      <w:r>
        <w:rPr>
          <w:sz w:val="20"/>
          <w:szCs w:val="20"/>
          <w:color w:val="auto"/>
        </w:rPr>
        <w:tab/>
      </w:r>
      <w:r>
        <w:rPr>
          <w:rFonts w:ascii="Calibri" w:cs="Calibri" w:eastAsia="Calibri" w:hAnsi="Calibri"/>
          <w:sz w:val="17"/>
          <w:szCs w:val="17"/>
          <w:color w:val="auto"/>
        </w:rPr>
        <w:t>99</w:t>
      </w:r>
    </w:p>
    <w:p>
      <w:pPr>
        <w:spacing w:after="0" w:line="76" w:lineRule="exact"/>
        <w:rPr>
          <w:sz w:val="20"/>
          <w:szCs w:val="20"/>
          <w:color w:val="auto"/>
        </w:rPr>
      </w:pPr>
    </w:p>
    <w:p>
      <w:pPr>
        <w:ind w:left="660"/>
        <w:spacing w:after="0"/>
        <w:tabs>
          <w:tab w:leader="none" w:pos="1660" w:val="left"/>
          <w:tab w:leader="dot" w:pos="10340" w:val="left"/>
        </w:tabs>
        <w:rPr>
          <w:sz w:val="20"/>
          <w:szCs w:val="20"/>
          <w:color w:val="auto"/>
        </w:rPr>
      </w:pPr>
      <w:r>
        <w:rPr>
          <w:rFonts w:ascii="Calibri" w:cs="Calibri" w:eastAsia="Calibri" w:hAnsi="Calibri"/>
          <w:sz w:val="18"/>
          <w:szCs w:val="18"/>
          <w:color w:val="auto"/>
        </w:rPr>
        <w:t>ITEM 8.</w:t>
      </w:r>
      <w:r>
        <w:rPr>
          <w:sz w:val="20"/>
          <w:szCs w:val="20"/>
          <w:color w:val="auto"/>
        </w:rPr>
        <w:tab/>
      </w:r>
      <w:r>
        <w:rPr>
          <w:rFonts w:ascii="Calibri" w:cs="Calibri" w:eastAsia="Calibri" w:hAnsi="Calibri"/>
          <w:sz w:val="18"/>
          <w:szCs w:val="18"/>
          <w:color w:val="auto"/>
        </w:rPr>
        <w:t>Financial Statements and Supplementary Data</w:t>
      </w:r>
      <w:r>
        <w:rPr>
          <w:sz w:val="20"/>
          <w:szCs w:val="20"/>
          <w:color w:val="auto"/>
        </w:rPr>
        <w:tab/>
      </w:r>
      <w:r>
        <w:rPr>
          <w:rFonts w:ascii="Calibri" w:cs="Calibri" w:eastAsia="Calibri" w:hAnsi="Calibri"/>
          <w:sz w:val="17"/>
          <w:szCs w:val="17"/>
          <w:color w:val="auto"/>
        </w:rPr>
        <w:t>101</w:t>
      </w:r>
    </w:p>
    <w:p>
      <w:pPr>
        <w:spacing w:after="0" w:line="76" w:lineRule="exact"/>
        <w:rPr>
          <w:sz w:val="20"/>
          <w:szCs w:val="20"/>
          <w:color w:val="auto"/>
        </w:rPr>
      </w:pPr>
    </w:p>
    <w:p>
      <w:pPr>
        <w:ind w:left="660"/>
        <w:spacing w:after="0"/>
        <w:tabs>
          <w:tab w:leader="none" w:pos="1660" w:val="left"/>
          <w:tab w:leader="dot" w:pos="10340" w:val="left"/>
        </w:tabs>
        <w:rPr>
          <w:sz w:val="20"/>
          <w:szCs w:val="20"/>
          <w:color w:val="auto"/>
        </w:rPr>
      </w:pPr>
      <w:r>
        <w:rPr>
          <w:rFonts w:ascii="Calibri" w:cs="Calibri" w:eastAsia="Calibri" w:hAnsi="Calibri"/>
          <w:sz w:val="18"/>
          <w:szCs w:val="18"/>
          <w:color w:val="auto"/>
        </w:rPr>
        <w:t>ITEM 9.</w:t>
      </w:r>
      <w:r>
        <w:rPr>
          <w:sz w:val="20"/>
          <w:szCs w:val="20"/>
          <w:color w:val="auto"/>
        </w:rPr>
        <w:tab/>
      </w:r>
      <w:r>
        <w:rPr>
          <w:rFonts w:ascii="Calibri" w:cs="Calibri" w:eastAsia="Calibri" w:hAnsi="Calibri"/>
          <w:sz w:val="18"/>
          <w:szCs w:val="18"/>
          <w:color w:val="auto"/>
        </w:rPr>
        <w:t>Changes in and Disagreements with Accountants on Accounting and Financial Disclosure</w:t>
      </w:r>
      <w:r>
        <w:rPr>
          <w:sz w:val="20"/>
          <w:szCs w:val="20"/>
          <w:color w:val="auto"/>
        </w:rPr>
        <w:tab/>
      </w:r>
      <w:r>
        <w:rPr>
          <w:rFonts w:ascii="Calibri" w:cs="Calibri" w:eastAsia="Calibri" w:hAnsi="Calibri"/>
          <w:sz w:val="17"/>
          <w:szCs w:val="17"/>
          <w:color w:val="auto"/>
        </w:rPr>
        <w:t>101</w:t>
      </w:r>
    </w:p>
    <w:p>
      <w:pPr>
        <w:spacing w:after="0" w:line="76" w:lineRule="exact"/>
        <w:rPr>
          <w:sz w:val="20"/>
          <w:szCs w:val="20"/>
          <w:color w:val="auto"/>
        </w:rPr>
      </w:pPr>
    </w:p>
    <w:p>
      <w:pPr>
        <w:ind w:left="660"/>
        <w:spacing w:after="0"/>
        <w:tabs>
          <w:tab w:leader="none" w:pos="1660" w:val="left"/>
          <w:tab w:leader="dot" w:pos="10340" w:val="left"/>
        </w:tabs>
        <w:rPr>
          <w:sz w:val="20"/>
          <w:szCs w:val="20"/>
          <w:color w:val="auto"/>
        </w:rPr>
      </w:pPr>
      <w:r>
        <w:rPr>
          <w:rFonts w:ascii="Calibri" w:cs="Calibri" w:eastAsia="Calibri" w:hAnsi="Calibri"/>
          <w:sz w:val="18"/>
          <w:szCs w:val="18"/>
          <w:color w:val="auto"/>
        </w:rPr>
        <w:t>ITEM 9A.</w:t>
      </w:r>
      <w:r>
        <w:rPr>
          <w:sz w:val="20"/>
          <w:szCs w:val="20"/>
          <w:color w:val="auto"/>
        </w:rPr>
        <w:tab/>
      </w:r>
      <w:r>
        <w:rPr>
          <w:rFonts w:ascii="Calibri" w:cs="Calibri" w:eastAsia="Calibri" w:hAnsi="Calibri"/>
          <w:sz w:val="18"/>
          <w:szCs w:val="18"/>
          <w:color w:val="auto"/>
        </w:rPr>
        <w:t>Controls and Procedures</w:t>
      </w:r>
      <w:r>
        <w:rPr>
          <w:sz w:val="20"/>
          <w:szCs w:val="20"/>
          <w:color w:val="auto"/>
        </w:rPr>
        <w:tab/>
      </w:r>
      <w:r>
        <w:rPr>
          <w:rFonts w:ascii="Calibri" w:cs="Calibri" w:eastAsia="Calibri" w:hAnsi="Calibri"/>
          <w:sz w:val="17"/>
          <w:szCs w:val="17"/>
          <w:color w:val="auto"/>
        </w:rPr>
        <w:t>101</w:t>
      </w:r>
    </w:p>
    <w:p>
      <w:pPr>
        <w:spacing w:after="0" w:line="76" w:lineRule="exact"/>
        <w:rPr>
          <w:sz w:val="20"/>
          <w:szCs w:val="20"/>
          <w:color w:val="auto"/>
        </w:rPr>
      </w:pPr>
    </w:p>
    <w:p>
      <w:pPr>
        <w:ind w:left="660"/>
        <w:spacing w:after="0"/>
        <w:tabs>
          <w:tab w:leader="none" w:pos="1660" w:val="left"/>
          <w:tab w:leader="dot" w:pos="10340" w:val="left"/>
        </w:tabs>
        <w:rPr>
          <w:sz w:val="20"/>
          <w:szCs w:val="20"/>
          <w:color w:val="auto"/>
        </w:rPr>
      </w:pPr>
      <w:r>
        <w:rPr>
          <w:rFonts w:ascii="Calibri" w:cs="Calibri" w:eastAsia="Calibri" w:hAnsi="Calibri"/>
          <w:sz w:val="18"/>
          <w:szCs w:val="18"/>
          <w:color w:val="auto"/>
        </w:rPr>
        <w:t>ITEM 9B.</w:t>
      </w:r>
      <w:r>
        <w:rPr>
          <w:sz w:val="20"/>
          <w:szCs w:val="20"/>
          <w:color w:val="auto"/>
        </w:rPr>
        <w:tab/>
      </w:r>
      <w:r>
        <w:rPr>
          <w:rFonts w:ascii="Calibri" w:cs="Calibri" w:eastAsia="Calibri" w:hAnsi="Calibri"/>
          <w:sz w:val="18"/>
          <w:szCs w:val="18"/>
          <w:color w:val="auto"/>
        </w:rPr>
        <w:t>Other Information</w:t>
      </w:r>
      <w:r>
        <w:rPr>
          <w:sz w:val="20"/>
          <w:szCs w:val="20"/>
          <w:color w:val="auto"/>
        </w:rPr>
        <w:tab/>
      </w:r>
      <w:r>
        <w:rPr>
          <w:rFonts w:ascii="Calibri" w:cs="Calibri" w:eastAsia="Calibri" w:hAnsi="Calibri"/>
          <w:sz w:val="17"/>
          <w:szCs w:val="17"/>
          <w:color w:val="auto"/>
        </w:rPr>
        <w:t>104</w:t>
      </w:r>
    </w:p>
    <w:p>
      <w:pPr>
        <w:spacing w:after="0" w:line="341" w:lineRule="exact"/>
        <w:rPr>
          <w:sz w:val="20"/>
          <w:szCs w:val="20"/>
          <w:color w:val="auto"/>
        </w:rPr>
      </w:pPr>
    </w:p>
    <w:p>
      <w:pPr>
        <w:ind w:left="660"/>
        <w:spacing w:after="0"/>
        <w:rPr>
          <w:sz w:val="20"/>
          <w:szCs w:val="20"/>
          <w:color w:val="auto"/>
        </w:rPr>
      </w:pPr>
      <w:r>
        <w:rPr>
          <w:rFonts w:ascii="Calibri" w:cs="Calibri" w:eastAsia="Calibri" w:hAnsi="Calibri"/>
          <w:sz w:val="19"/>
          <w:szCs w:val="19"/>
          <w:color w:val="214E93"/>
        </w:rPr>
        <w:t>PART III</w:t>
      </w:r>
    </w:p>
    <w:p>
      <w:pPr>
        <w:spacing w:after="0" w:line="79" w:lineRule="exact"/>
        <w:rPr>
          <w:sz w:val="20"/>
          <w:szCs w:val="20"/>
          <w:color w:val="auto"/>
        </w:rPr>
      </w:pPr>
    </w:p>
    <w:p>
      <w:pPr>
        <w:ind w:left="660"/>
        <w:spacing w:after="0"/>
        <w:tabs>
          <w:tab w:leader="none" w:pos="1660" w:val="left"/>
          <w:tab w:leader="dot" w:pos="10340" w:val="left"/>
        </w:tabs>
        <w:rPr>
          <w:sz w:val="20"/>
          <w:szCs w:val="20"/>
          <w:color w:val="auto"/>
        </w:rPr>
      </w:pPr>
      <w:r>
        <w:rPr>
          <w:rFonts w:ascii="Calibri" w:cs="Calibri" w:eastAsia="Calibri" w:hAnsi="Calibri"/>
          <w:sz w:val="18"/>
          <w:szCs w:val="18"/>
          <w:color w:val="auto"/>
        </w:rPr>
        <w:t>ITEM 10.</w:t>
      </w:r>
      <w:r>
        <w:rPr>
          <w:sz w:val="20"/>
          <w:szCs w:val="20"/>
          <w:color w:val="auto"/>
        </w:rPr>
        <w:tab/>
      </w:r>
      <w:r>
        <w:rPr>
          <w:rFonts w:ascii="Calibri" w:cs="Calibri" w:eastAsia="Calibri" w:hAnsi="Calibri"/>
          <w:sz w:val="18"/>
          <w:szCs w:val="18"/>
          <w:color w:val="auto"/>
        </w:rPr>
        <w:t>Directors, Executive Officers and Corporate Governance</w:t>
      </w:r>
      <w:r>
        <w:rPr>
          <w:sz w:val="20"/>
          <w:szCs w:val="20"/>
          <w:color w:val="auto"/>
        </w:rPr>
        <w:tab/>
      </w:r>
      <w:r>
        <w:rPr>
          <w:rFonts w:ascii="Calibri" w:cs="Calibri" w:eastAsia="Calibri" w:hAnsi="Calibri"/>
          <w:sz w:val="17"/>
          <w:szCs w:val="17"/>
          <w:color w:val="auto"/>
        </w:rPr>
        <w:t>104</w:t>
      </w:r>
    </w:p>
    <w:p>
      <w:pPr>
        <w:spacing w:after="0" w:line="76" w:lineRule="exact"/>
        <w:rPr>
          <w:sz w:val="20"/>
          <w:szCs w:val="20"/>
          <w:color w:val="auto"/>
        </w:rPr>
      </w:pPr>
    </w:p>
    <w:p>
      <w:pPr>
        <w:ind w:left="660"/>
        <w:spacing w:after="0"/>
        <w:tabs>
          <w:tab w:leader="none" w:pos="1660" w:val="left"/>
          <w:tab w:leader="dot" w:pos="10340" w:val="left"/>
        </w:tabs>
        <w:rPr>
          <w:sz w:val="20"/>
          <w:szCs w:val="20"/>
          <w:color w:val="auto"/>
        </w:rPr>
      </w:pPr>
      <w:r>
        <w:rPr>
          <w:rFonts w:ascii="Calibri" w:cs="Calibri" w:eastAsia="Calibri" w:hAnsi="Calibri"/>
          <w:sz w:val="18"/>
          <w:szCs w:val="18"/>
          <w:color w:val="auto"/>
        </w:rPr>
        <w:t>ITEM 11.</w:t>
      </w:r>
      <w:r>
        <w:rPr>
          <w:sz w:val="20"/>
          <w:szCs w:val="20"/>
          <w:color w:val="auto"/>
        </w:rPr>
        <w:tab/>
      </w:r>
      <w:r>
        <w:rPr>
          <w:rFonts w:ascii="Calibri" w:cs="Calibri" w:eastAsia="Calibri" w:hAnsi="Calibri"/>
          <w:sz w:val="18"/>
          <w:szCs w:val="18"/>
          <w:color w:val="auto"/>
        </w:rPr>
        <w:t>Executive Compensation</w:t>
      </w:r>
      <w:r>
        <w:rPr>
          <w:sz w:val="20"/>
          <w:szCs w:val="20"/>
          <w:color w:val="auto"/>
        </w:rPr>
        <w:tab/>
      </w:r>
      <w:r>
        <w:rPr>
          <w:rFonts w:ascii="Calibri" w:cs="Calibri" w:eastAsia="Calibri" w:hAnsi="Calibri"/>
          <w:sz w:val="17"/>
          <w:szCs w:val="17"/>
          <w:color w:val="auto"/>
        </w:rPr>
        <w:t>105</w:t>
      </w:r>
    </w:p>
    <w:p>
      <w:pPr>
        <w:spacing w:after="0" w:line="76" w:lineRule="exact"/>
        <w:rPr>
          <w:sz w:val="20"/>
          <w:szCs w:val="20"/>
          <w:color w:val="auto"/>
        </w:rPr>
      </w:pPr>
    </w:p>
    <w:p>
      <w:pPr>
        <w:ind w:left="660"/>
        <w:spacing w:after="0"/>
        <w:tabs>
          <w:tab w:leader="none" w:pos="1660" w:val="left"/>
          <w:tab w:leader="dot" w:pos="10340" w:val="left"/>
        </w:tabs>
        <w:rPr>
          <w:sz w:val="20"/>
          <w:szCs w:val="20"/>
          <w:color w:val="auto"/>
        </w:rPr>
      </w:pPr>
      <w:r>
        <w:rPr>
          <w:rFonts w:ascii="Calibri" w:cs="Calibri" w:eastAsia="Calibri" w:hAnsi="Calibri"/>
          <w:sz w:val="18"/>
          <w:szCs w:val="18"/>
          <w:color w:val="auto"/>
        </w:rPr>
        <w:t>ITEM 12.</w:t>
      </w:r>
      <w:r>
        <w:rPr>
          <w:sz w:val="20"/>
          <w:szCs w:val="20"/>
          <w:color w:val="auto"/>
        </w:rPr>
        <w:tab/>
      </w:r>
      <w:r>
        <w:rPr>
          <w:rFonts w:ascii="Calibri" w:cs="Calibri" w:eastAsia="Calibri" w:hAnsi="Calibri"/>
          <w:sz w:val="18"/>
          <w:szCs w:val="18"/>
          <w:color w:val="auto"/>
        </w:rPr>
        <w:t>Security Ownership of Certain Beneficial Owners and Management and Related Stockholder Matters</w:t>
      </w:r>
      <w:r>
        <w:rPr>
          <w:sz w:val="20"/>
          <w:szCs w:val="20"/>
          <w:color w:val="auto"/>
        </w:rPr>
        <w:tab/>
      </w:r>
      <w:r>
        <w:rPr>
          <w:rFonts w:ascii="Calibri" w:cs="Calibri" w:eastAsia="Calibri" w:hAnsi="Calibri"/>
          <w:sz w:val="17"/>
          <w:szCs w:val="17"/>
          <w:color w:val="auto"/>
        </w:rPr>
        <w:t>105</w:t>
      </w:r>
    </w:p>
    <w:p>
      <w:pPr>
        <w:spacing w:after="0" w:line="76" w:lineRule="exact"/>
        <w:rPr>
          <w:sz w:val="20"/>
          <w:szCs w:val="20"/>
          <w:color w:val="auto"/>
        </w:rPr>
      </w:pPr>
    </w:p>
    <w:p>
      <w:pPr>
        <w:ind w:left="660"/>
        <w:spacing w:after="0"/>
        <w:tabs>
          <w:tab w:leader="none" w:pos="1660" w:val="left"/>
          <w:tab w:leader="dot" w:pos="10340" w:val="left"/>
        </w:tabs>
        <w:rPr>
          <w:sz w:val="20"/>
          <w:szCs w:val="20"/>
          <w:color w:val="auto"/>
        </w:rPr>
      </w:pPr>
      <w:r>
        <w:rPr>
          <w:rFonts w:ascii="Calibri" w:cs="Calibri" w:eastAsia="Calibri" w:hAnsi="Calibri"/>
          <w:sz w:val="18"/>
          <w:szCs w:val="18"/>
          <w:color w:val="auto"/>
        </w:rPr>
        <w:t>ITEM 13.</w:t>
      </w:r>
      <w:r>
        <w:rPr>
          <w:sz w:val="20"/>
          <w:szCs w:val="20"/>
          <w:color w:val="auto"/>
        </w:rPr>
        <w:tab/>
      </w:r>
      <w:r>
        <w:rPr>
          <w:rFonts w:ascii="Calibri" w:cs="Calibri" w:eastAsia="Calibri" w:hAnsi="Calibri"/>
          <w:sz w:val="18"/>
          <w:szCs w:val="18"/>
          <w:color w:val="auto"/>
        </w:rPr>
        <w:t>Certain Relationships and Related Transactions, and Director Independence</w:t>
      </w:r>
      <w:r>
        <w:rPr>
          <w:sz w:val="20"/>
          <w:szCs w:val="20"/>
          <w:color w:val="auto"/>
        </w:rPr>
        <w:tab/>
      </w:r>
      <w:r>
        <w:rPr>
          <w:rFonts w:ascii="Calibri" w:cs="Calibri" w:eastAsia="Calibri" w:hAnsi="Calibri"/>
          <w:sz w:val="17"/>
          <w:szCs w:val="17"/>
          <w:color w:val="auto"/>
        </w:rPr>
        <w:t>105</w:t>
      </w:r>
    </w:p>
    <w:p>
      <w:pPr>
        <w:spacing w:after="0" w:line="76" w:lineRule="exact"/>
        <w:rPr>
          <w:sz w:val="20"/>
          <w:szCs w:val="20"/>
          <w:color w:val="auto"/>
        </w:rPr>
      </w:pPr>
    </w:p>
    <w:p>
      <w:pPr>
        <w:ind w:left="660"/>
        <w:spacing w:after="0"/>
        <w:tabs>
          <w:tab w:leader="none" w:pos="1660" w:val="left"/>
          <w:tab w:leader="dot" w:pos="10340" w:val="left"/>
        </w:tabs>
        <w:rPr>
          <w:sz w:val="20"/>
          <w:szCs w:val="20"/>
          <w:color w:val="auto"/>
        </w:rPr>
      </w:pPr>
      <w:r>
        <w:rPr>
          <w:rFonts w:ascii="Calibri" w:cs="Calibri" w:eastAsia="Calibri" w:hAnsi="Calibri"/>
          <w:sz w:val="18"/>
          <w:szCs w:val="18"/>
          <w:color w:val="auto"/>
        </w:rPr>
        <w:t>ITEM 14.</w:t>
      </w:r>
      <w:r>
        <w:rPr>
          <w:sz w:val="20"/>
          <w:szCs w:val="20"/>
          <w:color w:val="auto"/>
        </w:rPr>
        <w:tab/>
      </w:r>
      <w:r>
        <w:rPr>
          <w:rFonts w:ascii="Calibri" w:cs="Calibri" w:eastAsia="Calibri" w:hAnsi="Calibri"/>
          <w:sz w:val="18"/>
          <w:szCs w:val="18"/>
          <w:color w:val="auto"/>
        </w:rPr>
        <w:t>Principal Accounting Fees and Services</w:t>
      </w:r>
      <w:r>
        <w:rPr>
          <w:sz w:val="20"/>
          <w:szCs w:val="20"/>
          <w:color w:val="auto"/>
        </w:rPr>
        <w:tab/>
      </w:r>
      <w:r>
        <w:rPr>
          <w:rFonts w:ascii="Calibri" w:cs="Calibri" w:eastAsia="Calibri" w:hAnsi="Calibri"/>
          <w:sz w:val="17"/>
          <w:szCs w:val="17"/>
          <w:color w:val="auto"/>
        </w:rPr>
        <w:t>105</w:t>
      </w:r>
    </w:p>
    <w:p>
      <w:pPr>
        <w:spacing w:after="0" w:line="341" w:lineRule="exact"/>
        <w:rPr>
          <w:sz w:val="20"/>
          <w:szCs w:val="20"/>
          <w:color w:val="auto"/>
        </w:rPr>
      </w:pPr>
    </w:p>
    <w:p>
      <w:pPr>
        <w:ind w:left="660"/>
        <w:spacing w:after="0"/>
        <w:rPr>
          <w:sz w:val="20"/>
          <w:szCs w:val="20"/>
          <w:color w:val="auto"/>
        </w:rPr>
      </w:pPr>
      <w:r>
        <w:rPr>
          <w:rFonts w:ascii="Calibri" w:cs="Calibri" w:eastAsia="Calibri" w:hAnsi="Calibri"/>
          <w:sz w:val="19"/>
          <w:szCs w:val="19"/>
          <w:color w:val="214E93"/>
        </w:rPr>
        <w:t>PART IV</w:t>
      </w:r>
    </w:p>
    <w:p>
      <w:pPr>
        <w:spacing w:after="0" w:line="79" w:lineRule="exact"/>
        <w:rPr>
          <w:sz w:val="20"/>
          <w:szCs w:val="20"/>
          <w:color w:val="auto"/>
        </w:rPr>
      </w:pPr>
    </w:p>
    <w:p>
      <w:pPr>
        <w:ind w:left="660"/>
        <w:spacing w:after="0"/>
        <w:tabs>
          <w:tab w:leader="none" w:pos="1660" w:val="left"/>
          <w:tab w:leader="dot" w:pos="10340" w:val="left"/>
        </w:tabs>
        <w:rPr>
          <w:sz w:val="20"/>
          <w:szCs w:val="20"/>
          <w:color w:val="auto"/>
        </w:rPr>
      </w:pPr>
      <w:r>
        <w:rPr>
          <w:rFonts w:ascii="Calibri" w:cs="Calibri" w:eastAsia="Calibri" w:hAnsi="Calibri"/>
          <w:sz w:val="18"/>
          <w:szCs w:val="18"/>
          <w:color w:val="auto"/>
        </w:rPr>
        <w:t>ITEM 15.</w:t>
      </w:r>
      <w:r>
        <w:rPr>
          <w:sz w:val="20"/>
          <w:szCs w:val="20"/>
          <w:color w:val="auto"/>
        </w:rPr>
        <w:tab/>
      </w:r>
      <w:r>
        <w:rPr>
          <w:rFonts w:ascii="Calibri" w:cs="Calibri" w:eastAsia="Calibri" w:hAnsi="Calibri"/>
          <w:sz w:val="18"/>
          <w:szCs w:val="18"/>
          <w:color w:val="auto"/>
        </w:rPr>
        <w:t>Exhibits and Financial Statement Schedules</w:t>
      </w:r>
      <w:r>
        <w:rPr>
          <w:sz w:val="20"/>
          <w:szCs w:val="20"/>
          <w:color w:val="auto"/>
        </w:rPr>
        <w:tab/>
      </w:r>
      <w:r>
        <w:rPr>
          <w:rFonts w:ascii="Calibri" w:cs="Calibri" w:eastAsia="Calibri" w:hAnsi="Calibri"/>
          <w:sz w:val="17"/>
          <w:szCs w:val="17"/>
          <w:color w:val="auto"/>
        </w:rPr>
        <w:t>106</w:t>
      </w:r>
    </w:p>
    <w:p>
      <w:pPr>
        <w:spacing w:after="0" w:line="76" w:lineRule="exact"/>
        <w:rPr>
          <w:sz w:val="20"/>
          <w:szCs w:val="20"/>
          <w:color w:val="auto"/>
        </w:rPr>
      </w:pPr>
    </w:p>
    <w:p>
      <w:pPr>
        <w:ind w:left="660"/>
        <w:spacing w:after="0"/>
        <w:tabs>
          <w:tab w:leader="none" w:pos="1660" w:val="left"/>
          <w:tab w:leader="dot" w:pos="10340" w:val="left"/>
        </w:tabs>
        <w:rPr>
          <w:sz w:val="20"/>
          <w:szCs w:val="20"/>
          <w:color w:val="auto"/>
        </w:rPr>
      </w:pPr>
      <w:r>
        <w:rPr>
          <w:rFonts w:ascii="Calibri" w:cs="Calibri" w:eastAsia="Calibri" w:hAnsi="Calibri"/>
          <w:sz w:val="18"/>
          <w:szCs w:val="18"/>
          <w:color w:val="auto"/>
        </w:rPr>
        <w:t>ITEM 16.</w:t>
      </w:r>
      <w:r>
        <w:rPr>
          <w:sz w:val="20"/>
          <w:szCs w:val="20"/>
          <w:color w:val="auto"/>
        </w:rPr>
        <w:tab/>
      </w:r>
      <w:r>
        <w:rPr>
          <w:rFonts w:ascii="Calibri" w:cs="Calibri" w:eastAsia="Calibri" w:hAnsi="Calibri"/>
          <w:sz w:val="18"/>
          <w:szCs w:val="18"/>
          <w:color w:val="auto"/>
        </w:rPr>
        <w:t>Form 10-K Summary</w:t>
      </w:r>
      <w:r>
        <w:rPr>
          <w:sz w:val="20"/>
          <w:szCs w:val="20"/>
          <w:color w:val="auto"/>
        </w:rPr>
        <w:tab/>
      </w:r>
      <w:r>
        <w:rPr>
          <w:rFonts w:ascii="Calibri" w:cs="Calibri" w:eastAsia="Calibri" w:hAnsi="Calibri"/>
          <w:sz w:val="17"/>
          <w:szCs w:val="17"/>
          <w:color w:val="auto"/>
        </w:rPr>
        <w:t>106</w:t>
      </w:r>
    </w:p>
    <w:p>
      <w:pPr>
        <w:sectPr>
          <w:pgSz w:w="11880" w:h="15480" w:orient="portrait"/>
          <w:cols w:equalWidth="0" w:num="1">
            <w:col w:w="10620"/>
          </w:cols>
          <w:pgMar w:left="300" w:top="49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Calibri" w:cs="Calibri" w:eastAsia="Calibri" w:hAnsi="Calibri"/>
          <w:sz w:val="17"/>
          <w:szCs w:val="17"/>
          <w:color w:val="auto"/>
        </w:rPr>
        <w:t>FORM 10-K</w:t>
      </w:r>
    </w:p>
    <w:p>
      <w:pPr>
        <w:sectPr>
          <w:pgSz w:w="11880" w:h="15480" w:orient="portrait"/>
          <w:cols w:equalWidth="0" w:num="1">
            <w:col w:w="10620"/>
          </w:cols>
          <w:pgMar w:left="300" w:top="498" w:right="960" w:bottom="0" w:gutter="0" w:footer="0" w:header="0"/>
          <w:type w:val="continuous"/>
        </w:sectPr>
      </w:pPr>
    </w:p>
    <w:bookmarkStart w:id="14" w:name="page15"/>
    <w:bookmarkEnd w:id="14"/>
    <w:tbl>
      <w:tblPr>
        <w:tblLayout w:type="fixed"/>
        <w:tblInd w:w="7880" w:type="dxa"/>
        <w:tblCellMar>
          <w:top w:w="0" w:type="dxa"/>
          <w:left w:w="0" w:type="dxa"/>
          <w:bottom w:w="0" w:type="dxa"/>
          <w:right w:w="0" w:type="dxa"/>
        </w:tblCellMar>
      </w:tblPr>
      <w:tr>
        <w:trPr>
          <w:trHeight w:val="220"/>
        </w:trPr>
        <w:tc>
          <w:tcPr>
            <w:tcW w:w="194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00" w:type="dxa"/>
            <w:vAlign w:val="bottom"/>
          </w:tcPr>
          <w:p>
            <w:pPr>
              <w:jc w:val="right"/>
              <w:spacing w:after="0"/>
              <w:rPr>
                <w:sz w:val="20"/>
                <w:szCs w:val="20"/>
                <w:color w:val="auto"/>
              </w:rPr>
            </w:pPr>
            <w:r>
              <w:rPr>
                <w:rFonts w:ascii="Calibri" w:cs="Calibri" w:eastAsia="Calibri" w:hAnsi="Calibri"/>
                <w:sz w:val="18"/>
                <w:szCs w:val="18"/>
                <w:color w:val="auto"/>
              </w:rPr>
              <w:t>1</w:t>
            </w:r>
          </w:p>
        </w:tc>
      </w:tr>
    </w:tbl>
    <w:p>
      <w:pPr>
        <w:spacing w:after="0" w:line="223" w:lineRule="exact"/>
        <w:rPr>
          <w:sz w:val="20"/>
          <w:szCs w:val="20"/>
          <w:color w:val="auto"/>
        </w:rPr>
      </w:pPr>
    </w:p>
    <w:p>
      <w:pPr>
        <w:ind w:left="40"/>
        <w:spacing w:after="0"/>
        <w:rPr>
          <w:sz w:val="20"/>
          <w:szCs w:val="20"/>
          <w:color w:val="auto"/>
        </w:rPr>
      </w:pPr>
      <w:r>
        <w:rPr>
          <w:rFonts w:ascii="Verdana" w:cs="Verdana" w:eastAsia="Verdana" w:hAnsi="Verdana"/>
          <w:sz w:val="21"/>
          <w:szCs w:val="21"/>
          <w:color w:val="214E93"/>
        </w:rPr>
        <w:t>Cautionary Note Regarding Forward-Looking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17145</wp:posOffset>
                </wp:positionV>
                <wp:extent cx="681164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1.35pt" to="478.35pt,1.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17145</wp:posOffset>
                </wp:positionV>
                <wp:extent cx="681164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1.35pt" to="478.35pt,1.35pt" o:allowincell="f" strokecolor="#214E93" strokeweight="1pt"/>
            </w:pict>
          </mc:Fallback>
        </mc:AlternateContent>
      </w:r>
    </w:p>
    <w:p>
      <w:pPr>
        <w:spacing w:after="0" w:line="162" w:lineRule="exact"/>
        <w:rPr>
          <w:sz w:val="20"/>
          <w:szCs w:val="20"/>
          <w:color w:val="auto"/>
        </w:rPr>
      </w:pPr>
    </w:p>
    <w:p>
      <w:pPr>
        <w:ind w:right="860" w:firstLine="241"/>
        <w:spacing w:after="0" w:line="268" w:lineRule="auto"/>
        <w:rPr>
          <w:sz w:val="20"/>
          <w:szCs w:val="20"/>
          <w:color w:val="auto"/>
        </w:rPr>
      </w:pPr>
      <w:r>
        <w:rPr>
          <w:rFonts w:ascii="Calibri" w:cs="Calibri" w:eastAsia="Calibri" w:hAnsi="Calibri"/>
          <w:sz w:val="18"/>
          <w:szCs w:val="18"/>
          <w:color w:val="auto"/>
        </w:rPr>
        <w:t>Certain statements in this Annual Report on Form 10-K (this “Annual Report”) constitute “forward-looking statements” within the meaning of Section 27A of the Securities Act of 1933, as amended (the “Securities Act”), and Section 21E of the Securities Exchange Act of 1934, as amended (the “Exchange Act”). Additionally, forward-looking statements may be made orally or in press releases, conferences, reports, on our website or otherwise, in the future by us or on our behalf. All statements, other than statements of historical fact, included in this Annual Report regarding our strategy, future operations, estimated revenues and losses, projected costs, prospects, plans and objectives of management are forward-looking statements. Such statements are generally identifiable by the terminology used such as “anticipate,” “believe,” “continue,” “could,” “estimate,” “expect,” “forecasted,” “hypothetical,” “intend,” “may,” “might,” “plan,” “potential,” “predict,” “project,” “seek,” “should,” “would” or other similar words, although not all forward-looking statements contain such identifying words.</w:t>
      </w:r>
    </w:p>
    <w:p>
      <w:pPr>
        <w:spacing w:after="0" w:line="219" w:lineRule="exact"/>
        <w:rPr>
          <w:sz w:val="20"/>
          <w:szCs w:val="20"/>
          <w:color w:val="auto"/>
        </w:rPr>
      </w:pPr>
    </w:p>
    <w:p>
      <w:pPr>
        <w:ind w:right="840" w:firstLine="241"/>
        <w:spacing w:after="0" w:line="286" w:lineRule="auto"/>
        <w:rPr>
          <w:sz w:val="20"/>
          <w:szCs w:val="20"/>
          <w:color w:val="auto"/>
        </w:rPr>
      </w:pPr>
      <w:r>
        <w:rPr>
          <w:rFonts w:ascii="Calibri" w:cs="Calibri" w:eastAsia="Calibri" w:hAnsi="Calibri"/>
          <w:sz w:val="17"/>
          <w:szCs w:val="17"/>
          <w:color w:val="auto"/>
        </w:rPr>
        <w:t>By their very nature, forward-looking statements require us to make assumptions that may not materialize or that may not be accurate. Forward-looking statements are subject to known and unknown risks and uncertainties and other factors that may cause actual results, levels of activity and achievements to differ materially from those expressed or implied by such statements. Such factors include those described in “Item 1A. Risk Factors” in this Annual Report, as well as the following factors, among others: general economic conditions, including the effects of inflation and interest rates; tariffs and trade tensions; our ability to execute our business plan, including whether our drilling program is successful; changes in oil, natural gas and natural gas liquids (“NGL”) prices and the demand for oil, natural gas and NGLs; our ability to replace reserves and efficiently develop current reserves; the operating results of our midstream business’s oil, natural gas and water gathering and transportation systems, pipelines and facilities, the acquiring of third-party business and the drilling of any additional salt water disposal wells; costs of operations; delays and other difficulties related to producing oil, natural gas and NGLs or the construction, expansion or operation of our midstream assets; delays and other difficulties related to regulatory and governmental approvals and restrictions; impact on our operations due to seismic events; availability of sufficient capital to execute our business plan, including from future cash flows, capital markets, available borrowing capacity under our revolving credit facilities and otherwise; our ability to make acquisitions on economically acceptable terms; our ability to integrate acquisitions; the operating results of, and availability of any potential distributions from, our joint ventures; weather conditions, environmental conditions and natural disasters; disruption from our acquisitions making it more difficult to maintain business and operational relationships; significant transaction costs associated with our acquisitions; the risk of litigation and/or regulatory actions related to our acquisitions; evolving cybersecurity risks; and the other factors discussed below and elsewhere in this Annual Report and in other documents that we file with or furnish to the United States Securities and Exchange Commission (the “SEC”), all of which are difficult to predict. Forward-looking statements may include statements about:</w:t>
      </w:r>
    </w:p>
    <w:p>
      <w:pPr>
        <w:spacing w:after="0" w:line="192" w:lineRule="exact"/>
        <w:rPr>
          <w:sz w:val="20"/>
          <w:szCs w:val="20"/>
          <w:color w:val="auto"/>
        </w:rPr>
      </w:pPr>
    </w:p>
    <w:p>
      <w:pPr>
        <w:ind w:left="700" w:hanging="348"/>
        <w:spacing w:after="0"/>
        <w:tabs>
          <w:tab w:leader="none" w:pos="700"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our business strategy;</w:t>
      </w:r>
    </w:p>
    <w:p>
      <w:pPr>
        <w:spacing w:after="0" w:line="240" w:lineRule="exact"/>
        <w:rPr>
          <w:rFonts w:ascii="Calibri" w:cs="Calibri" w:eastAsia="Calibri" w:hAnsi="Calibri"/>
          <w:sz w:val="18"/>
          <w:szCs w:val="18"/>
          <w:color w:val="auto"/>
        </w:rPr>
      </w:pPr>
    </w:p>
    <w:p>
      <w:pPr>
        <w:ind w:left="700" w:right="940" w:hanging="348"/>
        <w:spacing w:after="0" w:line="252" w:lineRule="auto"/>
        <w:tabs>
          <w:tab w:leader="none" w:pos="700"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our estimated future reserves and the present value thereof, including whether or not a full-cost ceiling impairment could be realized;</w:t>
      </w:r>
    </w:p>
    <w:p>
      <w:pPr>
        <w:spacing w:after="0" w:line="213" w:lineRule="exact"/>
        <w:rPr>
          <w:rFonts w:ascii="Calibri" w:cs="Calibri" w:eastAsia="Calibri" w:hAnsi="Calibri"/>
          <w:sz w:val="18"/>
          <w:szCs w:val="18"/>
          <w:color w:val="auto"/>
        </w:rPr>
      </w:pPr>
    </w:p>
    <w:p>
      <w:pPr>
        <w:ind w:left="700" w:hanging="348"/>
        <w:spacing w:after="0"/>
        <w:tabs>
          <w:tab w:leader="none" w:pos="700"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our cash flows and liquidity;</w:t>
      </w:r>
    </w:p>
    <w:p>
      <w:pPr>
        <w:spacing w:after="0" w:line="223" w:lineRule="exact"/>
        <w:rPr>
          <w:rFonts w:ascii="Calibri" w:cs="Calibri" w:eastAsia="Calibri" w:hAnsi="Calibri"/>
          <w:sz w:val="18"/>
          <w:szCs w:val="18"/>
          <w:color w:val="auto"/>
        </w:rPr>
      </w:pPr>
    </w:p>
    <w:p>
      <w:pPr>
        <w:ind w:left="700" w:hanging="348"/>
        <w:spacing w:after="0"/>
        <w:tabs>
          <w:tab w:leader="none" w:pos="700"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the amount, timing and payment of dividends, if any;</w:t>
      </w:r>
    </w:p>
    <w:p>
      <w:pPr>
        <w:spacing w:after="0" w:line="223" w:lineRule="exact"/>
        <w:rPr>
          <w:rFonts w:ascii="Calibri" w:cs="Calibri" w:eastAsia="Calibri" w:hAnsi="Calibri"/>
          <w:sz w:val="18"/>
          <w:szCs w:val="18"/>
          <w:color w:val="auto"/>
        </w:rPr>
      </w:pPr>
    </w:p>
    <w:p>
      <w:pPr>
        <w:ind w:left="700" w:hanging="348"/>
        <w:spacing w:after="0"/>
        <w:tabs>
          <w:tab w:leader="none" w:pos="700"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our financial strategy, budget, projections and operating results;</w:t>
      </w:r>
    </w:p>
    <w:p>
      <w:pPr>
        <w:spacing w:after="0" w:line="223" w:lineRule="exact"/>
        <w:rPr>
          <w:rFonts w:ascii="Calibri" w:cs="Calibri" w:eastAsia="Calibri" w:hAnsi="Calibri"/>
          <w:sz w:val="18"/>
          <w:szCs w:val="18"/>
          <w:color w:val="auto"/>
        </w:rPr>
      </w:pPr>
    </w:p>
    <w:p>
      <w:pPr>
        <w:ind w:left="700" w:hanging="348"/>
        <w:spacing w:after="0"/>
        <w:tabs>
          <w:tab w:leader="none" w:pos="700"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the supply and demand of oil, natural gas and NGLs;</w:t>
      </w:r>
    </w:p>
    <w:p>
      <w:pPr>
        <w:spacing w:after="0" w:line="223" w:lineRule="exact"/>
        <w:rPr>
          <w:rFonts w:ascii="Calibri" w:cs="Calibri" w:eastAsia="Calibri" w:hAnsi="Calibri"/>
          <w:sz w:val="18"/>
          <w:szCs w:val="18"/>
          <w:color w:val="auto"/>
        </w:rPr>
      </w:pPr>
    </w:p>
    <w:p>
      <w:pPr>
        <w:ind w:left="700" w:hanging="348"/>
        <w:spacing w:after="0"/>
        <w:tabs>
          <w:tab w:leader="none" w:pos="700"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oil, natural gas and NGL prices, including our realized prices thereof;</w:t>
      </w:r>
    </w:p>
    <w:p>
      <w:pPr>
        <w:spacing w:after="0" w:line="223" w:lineRule="exact"/>
        <w:rPr>
          <w:rFonts w:ascii="Calibri" w:cs="Calibri" w:eastAsia="Calibri" w:hAnsi="Calibri"/>
          <w:sz w:val="18"/>
          <w:szCs w:val="18"/>
          <w:color w:val="auto"/>
        </w:rPr>
      </w:pPr>
    </w:p>
    <w:p>
      <w:pPr>
        <w:ind w:left="700" w:hanging="348"/>
        <w:spacing w:after="0"/>
        <w:tabs>
          <w:tab w:leader="none" w:pos="700"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the timing and amount of future production of oil and natural gas;</w:t>
      </w:r>
    </w:p>
    <w:p>
      <w:pPr>
        <w:spacing w:after="0" w:line="223" w:lineRule="exact"/>
        <w:rPr>
          <w:rFonts w:ascii="Calibri" w:cs="Calibri" w:eastAsia="Calibri" w:hAnsi="Calibri"/>
          <w:sz w:val="18"/>
          <w:szCs w:val="18"/>
          <w:color w:val="auto"/>
        </w:rPr>
      </w:pPr>
    </w:p>
    <w:p>
      <w:pPr>
        <w:ind w:left="700" w:hanging="348"/>
        <w:spacing w:after="0"/>
        <w:tabs>
          <w:tab w:leader="none" w:pos="700"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the availability of drilling and production equipment;</w:t>
      </w:r>
    </w:p>
    <w:p>
      <w:pPr>
        <w:spacing w:after="0" w:line="223" w:lineRule="exact"/>
        <w:rPr>
          <w:rFonts w:ascii="Calibri" w:cs="Calibri" w:eastAsia="Calibri" w:hAnsi="Calibri"/>
          <w:sz w:val="18"/>
          <w:szCs w:val="18"/>
          <w:color w:val="auto"/>
        </w:rPr>
      </w:pPr>
    </w:p>
    <w:p>
      <w:pPr>
        <w:ind w:left="700" w:hanging="348"/>
        <w:spacing w:after="0"/>
        <w:tabs>
          <w:tab w:leader="none" w:pos="700"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the availability of oil storage capacity;</w:t>
      </w:r>
    </w:p>
    <w:p>
      <w:pPr>
        <w:spacing w:after="0" w:line="223" w:lineRule="exact"/>
        <w:rPr>
          <w:rFonts w:ascii="Calibri" w:cs="Calibri" w:eastAsia="Calibri" w:hAnsi="Calibri"/>
          <w:sz w:val="18"/>
          <w:szCs w:val="18"/>
          <w:color w:val="auto"/>
        </w:rPr>
      </w:pPr>
    </w:p>
    <w:p>
      <w:pPr>
        <w:ind w:left="700" w:hanging="348"/>
        <w:spacing w:after="0"/>
        <w:tabs>
          <w:tab w:leader="none" w:pos="700"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the availability and cost of oil field labor;</w:t>
      </w:r>
    </w:p>
    <w:p>
      <w:pPr>
        <w:spacing w:after="0" w:line="223" w:lineRule="exact"/>
        <w:rPr>
          <w:rFonts w:ascii="Calibri" w:cs="Calibri" w:eastAsia="Calibri" w:hAnsi="Calibri"/>
          <w:sz w:val="18"/>
          <w:szCs w:val="18"/>
          <w:color w:val="auto"/>
        </w:rPr>
      </w:pPr>
    </w:p>
    <w:p>
      <w:pPr>
        <w:ind w:left="700" w:hanging="348"/>
        <w:spacing w:after="0"/>
        <w:tabs>
          <w:tab w:leader="none" w:pos="700"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the amount, nature and timing of capital expenditures, including future exploration and development costs;</w:t>
      </w:r>
    </w:p>
    <w:p>
      <w:pPr>
        <w:sectPr>
          <w:pgSz w:w="11880" w:h="15480" w:orient="portrait"/>
          <w:cols w:equalWidth="0" w:num="1">
            <w:col w:w="10420"/>
          </w:cols>
          <w:pgMar w:left="1160" w:top="498" w:right="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9620"/>
        <w:spacing w:after="0"/>
        <w:rPr>
          <w:sz w:val="20"/>
          <w:szCs w:val="20"/>
          <w:color w:val="auto"/>
        </w:rPr>
      </w:pPr>
      <w:r>
        <w:rPr>
          <w:rFonts w:ascii="Calibri" w:cs="Calibri" w:eastAsia="Calibri" w:hAnsi="Calibri"/>
          <w:sz w:val="17"/>
          <w:szCs w:val="17"/>
          <w:color w:val="auto"/>
        </w:rPr>
        <w:t>FORM 10-K</w:t>
      </w:r>
    </w:p>
    <w:p>
      <w:pPr>
        <w:sectPr>
          <w:pgSz w:w="11880" w:h="15480" w:orient="portrait"/>
          <w:cols w:equalWidth="0" w:num="1">
            <w:col w:w="10420"/>
          </w:cols>
          <w:pgMar w:left="1160" w:top="498" w:right="300" w:bottom="0" w:gutter="0" w:footer="0" w:header="0"/>
          <w:type w:val="continuous"/>
        </w:sectPr>
      </w:pPr>
    </w:p>
    <w:bookmarkStart w:id="15" w:name="page16"/>
    <w:bookmarkEnd w:id="15"/>
    <w:p>
      <w:pPr>
        <w:ind w:left="900" w:hanging="708"/>
        <w:spacing w:after="0"/>
        <w:tabs>
          <w:tab w:leader="none" w:pos="900"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MATADOR RESOURCES COMPANY</w:t>
      </w:r>
    </w:p>
    <w:p>
      <w:pPr>
        <w:spacing w:after="0" w:line="200" w:lineRule="exact"/>
        <w:rPr>
          <w:rFonts w:ascii="Calibri" w:cs="Calibri" w:eastAsia="Calibri" w:hAnsi="Calibri"/>
          <w:sz w:val="18"/>
          <w:szCs w:val="18"/>
          <w:color w:val="auto"/>
        </w:rPr>
      </w:pPr>
    </w:p>
    <w:p>
      <w:pPr>
        <w:spacing w:after="0" w:line="200" w:lineRule="exact"/>
        <w:rPr>
          <w:rFonts w:ascii="Calibri" w:cs="Calibri" w:eastAsia="Calibri" w:hAnsi="Calibri"/>
          <w:sz w:val="18"/>
          <w:szCs w:val="18"/>
          <w:color w:val="auto"/>
        </w:rPr>
      </w:pPr>
    </w:p>
    <w:p>
      <w:pPr>
        <w:spacing w:after="0" w:line="243" w:lineRule="exact"/>
        <w:rPr>
          <w:rFonts w:ascii="Calibri" w:cs="Calibri" w:eastAsia="Calibri" w:hAnsi="Calibri"/>
          <w:sz w:val="18"/>
          <w:szCs w:val="18"/>
          <w:color w:val="auto"/>
        </w:rPr>
      </w:pPr>
    </w:p>
    <w:p>
      <w:pPr>
        <w:ind w:left="1560" w:hanging="349"/>
        <w:spacing w:after="0"/>
        <w:tabs>
          <w:tab w:leader="none" w:pos="1560" w:val="left"/>
        </w:tabs>
        <w:numPr>
          <w:ilvl w:val="1"/>
          <w:numId w:val="11"/>
        </w:numPr>
        <w:rPr>
          <w:rFonts w:ascii="Calibri" w:cs="Calibri" w:eastAsia="Calibri" w:hAnsi="Calibri"/>
          <w:sz w:val="18"/>
          <w:szCs w:val="18"/>
          <w:color w:val="auto"/>
        </w:rPr>
      </w:pPr>
      <w:r>
        <w:rPr>
          <w:rFonts w:ascii="Calibri" w:cs="Calibri" w:eastAsia="Calibri" w:hAnsi="Calibri"/>
          <w:sz w:val="18"/>
          <w:szCs w:val="18"/>
          <w:color w:val="auto"/>
        </w:rPr>
        <w:t>the availability and terms of capital;</w:t>
      </w:r>
    </w:p>
    <w:p>
      <w:pPr>
        <w:spacing w:after="0" w:line="223" w:lineRule="exact"/>
        <w:rPr>
          <w:rFonts w:ascii="Calibri" w:cs="Calibri" w:eastAsia="Calibri" w:hAnsi="Calibri"/>
          <w:sz w:val="18"/>
          <w:szCs w:val="18"/>
          <w:color w:val="auto"/>
        </w:rPr>
      </w:pPr>
    </w:p>
    <w:p>
      <w:pPr>
        <w:ind w:left="1560" w:hanging="349"/>
        <w:spacing w:after="0"/>
        <w:tabs>
          <w:tab w:leader="none" w:pos="1560" w:val="left"/>
        </w:tabs>
        <w:numPr>
          <w:ilvl w:val="1"/>
          <w:numId w:val="11"/>
        </w:numPr>
        <w:rPr>
          <w:rFonts w:ascii="Calibri" w:cs="Calibri" w:eastAsia="Calibri" w:hAnsi="Calibri"/>
          <w:sz w:val="18"/>
          <w:szCs w:val="18"/>
          <w:color w:val="auto"/>
        </w:rPr>
      </w:pPr>
      <w:r>
        <w:rPr>
          <w:rFonts w:ascii="Calibri" w:cs="Calibri" w:eastAsia="Calibri" w:hAnsi="Calibri"/>
          <w:sz w:val="18"/>
          <w:szCs w:val="18"/>
          <w:color w:val="auto"/>
        </w:rPr>
        <w:t>our drilling of wells;</w:t>
      </w:r>
    </w:p>
    <w:p>
      <w:pPr>
        <w:spacing w:after="0" w:line="223" w:lineRule="exact"/>
        <w:rPr>
          <w:rFonts w:ascii="Calibri" w:cs="Calibri" w:eastAsia="Calibri" w:hAnsi="Calibri"/>
          <w:sz w:val="18"/>
          <w:szCs w:val="18"/>
          <w:color w:val="auto"/>
        </w:rPr>
      </w:pPr>
    </w:p>
    <w:p>
      <w:pPr>
        <w:ind w:left="1560" w:hanging="349"/>
        <w:spacing w:after="0"/>
        <w:tabs>
          <w:tab w:leader="none" w:pos="1560" w:val="left"/>
        </w:tabs>
        <w:numPr>
          <w:ilvl w:val="1"/>
          <w:numId w:val="11"/>
        </w:numPr>
        <w:rPr>
          <w:rFonts w:ascii="Calibri" w:cs="Calibri" w:eastAsia="Calibri" w:hAnsi="Calibri"/>
          <w:sz w:val="18"/>
          <w:szCs w:val="18"/>
          <w:color w:val="auto"/>
        </w:rPr>
      </w:pPr>
      <w:r>
        <w:rPr>
          <w:rFonts w:ascii="Calibri" w:cs="Calibri" w:eastAsia="Calibri" w:hAnsi="Calibri"/>
          <w:sz w:val="18"/>
          <w:szCs w:val="18"/>
          <w:color w:val="auto"/>
        </w:rPr>
        <w:t>our ability to negotiate and consummate acquisition and divestiture opportunities;</w:t>
      </w:r>
    </w:p>
    <w:p>
      <w:pPr>
        <w:spacing w:after="0" w:line="223" w:lineRule="exact"/>
        <w:rPr>
          <w:rFonts w:ascii="Calibri" w:cs="Calibri" w:eastAsia="Calibri" w:hAnsi="Calibri"/>
          <w:sz w:val="18"/>
          <w:szCs w:val="18"/>
          <w:color w:val="auto"/>
        </w:rPr>
      </w:pPr>
    </w:p>
    <w:p>
      <w:pPr>
        <w:ind w:left="1560" w:hanging="349"/>
        <w:spacing w:after="0"/>
        <w:tabs>
          <w:tab w:leader="none" w:pos="1560" w:val="left"/>
        </w:tabs>
        <w:numPr>
          <w:ilvl w:val="1"/>
          <w:numId w:val="11"/>
        </w:numPr>
        <w:rPr>
          <w:rFonts w:ascii="Calibri" w:cs="Calibri" w:eastAsia="Calibri" w:hAnsi="Calibri"/>
          <w:sz w:val="18"/>
          <w:szCs w:val="18"/>
          <w:color w:val="auto"/>
        </w:rPr>
      </w:pPr>
      <w:r>
        <w:rPr>
          <w:rFonts w:ascii="Calibri" w:cs="Calibri" w:eastAsia="Calibri" w:hAnsi="Calibri"/>
          <w:sz w:val="18"/>
          <w:szCs w:val="18"/>
          <w:color w:val="auto"/>
        </w:rPr>
        <w:t>the integration of acquisitions with our business;</w:t>
      </w:r>
    </w:p>
    <w:p>
      <w:pPr>
        <w:spacing w:after="0" w:line="223" w:lineRule="exact"/>
        <w:rPr>
          <w:rFonts w:ascii="Calibri" w:cs="Calibri" w:eastAsia="Calibri" w:hAnsi="Calibri"/>
          <w:sz w:val="18"/>
          <w:szCs w:val="18"/>
          <w:color w:val="auto"/>
        </w:rPr>
      </w:pPr>
    </w:p>
    <w:p>
      <w:pPr>
        <w:ind w:left="1560" w:hanging="349"/>
        <w:spacing w:after="0"/>
        <w:tabs>
          <w:tab w:leader="none" w:pos="1560" w:val="left"/>
        </w:tabs>
        <w:numPr>
          <w:ilvl w:val="1"/>
          <w:numId w:val="11"/>
        </w:numPr>
        <w:rPr>
          <w:rFonts w:ascii="Calibri" w:cs="Calibri" w:eastAsia="Calibri" w:hAnsi="Calibri"/>
          <w:sz w:val="18"/>
          <w:szCs w:val="18"/>
          <w:color w:val="auto"/>
        </w:rPr>
      </w:pPr>
      <w:r>
        <w:rPr>
          <w:rFonts w:ascii="Calibri" w:cs="Calibri" w:eastAsia="Calibri" w:hAnsi="Calibri"/>
          <w:sz w:val="18"/>
          <w:szCs w:val="18"/>
          <w:color w:val="auto"/>
        </w:rPr>
        <w:t>government regulation and taxation of the oil and natural gas industry;</w:t>
      </w:r>
    </w:p>
    <w:p>
      <w:pPr>
        <w:spacing w:after="0" w:line="223" w:lineRule="exact"/>
        <w:rPr>
          <w:rFonts w:ascii="Calibri" w:cs="Calibri" w:eastAsia="Calibri" w:hAnsi="Calibri"/>
          <w:sz w:val="18"/>
          <w:szCs w:val="18"/>
          <w:color w:val="auto"/>
        </w:rPr>
      </w:pPr>
    </w:p>
    <w:p>
      <w:pPr>
        <w:ind w:left="1560" w:hanging="349"/>
        <w:spacing w:after="0"/>
        <w:tabs>
          <w:tab w:leader="none" w:pos="1560" w:val="left"/>
        </w:tabs>
        <w:numPr>
          <w:ilvl w:val="1"/>
          <w:numId w:val="11"/>
        </w:numPr>
        <w:rPr>
          <w:rFonts w:ascii="Calibri" w:cs="Calibri" w:eastAsia="Calibri" w:hAnsi="Calibri"/>
          <w:sz w:val="18"/>
          <w:szCs w:val="18"/>
          <w:color w:val="auto"/>
        </w:rPr>
      </w:pPr>
      <w:r>
        <w:rPr>
          <w:rFonts w:ascii="Calibri" w:cs="Calibri" w:eastAsia="Calibri" w:hAnsi="Calibri"/>
          <w:sz w:val="18"/>
          <w:szCs w:val="18"/>
          <w:color w:val="auto"/>
        </w:rPr>
        <w:t>tariffs and trade restrictions;</w:t>
      </w:r>
    </w:p>
    <w:p>
      <w:pPr>
        <w:spacing w:after="0" w:line="223" w:lineRule="exact"/>
        <w:rPr>
          <w:rFonts w:ascii="Calibri" w:cs="Calibri" w:eastAsia="Calibri" w:hAnsi="Calibri"/>
          <w:sz w:val="18"/>
          <w:szCs w:val="18"/>
          <w:color w:val="auto"/>
        </w:rPr>
      </w:pPr>
    </w:p>
    <w:p>
      <w:pPr>
        <w:ind w:left="1560" w:hanging="349"/>
        <w:spacing w:after="0"/>
        <w:tabs>
          <w:tab w:leader="none" w:pos="1560" w:val="left"/>
        </w:tabs>
        <w:numPr>
          <w:ilvl w:val="1"/>
          <w:numId w:val="11"/>
        </w:numPr>
        <w:rPr>
          <w:rFonts w:ascii="Calibri" w:cs="Calibri" w:eastAsia="Calibri" w:hAnsi="Calibri"/>
          <w:sz w:val="18"/>
          <w:szCs w:val="18"/>
          <w:color w:val="auto"/>
        </w:rPr>
      </w:pPr>
      <w:r>
        <w:rPr>
          <w:rFonts w:ascii="Calibri" w:cs="Calibri" w:eastAsia="Calibri" w:hAnsi="Calibri"/>
          <w:sz w:val="18"/>
          <w:szCs w:val="18"/>
          <w:color w:val="auto"/>
        </w:rPr>
        <w:t>our marketing of oil and natural gas;</w:t>
      </w:r>
    </w:p>
    <w:p>
      <w:pPr>
        <w:spacing w:after="0" w:line="223" w:lineRule="exact"/>
        <w:rPr>
          <w:rFonts w:ascii="Calibri" w:cs="Calibri" w:eastAsia="Calibri" w:hAnsi="Calibri"/>
          <w:sz w:val="18"/>
          <w:szCs w:val="18"/>
          <w:color w:val="auto"/>
        </w:rPr>
      </w:pPr>
    </w:p>
    <w:p>
      <w:pPr>
        <w:ind w:left="1560" w:hanging="349"/>
        <w:spacing w:after="0"/>
        <w:tabs>
          <w:tab w:leader="none" w:pos="1560" w:val="left"/>
        </w:tabs>
        <w:numPr>
          <w:ilvl w:val="1"/>
          <w:numId w:val="11"/>
        </w:numPr>
        <w:rPr>
          <w:rFonts w:ascii="Calibri" w:cs="Calibri" w:eastAsia="Calibri" w:hAnsi="Calibri"/>
          <w:sz w:val="18"/>
          <w:szCs w:val="18"/>
          <w:color w:val="auto"/>
        </w:rPr>
      </w:pPr>
      <w:r>
        <w:rPr>
          <w:rFonts w:ascii="Calibri" w:cs="Calibri" w:eastAsia="Calibri" w:hAnsi="Calibri"/>
          <w:sz w:val="18"/>
          <w:szCs w:val="18"/>
          <w:color w:val="auto"/>
        </w:rPr>
        <w:t>our exploitation projects or property acquisitions;</w:t>
      </w:r>
    </w:p>
    <w:p>
      <w:pPr>
        <w:spacing w:after="0" w:line="240" w:lineRule="exact"/>
        <w:rPr>
          <w:rFonts w:ascii="Calibri" w:cs="Calibri" w:eastAsia="Calibri" w:hAnsi="Calibri"/>
          <w:sz w:val="18"/>
          <w:szCs w:val="18"/>
          <w:color w:val="auto"/>
        </w:rPr>
      </w:pPr>
    </w:p>
    <w:p>
      <w:pPr>
        <w:ind w:left="1560" w:right="120" w:hanging="349"/>
        <w:spacing w:after="0" w:line="252" w:lineRule="auto"/>
        <w:tabs>
          <w:tab w:leader="none" w:pos="1560" w:val="left"/>
        </w:tabs>
        <w:numPr>
          <w:ilvl w:val="1"/>
          <w:numId w:val="11"/>
        </w:numPr>
        <w:rPr>
          <w:rFonts w:ascii="Calibri" w:cs="Calibri" w:eastAsia="Calibri" w:hAnsi="Calibri"/>
          <w:sz w:val="18"/>
          <w:szCs w:val="18"/>
          <w:color w:val="auto"/>
        </w:rPr>
      </w:pPr>
      <w:r>
        <w:rPr>
          <w:rFonts w:ascii="Calibri" w:cs="Calibri" w:eastAsia="Calibri" w:hAnsi="Calibri"/>
          <w:sz w:val="18"/>
          <w:szCs w:val="18"/>
          <w:color w:val="auto"/>
        </w:rPr>
        <w:t>the ability of our midstream business to construct, maintain and operate midstream pipelines and facilities, including the operation of cryogenic natural gas processing plants and the drilling of additional salt water disposal wells;</w:t>
      </w:r>
    </w:p>
    <w:p>
      <w:pPr>
        <w:spacing w:after="0" w:line="213" w:lineRule="exact"/>
        <w:rPr>
          <w:rFonts w:ascii="Calibri" w:cs="Calibri" w:eastAsia="Calibri" w:hAnsi="Calibri"/>
          <w:sz w:val="18"/>
          <w:szCs w:val="18"/>
          <w:color w:val="auto"/>
        </w:rPr>
      </w:pPr>
    </w:p>
    <w:p>
      <w:pPr>
        <w:ind w:left="1560" w:hanging="349"/>
        <w:spacing w:after="0"/>
        <w:tabs>
          <w:tab w:leader="none" w:pos="1560" w:val="left"/>
        </w:tabs>
        <w:numPr>
          <w:ilvl w:val="1"/>
          <w:numId w:val="11"/>
        </w:numPr>
        <w:rPr>
          <w:rFonts w:ascii="Calibri" w:cs="Calibri" w:eastAsia="Calibri" w:hAnsi="Calibri"/>
          <w:sz w:val="18"/>
          <w:szCs w:val="18"/>
          <w:color w:val="auto"/>
        </w:rPr>
      </w:pPr>
      <w:r>
        <w:rPr>
          <w:rFonts w:ascii="Calibri" w:cs="Calibri" w:eastAsia="Calibri" w:hAnsi="Calibri"/>
          <w:sz w:val="18"/>
          <w:szCs w:val="18"/>
          <w:color w:val="auto"/>
        </w:rPr>
        <w:t>the ability of our midstream business to attract third-party volumes;</w:t>
      </w:r>
    </w:p>
    <w:p>
      <w:pPr>
        <w:spacing w:after="0" w:line="223" w:lineRule="exact"/>
        <w:rPr>
          <w:rFonts w:ascii="Calibri" w:cs="Calibri" w:eastAsia="Calibri" w:hAnsi="Calibri"/>
          <w:sz w:val="18"/>
          <w:szCs w:val="18"/>
          <w:color w:val="auto"/>
        </w:rPr>
      </w:pPr>
    </w:p>
    <w:p>
      <w:pPr>
        <w:ind w:left="1560" w:hanging="349"/>
        <w:spacing w:after="0"/>
        <w:tabs>
          <w:tab w:leader="none" w:pos="1560" w:val="left"/>
        </w:tabs>
        <w:numPr>
          <w:ilvl w:val="1"/>
          <w:numId w:val="11"/>
        </w:numPr>
        <w:rPr>
          <w:rFonts w:ascii="Calibri" w:cs="Calibri" w:eastAsia="Calibri" w:hAnsi="Calibri"/>
          <w:sz w:val="18"/>
          <w:szCs w:val="18"/>
          <w:color w:val="auto"/>
        </w:rPr>
      </w:pPr>
      <w:r>
        <w:rPr>
          <w:rFonts w:ascii="Calibri" w:cs="Calibri" w:eastAsia="Calibri" w:hAnsi="Calibri"/>
          <w:sz w:val="18"/>
          <w:szCs w:val="18"/>
          <w:color w:val="auto"/>
        </w:rPr>
        <w:t>our costs of exploiting and developing our properties and conducting other operations;</w:t>
      </w:r>
    </w:p>
    <w:p>
      <w:pPr>
        <w:spacing w:after="0" w:line="223" w:lineRule="exact"/>
        <w:rPr>
          <w:rFonts w:ascii="Calibri" w:cs="Calibri" w:eastAsia="Calibri" w:hAnsi="Calibri"/>
          <w:sz w:val="18"/>
          <w:szCs w:val="18"/>
          <w:color w:val="auto"/>
        </w:rPr>
      </w:pPr>
    </w:p>
    <w:p>
      <w:pPr>
        <w:ind w:left="1560" w:hanging="349"/>
        <w:spacing w:after="0"/>
        <w:tabs>
          <w:tab w:leader="none" w:pos="1560" w:val="left"/>
        </w:tabs>
        <w:numPr>
          <w:ilvl w:val="1"/>
          <w:numId w:val="11"/>
        </w:numPr>
        <w:rPr>
          <w:rFonts w:ascii="Calibri" w:cs="Calibri" w:eastAsia="Calibri" w:hAnsi="Calibri"/>
          <w:sz w:val="18"/>
          <w:szCs w:val="18"/>
          <w:color w:val="auto"/>
        </w:rPr>
      </w:pPr>
      <w:r>
        <w:rPr>
          <w:rFonts w:ascii="Calibri" w:cs="Calibri" w:eastAsia="Calibri" w:hAnsi="Calibri"/>
          <w:sz w:val="18"/>
          <w:szCs w:val="18"/>
          <w:color w:val="auto"/>
        </w:rPr>
        <w:t>general economic conditions;</w:t>
      </w:r>
    </w:p>
    <w:p>
      <w:pPr>
        <w:spacing w:after="0" w:line="236" w:lineRule="exact"/>
        <w:rPr>
          <w:rFonts w:ascii="Calibri" w:cs="Calibri" w:eastAsia="Calibri" w:hAnsi="Calibri"/>
          <w:sz w:val="18"/>
          <w:szCs w:val="18"/>
          <w:color w:val="auto"/>
        </w:rPr>
      </w:pPr>
    </w:p>
    <w:p>
      <w:pPr>
        <w:ind w:left="1560" w:hanging="349"/>
        <w:spacing w:after="0"/>
        <w:tabs>
          <w:tab w:leader="none" w:pos="1560" w:val="left"/>
        </w:tabs>
        <w:numPr>
          <w:ilvl w:val="1"/>
          <w:numId w:val="11"/>
        </w:numPr>
        <w:rPr>
          <w:rFonts w:ascii="Calibri" w:cs="Calibri" w:eastAsia="Calibri" w:hAnsi="Calibri"/>
          <w:sz w:val="17"/>
          <w:szCs w:val="17"/>
          <w:color w:val="auto"/>
        </w:rPr>
      </w:pPr>
      <w:r>
        <w:rPr>
          <w:rFonts w:ascii="Calibri" w:cs="Calibri" w:eastAsia="Calibri" w:hAnsi="Calibri"/>
          <w:sz w:val="17"/>
          <w:szCs w:val="17"/>
          <w:color w:val="auto"/>
        </w:rPr>
        <w:t>competition in the oil and natural gas industry, including in both the exploration and production and midstream segments;</w:t>
      </w:r>
    </w:p>
    <w:p>
      <w:pPr>
        <w:spacing w:after="0" w:line="223" w:lineRule="exact"/>
        <w:rPr>
          <w:rFonts w:ascii="Calibri" w:cs="Calibri" w:eastAsia="Calibri" w:hAnsi="Calibri"/>
          <w:sz w:val="17"/>
          <w:szCs w:val="17"/>
          <w:color w:val="auto"/>
        </w:rPr>
      </w:pPr>
    </w:p>
    <w:p>
      <w:pPr>
        <w:ind w:left="1560" w:hanging="349"/>
        <w:spacing w:after="0"/>
        <w:tabs>
          <w:tab w:leader="none" w:pos="1560" w:val="left"/>
        </w:tabs>
        <w:numPr>
          <w:ilvl w:val="1"/>
          <w:numId w:val="11"/>
        </w:numPr>
        <w:rPr>
          <w:rFonts w:ascii="Calibri" w:cs="Calibri" w:eastAsia="Calibri" w:hAnsi="Calibri"/>
          <w:sz w:val="18"/>
          <w:szCs w:val="18"/>
          <w:color w:val="auto"/>
        </w:rPr>
      </w:pPr>
      <w:r>
        <w:rPr>
          <w:rFonts w:ascii="Calibri" w:cs="Calibri" w:eastAsia="Calibri" w:hAnsi="Calibri"/>
          <w:sz w:val="18"/>
          <w:szCs w:val="18"/>
          <w:color w:val="auto"/>
        </w:rPr>
        <w:t>the effectiveness of our risk management and hedging activities;</w:t>
      </w:r>
    </w:p>
    <w:p>
      <w:pPr>
        <w:spacing w:after="0" w:line="223" w:lineRule="exact"/>
        <w:rPr>
          <w:rFonts w:ascii="Calibri" w:cs="Calibri" w:eastAsia="Calibri" w:hAnsi="Calibri"/>
          <w:sz w:val="18"/>
          <w:szCs w:val="18"/>
          <w:color w:val="auto"/>
        </w:rPr>
      </w:pPr>
    </w:p>
    <w:p>
      <w:pPr>
        <w:ind w:left="1560" w:hanging="349"/>
        <w:spacing w:after="0"/>
        <w:tabs>
          <w:tab w:leader="none" w:pos="1560" w:val="left"/>
        </w:tabs>
        <w:numPr>
          <w:ilvl w:val="1"/>
          <w:numId w:val="11"/>
        </w:numPr>
        <w:rPr>
          <w:rFonts w:ascii="Calibri" w:cs="Calibri" w:eastAsia="Calibri" w:hAnsi="Calibri"/>
          <w:sz w:val="18"/>
          <w:szCs w:val="18"/>
          <w:color w:val="auto"/>
        </w:rPr>
      </w:pPr>
      <w:r>
        <w:rPr>
          <w:rFonts w:ascii="Calibri" w:cs="Calibri" w:eastAsia="Calibri" w:hAnsi="Calibri"/>
          <w:sz w:val="18"/>
          <w:szCs w:val="18"/>
          <w:color w:val="auto"/>
        </w:rPr>
        <w:t>our technology;</w:t>
      </w:r>
    </w:p>
    <w:p>
      <w:pPr>
        <w:spacing w:after="0" w:line="223" w:lineRule="exact"/>
        <w:rPr>
          <w:rFonts w:ascii="Calibri" w:cs="Calibri" w:eastAsia="Calibri" w:hAnsi="Calibri"/>
          <w:sz w:val="18"/>
          <w:szCs w:val="18"/>
          <w:color w:val="auto"/>
        </w:rPr>
      </w:pPr>
    </w:p>
    <w:p>
      <w:pPr>
        <w:ind w:left="1560" w:hanging="349"/>
        <w:spacing w:after="0"/>
        <w:tabs>
          <w:tab w:leader="none" w:pos="1560" w:val="left"/>
        </w:tabs>
        <w:numPr>
          <w:ilvl w:val="1"/>
          <w:numId w:val="11"/>
        </w:numPr>
        <w:rPr>
          <w:rFonts w:ascii="Calibri" w:cs="Calibri" w:eastAsia="Calibri" w:hAnsi="Calibri"/>
          <w:sz w:val="18"/>
          <w:szCs w:val="18"/>
          <w:color w:val="auto"/>
        </w:rPr>
      </w:pPr>
      <w:r>
        <w:rPr>
          <w:rFonts w:ascii="Calibri" w:cs="Calibri" w:eastAsia="Calibri" w:hAnsi="Calibri"/>
          <w:sz w:val="18"/>
          <w:szCs w:val="18"/>
          <w:color w:val="auto"/>
        </w:rPr>
        <w:t>environmental liabilities;</w:t>
      </w:r>
    </w:p>
    <w:p>
      <w:pPr>
        <w:spacing w:after="0" w:line="223" w:lineRule="exact"/>
        <w:rPr>
          <w:rFonts w:ascii="Calibri" w:cs="Calibri" w:eastAsia="Calibri" w:hAnsi="Calibri"/>
          <w:sz w:val="18"/>
          <w:szCs w:val="18"/>
          <w:color w:val="auto"/>
        </w:rPr>
      </w:pPr>
    </w:p>
    <w:p>
      <w:pPr>
        <w:ind w:left="1560" w:hanging="349"/>
        <w:spacing w:after="0"/>
        <w:tabs>
          <w:tab w:leader="none" w:pos="1560" w:val="left"/>
        </w:tabs>
        <w:numPr>
          <w:ilvl w:val="1"/>
          <w:numId w:val="11"/>
        </w:numPr>
        <w:rPr>
          <w:rFonts w:ascii="Calibri" w:cs="Calibri" w:eastAsia="Calibri" w:hAnsi="Calibri"/>
          <w:sz w:val="18"/>
          <w:szCs w:val="18"/>
          <w:color w:val="auto"/>
        </w:rPr>
      </w:pPr>
      <w:r>
        <w:rPr>
          <w:rFonts w:ascii="Calibri" w:cs="Calibri" w:eastAsia="Calibri" w:hAnsi="Calibri"/>
          <w:sz w:val="18"/>
          <w:szCs w:val="18"/>
          <w:color w:val="auto"/>
        </w:rPr>
        <w:t>our initiatives and efforts relating to environmental, social and governance matters;</w:t>
      </w:r>
    </w:p>
    <w:p>
      <w:pPr>
        <w:spacing w:after="0" w:line="223" w:lineRule="exact"/>
        <w:rPr>
          <w:rFonts w:ascii="Calibri" w:cs="Calibri" w:eastAsia="Calibri" w:hAnsi="Calibri"/>
          <w:sz w:val="18"/>
          <w:szCs w:val="18"/>
          <w:color w:val="auto"/>
        </w:rPr>
      </w:pPr>
    </w:p>
    <w:p>
      <w:pPr>
        <w:ind w:left="1560" w:hanging="349"/>
        <w:spacing w:after="0"/>
        <w:tabs>
          <w:tab w:leader="none" w:pos="1560" w:val="left"/>
        </w:tabs>
        <w:numPr>
          <w:ilvl w:val="1"/>
          <w:numId w:val="11"/>
        </w:numPr>
        <w:rPr>
          <w:rFonts w:ascii="Calibri" w:cs="Calibri" w:eastAsia="Calibri" w:hAnsi="Calibri"/>
          <w:sz w:val="18"/>
          <w:szCs w:val="18"/>
          <w:color w:val="auto"/>
        </w:rPr>
      </w:pPr>
      <w:r>
        <w:rPr>
          <w:rFonts w:ascii="Calibri" w:cs="Calibri" w:eastAsia="Calibri" w:hAnsi="Calibri"/>
          <w:sz w:val="18"/>
          <w:szCs w:val="18"/>
          <w:color w:val="auto"/>
        </w:rPr>
        <w:t>counterparty credit risk;</w:t>
      </w:r>
    </w:p>
    <w:p>
      <w:pPr>
        <w:spacing w:after="0" w:line="223" w:lineRule="exact"/>
        <w:rPr>
          <w:rFonts w:ascii="Calibri" w:cs="Calibri" w:eastAsia="Calibri" w:hAnsi="Calibri"/>
          <w:sz w:val="18"/>
          <w:szCs w:val="18"/>
          <w:color w:val="auto"/>
        </w:rPr>
      </w:pPr>
    </w:p>
    <w:p>
      <w:pPr>
        <w:ind w:left="1560" w:hanging="349"/>
        <w:spacing w:after="0"/>
        <w:tabs>
          <w:tab w:leader="none" w:pos="1560" w:val="left"/>
        </w:tabs>
        <w:numPr>
          <w:ilvl w:val="1"/>
          <w:numId w:val="11"/>
        </w:numPr>
        <w:rPr>
          <w:rFonts w:ascii="Calibri" w:cs="Calibri" w:eastAsia="Calibri" w:hAnsi="Calibri"/>
          <w:sz w:val="18"/>
          <w:szCs w:val="18"/>
          <w:color w:val="auto"/>
        </w:rPr>
      </w:pPr>
      <w:r>
        <w:rPr>
          <w:rFonts w:ascii="Calibri" w:cs="Calibri" w:eastAsia="Calibri" w:hAnsi="Calibri"/>
          <w:sz w:val="18"/>
          <w:szCs w:val="18"/>
          <w:color w:val="auto"/>
        </w:rPr>
        <w:t>geopolitical instability and developments in oil-producing and natural gas-producing countries;</w:t>
      </w:r>
    </w:p>
    <w:p>
      <w:pPr>
        <w:spacing w:after="0" w:line="223" w:lineRule="exact"/>
        <w:rPr>
          <w:rFonts w:ascii="Calibri" w:cs="Calibri" w:eastAsia="Calibri" w:hAnsi="Calibri"/>
          <w:sz w:val="18"/>
          <w:szCs w:val="18"/>
          <w:color w:val="auto"/>
        </w:rPr>
      </w:pPr>
    </w:p>
    <w:p>
      <w:pPr>
        <w:ind w:left="1560" w:hanging="349"/>
        <w:spacing w:after="0"/>
        <w:tabs>
          <w:tab w:leader="none" w:pos="1560" w:val="left"/>
        </w:tabs>
        <w:numPr>
          <w:ilvl w:val="1"/>
          <w:numId w:val="11"/>
        </w:numPr>
        <w:rPr>
          <w:rFonts w:ascii="Calibri" w:cs="Calibri" w:eastAsia="Calibri" w:hAnsi="Calibri"/>
          <w:sz w:val="18"/>
          <w:szCs w:val="18"/>
          <w:color w:val="auto"/>
        </w:rPr>
      </w:pPr>
      <w:r>
        <w:rPr>
          <w:rFonts w:ascii="Calibri" w:cs="Calibri" w:eastAsia="Calibri" w:hAnsi="Calibri"/>
          <w:sz w:val="18"/>
          <w:szCs w:val="18"/>
          <w:color w:val="auto"/>
        </w:rPr>
        <w:t>our future operating results;</w:t>
      </w:r>
    </w:p>
    <w:p>
      <w:pPr>
        <w:spacing w:after="0" w:line="223" w:lineRule="exact"/>
        <w:rPr>
          <w:rFonts w:ascii="Calibri" w:cs="Calibri" w:eastAsia="Calibri" w:hAnsi="Calibri"/>
          <w:sz w:val="18"/>
          <w:szCs w:val="18"/>
          <w:color w:val="auto"/>
        </w:rPr>
      </w:pPr>
    </w:p>
    <w:p>
      <w:pPr>
        <w:ind w:left="1560" w:hanging="349"/>
        <w:spacing w:after="0"/>
        <w:tabs>
          <w:tab w:leader="none" w:pos="1560" w:val="left"/>
        </w:tabs>
        <w:numPr>
          <w:ilvl w:val="1"/>
          <w:numId w:val="11"/>
        </w:numPr>
        <w:rPr>
          <w:rFonts w:ascii="Calibri" w:cs="Calibri" w:eastAsia="Calibri" w:hAnsi="Calibri"/>
          <w:sz w:val="18"/>
          <w:szCs w:val="18"/>
          <w:color w:val="auto"/>
        </w:rPr>
      </w:pPr>
      <w:r>
        <w:rPr>
          <w:rFonts w:ascii="Calibri" w:cs="Calibri" w:eastAsia="Calibri" w:hAnsi="Calibri"/>
          <w:sz w:val="18"/>
          <w:szCs w:val="18"/>
          <w:color w:val="auto"/>
        </w:rPr>
        <w:t>the impact of the Inflation Reduction Act of 2022 (the “IRA”);</w:t>
      </w:r>
    </w:p>
    <w:p>
      <w:pPr>
        <w:spacing w:after="0" w:line="223" w:lineRule="exact"/>
        <w:rPr>
          <w:rFonts w:ascii="Calibri" w:cs="Calibri" w:eastAsia="Calibri" w:hAnsi="Calibri"/>
          <w:sz w:val="18"/>
          <w:szCs w:val="18"/>
          <w:color w:val="auto"/>
        </w:rPr>
      </w:pPr>
    </w:p>
    <w:p>
      <w:pPr>
        <w:ind w:left="1560" w:hanging="349"/>
        <w:spacing w:after="0"/>
        <w:tabs>
          <w:tab w:leader="none" w:pos="1560" w:val="left"/>
        </w:tabs>
        <w:numPr>
          <w:ilvl w:val="1"/>
          <w:numId w:val="11"/>
        </w:numPr>
        <w:rPr>
          <w:rFonts w:ascii="Calibri" w:cs="Calibri" w:eastAsia="Calibri" w:hAnsi="Calibri"/>
          <w:sz w:val="18"/>
          <w:szCs w:val="18"/>
          <w:color w:val="auto"/>
        </w:rPr>
      </w:pPr>
      <w:r>
        <w:rPr>
          <w:rFonts w:ascii="Calibri" w:cs="Calibri" w:eastAsia="Calibri" w:hAnsi="Calibri"/>
          <w:sz w:val="18"/>
          <w:szCs w:val="18"/>
          <w:color w:val="auto"/>
        </w:rPr>
        <w:t>the impact of the One Big Beautiful Bill Act of 2025 (the “OBBBA”); and</w:t>
      </w:r>
    </w:p>
    <w:p>
      <w:pPr>
        <w:spacing w:after="0" w:line="240" w:lineRule="exact"/>
        <w:rPr>
          <w:rFonts w:ascii="Calibri" w:cs="Calibri" w:eastAsia="Calibri" w:hAnsi="Calibri"/>
          <w:sz w:val="18"/>
          <w:szCs w:val="18"/>
          <w:color w:val="auto"/>
        </w:rPr>
      </w:pPr>
    </w:p>
    <w:p>
      <w:pPr>
        <w:ind w:left="1560" w:right="100" w:hanging="349"/>
        <w:spacing w:after="0" w:line="252" w:lineRule="auto"/>
        <w:tabs>
          <w:tab w:leader="none" w:pos="1560" w:val="left"/>
        </w:tabs>
        <w:numPr>
          <w:ilvl w:val="1"/>
          <w:numId w:val="11"/>
        </w:numPr>
        <w:rPr>
          <w:rFonts w:ascii="Calibri" w:cs="Calibri" w:eastAsia="Calibri" w:hAnsi="Calibri"/>
          <w:sz w:val="18"/>
          <w:szCs w:val="18"/>
          <w:color w:val="auto"/>
        </w:rPr>
      </w:pPr>
      <w:r>
        <w:rPr>
          <w:rFonts w:ascii="Calibri" w:cs="Calibri" w:eastAsia="Calibri" w:hAnsi="Calibri"/>
          <w:sz w:val="18"/>
          <w:szCs w:val="18"/>
          <w:color w:val="auto"/>
        </w:rPr>
        <w:t>our plans, objectives, expectations and intentions contained in this Annual Report or in our other filings with the SEC that are not historical.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541020</wp:posOffset>
                </wp:positionH>
                <wp:positionV relativeFrom="paragraph">
                  <wp:posOffset>-6745605</wp:posOffset>
                </wp:positionV>
                <wp:extent cx="681228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6pt,-531.1499pt" to="579pt,-531.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541020</wp:posOffset>
                </wp:positionH>
                <wp:positionV relativeFrom="paragraph">
                  <wp:posOffset>-6745605</wp:posOffset>
                </wp:positionV>
                <wp:extent cx="681228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6pt,-531.1499pt" to="579pt,-531.1499pt" o:allowincell="f" strokecolor="#214E93" strokeweight="1pt"/>
            </w:pict>
          </mc:Fallback>
        </mc:AlternateContent>
      </w:r>
    </w:p>
    <w:p>
      <w:pPr>
        <w:spacing w:after="0" w:line="210" w:lineRule="exact"/>
        <w:rPr>
          <w:sz w:val="20"/>
          <w:szCs w:val="20"/>
          <w:color w:val="auto"/>
        </w:rPr>
      </w:pPr>
    </w:p>
    <w:p>
      <w:pPr>
        <w:ind w:left="860" w:right="300" w:firstLine="241"/>
        <w:spacing w:after="0" w:line="261" w:lineRule="auto"/>
        <w:rPr>
          <w:sz w:val="20"/>
          <w:szCs w:val="20"/>
          <w:color w:val="auto"/>
        </w:rPr>
      </w:pPr>
      <w:r>
        <w:rPr>
          <w:rFonts w:ascii="Calibri" w:cs="Calibri" w:eastAsia="Calibri" w:hAnsi="Calibri"/>
          <w:sz w:val="18"/>
          <w:szCs w:val="18"/>
          <w:color w:val="auto"/>
        </w:rPr>
        <w:t>Although we believe that the expectations conveyed by the forward-looking statements in this Annual Report are reasonable based on information available to us on the date hereof, no assurances can be given as to future results, levels of activity, achievements or financial condition.</w:t>
      </w:r>
    </w:p>
    <w:p>
      <w:pPr>
        <w:spacing w:after="0" w:line="223" w:lineRule="exact"/>
        <w:rPr>
          <w:sz w:val="20"/>
          <w:szCs w:val="20"/>
          <w:color w:val="auto"/>
        </w:rPr>
      </w:pPr>
    </w:p>
    <w:p>
      <w:pPr>
        <w:ind w:left="860" w:right="20" w:firstLine="241"/>
        <w:spacing w:after="0" w:line="285" w:lineRule="auto"/>
        <w:rPr>
          <w:sz w:val="20"/>
          <w:szCs w:val="20"/>
          <w:color w:val="auto"/>
        </w:rPr>
      </w:pPr>
      <w:r>
        <w:rPr>
          <w:rFonts w:ascii="Calibri" w:cs="Calibri" w:eastAsia="Calibri" w:hAnsi="Calibri"/>
          <w:sz w:val="17"/>
          <w:szCs w:val="17"/>
          <w:color w:val="auto"/>
        </w:rPr>
        <w:t>You should not place undue reliance on any forward-looking statement and should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impact of any one factor on a particular forward-looking statement is not determinable with certainty as such factors are interdependent upon other factors. The foregoing statements are not exclusive and further information concerning us,</w:t>
      </w:r>
    </w:p>
    <w:p>
      <w:pPr>
        <w:sectPr>
          <w:pgSz w:w="11880" w:h="15480" w:orient="portrait"/>
          <w:cols w:equalWidth="0" w:num="1">
            <w:col w:w="10380"/>
          </w:cols>
          <w:pgMar w:left="300" w:top="4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alibri" w:cs="Calibri" w:eastAsia="Calibri" w:hAnsi="Calibri"/>
          <w:sz w:val="17"/>
          <w:szCs w:val="17"/>
          <w:color w:val="auto"/>
        </w:rPr>
        <w:t>FORM 10-K</w:t>
      </w:r>
    </w:p>
    <w:p>
      <w:pPr>
        <w:sectPr>
          <w:pgSz w:w="11880" w:h="15480" w:orient="portrait"/>
          <w:cols w:equalWidth="0" w:num="1">
            <w:col w:w="10380"/>
          </w:cols>
          <w:pgMar w:left="300" w:top="498" w:right="1200" w:bottom="0" w:gutter="0" w:footer="0" w:header="0"/>
          <w:type w:val="continuous"/>
        </w:sectPr>
      </w:pPr>
    </w:p>
    <w:bookmarkStart w:id="16" w:name="page17"/>
    <w:bookmarkEnd w:id="16"/>
    <w:tbl>
      <w:tblPr>
        <w:tblLayout w:type="fixed"/>
        <w:tblInd w:w="7880" w:type="dxa"/>
        <w:tblCellMar>
          <w:top w:w="0" w:type="dxa"/>
          <w:left w:w="0" w:type="dxa"/>
          <w:bottom w:w="0" w:type="dxa"/>
          <w:right w:w="0" w:type="dxa"/>
        </w:tblCellMar>
      </w:tblPr>
      <w:tr>
        <w:trPr>
          <w:trHeight w:val="220"/>
        </w:trPr>
        <w:tc>
          <w:tcPr>
            <w:tcW w:w="194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00" w:type="dxa"/>
            <w:vAlign w:val="bottom"/>
          </w:tcPr>
          <w:p>
            <w:pPr>
              <w:jc w:val="right"/>
              <w:spacing w:after="0"/>
              <w:rPr>
                <w:sz w:val="20"/>
                <w:szCs w:val="20"/>
                <w:color w:val="auto"/>
              </w:rPr>
            </w:pPr>
            <w:r>
              <w:rPr>
                <w:rFonts w:ascii="Calibri" w:cs="Calibri" w:eastAsia="Calibri" w:hAnsi="Calibri"/>
                <w:sz w:val="18"/>
                <w:szCs w:val="18"/>
                <w:color w:val="auto"/>
              </w:rPr>
              <w:t>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340"/>
        <w:spacing w:after="0" w:line="264" w:lineRule="auto"/>
        <w:rPr>
          <w:sz w:val="20"/>
          <w:szCs w:val="20"/>
          <w:color w:val="auto"/>
        </w:rPr>
      </w:pPr>
      <w:r>
        <w:rPr>
          <w:rFonts w:ascii="Calibri" w:cs="Calibri" w:eastAsia="Calibri" w:hAnsi="Calibri"/>
          <w:sz w:val="18"/>
          <w:szCs w:val="18"/>
          <w:color w:val="auto"/>
        </w:rPr>
        <w:t>including factors that potentially could materially affect our financial results, may emerge from time to time. We undertake no obligation to update forward-looking statements to reflect actual results or changes in factors or assumptions affecting such forward-looking statements, except as required by law, including the securities laws of the United States and the rules and regulations of the SEC.</w:t>
      </w:r>
    </w:p>
    <w:p>
      <w:pPr>
        <w:sectPr>
          <w:pgSz w:w="11880" w:h="15480" w:orient="portrait"/>
          <w:cols w:equalWidth="0" w:num="1">
            <w:col w:w="10420"/>
          </w:cols>
          <w:pgMar w:left="1160" w:top="498" w:right="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9620"/>
        <w:spacing w:after="0"/>
        <w:rPr>
          <w:sz w:val="20"/>
          <w:szCs w:val="20"/>
          <w:color w:val="auto"/>
        </w:rPr>
      </w:pPr>
      <w:r>
        <w:rPr>
          <w:rFonts w:ascii="Calibri" w:cs="Calibri" w:eastAsia="Calibri" w:hAnsi="Calibri"/>
          <w:sz w:val="17"/>
          <w:szCs w:val="17"/>
          <w:color w:val="auto"/>
        </w:rPr>
        <w:t>FORM 10-K</w:t>
      </w:r>
    </w:p>
    <w:p>
      <w:pPr>
        <w:sectPr>
          <w:pgSz w:w="11880" w:h="15480" w:orient="portrait"/>
          <w:cols w:equalWidth="0" w:num="1">
            <w:col w:w="10420"/>
          </w:cols>
          <w:pgMar w:left="1160" w:top="498" w:right="300" w:bottom="0" w:gutter="0" w:footer="0" w:header="0"/>
          <w:type w:val="continuous"/>
        </w:sectPr>
      </w:pPr>
    </w:p>
    <w:bookmarkStart w:id="17" w:name="page18"/>
    <w:bookmarkEnd w:id="17"/>
    <w:p>
      <w:pPr>
        <w:ind w:left="720" w:hanging="708"/>
        <w:spacing w:after="0"/>
        <w:tabs>
          <w:tab w:leader="none" w:pos="720"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426720</wp:posOffset>
                </wp:positionH>
                <wp:positionV relativeFrom="paragraph">
                  <wp:posOffset>320675</wp:posOffset>
                </wp:positionV>
                <wp:extent cx="681228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6pt,25.25pt" to="570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426720</wp:posOffset>
                </wp:positionH>
                <wp:positionV relativeFrom="paragraph">
                  <wp:posOffset>320675</wp:posOffset>
                </wp:positionV>
                <wp:extent cx="681228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6pt,25.25pt" to="570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80"/>
        <w:spacing w:after="0"/>
        <w:rPr>
          <w:sz w:val="20"/>
          <w:szCs w:val="20"/>
          <w:color w:val="auto"/>
        </w:rPr>
      </w:pPr>
      <w:r>
        <w:rPr>
          <w:rFonts w:ascii="Verdana" w:cs="Verdana" w:eastAsia="Verdana" w:hAnsi="Verdana"/>
          <w:sz w:val="20"/>
          <w:szCs w:val="20"/>
          <w:color w:val="214E93"/>
        </w:rPr>
        <w:t>ITEM 1. BUSINESS.</w:t>
      </w:r>
    </w:p>
    <w:p>
      <w:pPr>
        <w:spacing w:after="0" w:line="209" w:lineRule="exact"/>
        <w:rPr>
          <w:sz w:val="20"/>
          <w:szCs w:val="20"/>
          <w:color w:val="auto"/>
        </w:rPr>
      </w:pPr>
    </w:p>
    <w:p>
      <w:pPr>
        <w:ind w:left="680" w:firstLine="241"/>
        <w:spacing w:after="0" w:line="269" w:lineRule="auto"/>
        <w:rPr>
          <w:sz w:val="20"/>
          <w:szCs w:val="20"/>
          <w:color w:val="auto"/>
        </w:rPr>
      </w:pPr>
      <w:r>
        <w:rPr>
          <w:rFonts w:ascii="Calibri" w:cs="Calibri" w:eastAsia="Calibri" w:hAnsi="Calibri"/>
          <w:sz w:val="18"/>
          <w:szCs w:val="18"/>
          <w:i w:val="1"/>
          <w:iCs w:val="1"/>
          <w:color w:val="auto"/>
        </w:rPr>
        <w:t>In this Annual Report, (i) references to “we,” “our” or the “Company” refer to Matador Resources Company and its subsidiaries as a whole (unless the context indicates otherwise), (ii) references to “Matador” refer solely to Matador Resources Company, (iii) references to the “Ameredev Acquisition” refer to the acquisition of Ameredev Stateline II, LLC from affiliates of EnCap Investments L.P., including (a) certain oil and natural gas producing properties and undeveloped acreage located in Lea County, New Mexico and Loving and Winkler Counties, Texas, and (b) an approximate 19% stake in the parent company of Piñon Midstream, LLC, which was completed by a subsidiary of the Company on September 18, 2024, (iv) references to the “Advance Acquisition” refer to the acquisition of Advance Energy Partners Holdings, LLC from affiliates of EnCap Investments L.P., including certain oil and natural gas producing properties, undeveloped acreage and midstream assets located primarily in Lea County, New Mexico and Ward County, Texas, that was completed by a subsidiary of the Company on April 12, 2023, and the acquisition of additional interests from affiliates of EnCap Investments L.P., including overriding royalty interests and royalty interests in certain oil and natural gas properties located primarily in Lea County, New Mexico on December 1, 2023, (v) references to “San Mateo” refer to San Mateo Midstream, LLC, collectively with its subsidiaries (including, as of December 18, 2024, Pronto), and (vi) references to “Pronto” refer to Pronto Midstream, LLC, together with its subsidiary. For certain oil and natural gas terms used in this Annual Report, see the “Glossary of Oil and Natural Gas Terms” included in this Annual Report.</w:t>
      </w:r>
    </w:p>
    <w:p>
      <w:pPr>
        <w:spacing w:after="0" w:line="218" w:lineRule="exact"/>
        <w:rPr>
          <w:sz w:val="20"/>
          <w:szCs w:val="20"/>
          <w:color w:val="auto"/>
        </w:rPr>
      </w:pPr>
    </w:p>
    <w:p>
      <w:pPr>
        <w:ind w:left="680"/>
        <w:spacing w:after="0"/>
        <w:rPr>
          <w:sz w:val="20"/>
          <w:szCs w:val="20"/>
          <w:color w:val="auto"/>
        </w:rPr>
      </w:pPr>
      <w:r>
        <w:rPr>
          <w:rFonts w:ascii="Verdana" w:cs="Verdana" w:eastAsia="Verdana" w:hAnsi="Verdana"/>
          <w:sz w:val="20"/>
          <w:szCs w:val="20"/>
          <w:color w:val="214E93"/>
        </w:rPr>
        <w:t>GENERAL</w:t>
      </w:r>
    </w:p>
    <w:p>
      <w:pPr>
        <w:spacing w:after="0" w:line="209" w:lineRule="exact"/>
        <w:rPr>
          <w:sz w:val="20"/>
          <w:szCs w:val="20"/>
          <w:color w:val="auto"/>
        </w:rPr>
      </w:pPr>
    </w:p>
    <w:p>
      <w:pPr>
        <w:ind w:left="680" w:right="80" w:firstLine="241"/>
        <w:spacing w:after="0" w:line="267" w:lineRule="auto"/>
        <w:rPr>
          <w:sz w:val="20"/>
          <w:szCs w:val="20"/>
          <w:color w:val="auto"/>
        </w:rPr>
      </w:pPr>
      <w:r>
        <w:rPr>
          <w:rFonts w:ascii="Calibri" w:cs="Calibri" w:eastAsia="Calibri" w:hAnsi="Calibri"/>
          <w:sz w:val="18"/>
          <w:szCs w:val="18"/>
          <w:color w:val="auto"/>
        </w:rPr>
        <w:t>We are an independent energy company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have operations in the Haynesville shale and Cotton Valley plays in Northwest Louisiana. Additionally, we conduct midstream operations in support of, and to provide flow assurance for, our exploration, development and production operations and provide natural gas processing, oil transportation services, oil, natural gas and produced water gathering services and produced water disposal services to third parties.</w:t>
      </w:r>
    </w:p>
    <w:p>
      <w:pPr>
        <w:spacing w:after="0" w:line="220" w:lineRule="exact"/>
        <w:rPr>
          <w:sz w:val="20"/>
          <w:szCs w:val="20"/>
          <w:color w:val="auto"/>
        </w:rPr>
      </w:pPr>
    </w:p>
    <w:p>
      <w:pPr>
        <w:ind w:left="680" w:right="40" w:firstLine="241"/>
        <w:spacing w:after="0" w:line="266" w:lineRule="auto"/>
        <w:rPr>
          <w:sz w:val="20"/>
          <w:szCs w:val="20"/>
          <w:color w:val="auto"/>
        </w:rPr>
      </w:pPr>
      <w:r>
        <w:rPr>
          <w:rFonts w:ascii="Calibri" w:cs="Calibri" w:eastAsia="Calibri" w:hAnsi="Calibri"/>
          <w:sz w:val="18"/>
          <w:szCs w:val="18"/>
          <w:color w:val="auto"/>
        </w:rPr>
        <w:t>We are a Texas corporation founded in July 2003 by Joseph Wm. Foran, Chairman and Chief Executive Officer. Mr. Foran began his career as an oil and natural gas independent in 1983 when he founded Foran Oil Company with $270,000 in contributed capital from 17 friends and family members. Foran Oil Company was later contributed to Matador Petroleum Corporation upon its formation by Mr. Foran in 1988. Mr. Foran served as Chairman and Chief Executive Officer of that company from its inception until it was sold in June 2003 to Tom Brown Inc., in an all-cash transaction for an enterprise value of approximately $388.5 million.</w:t>
      </w:r>
    </w:p>
    <w:p>
      <w:pPr>
        <w:spacing w:after="0" w:line="218" w:lineRule="exact"/>
        <w:rPr>
          <w:sz w:val="20"/>
          <w:szCs w:val="20"/>
          <w:color w:val="auto"/>
        </w:rPr>
      </w:pPr>
    </w:p>
    <w:p>
      <w:pPr>
        <w:ind w:left="680" w:right="80" w:firstLine="241"/>
        <w:spacing w:after="0" w:line="252" w:lineRule="auto"/>
        <w:rPr>
          <w:sz w:val="20"/>
          <w:szCs w:val="20"/>
          <w:color w:val="auto"/>
        </w:rPr>
      </w:pPr>
      <w:r>
        <w:rPr>
          <w:rFonts w:ascii="Calibri" w:cs="Calibri" w:eastAsia="Calibri" w:hAnsi="Calibri"/>
          <w:sz w:val="18"/>
          <w:szCs w:val="18"/>
          <w:color w:val="auto"/>
        </w:rPr>
        <w:t>On February 2, 2012, our common stock began trading on the New York Stock Exchange (the “NYSE”) under the symbol “MTDR.” Prior to trading on the NYSE, there was no established public trading market for our common stock.</w:t>
      </w:r>
    </w:p>
    <w:p>
      <w:pPr>
        <w:spacing w:after="0" w:line="230" w:lineRule="exact"/>
        <w:rPr>
          <w:sz w:val="20"/>
          <w:szCs w:val="20"/>
          <w:color w:val="auto"/>
        </w:rPr>
      </w:pPr>
    </w:p>
    <w:p>
      <w:pPr>
        <w:ind w:left="680" w:right="80" w:firstLine="241"/>
        <w:spacing w:after="0" w:line="261" w:lineRule="auto"/>
        <w:rPr>
          <w:sz w:val="20"/>
          <w:szCs w:val="20"/>
          <w:color w:val="auto"/>
        </w:rPr>
      </w:pPr>
      <w:r>
        <w:rPr>
          <w:rFonts w:ascii="Calibri" w:cs="Calibri" w:eastAsia="Calibri" w:hAnsi="Calibri"/>
          <w:sz w:val="18"/>
          <w:szCs w:val="18"/>
          <w:color w:val="auto"/>
        </w:rPr>
        <w:t>Our goal is to increase shareholder value by building oil and natural gas reserves, production and cash flows and providing midstream services at an attractive rate of return on invested capital. We plan to achieve our goal by, among other items, executing the following business strategies:</w:t>
      </w:r>
    </w:p>
    <w:p>
      <w:pPr>
        <w:spacing w:after="0" w:line="223" w:lineRule="exact"/>
        <w:rPr>
          <w:sz w:val="20"/>
          <w:szCs w:val="20"/>
          <w:color w:val="auto"/>
        </w:rPr>
      </w:pPr>
    </w:p>
    <w:p>
      <w:pPr>
        <w:ind w:left="1380" w:right="340" w:hanging="349"/>
        <w:spacing w:after="0" w:line="252" w:lineRule="auto"/>
        <w:tabs>
          <w:tab w:leader="none" w:pos="138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focus our exploration and development activities primarily on unconventional plays, including the Wolfcamp and Bone Spring plays in the Delaware Basin;</w:t>
      </w:r>
    </w:p>
    <w:p>
      <w:pPr>
        <w:spacing w:after="0" w:line="230" w:lineRule="exact"/>
        <w:rPr>
          <w:rFonts w:ascii="Calibri" w:cs="Calibri" w:eastAsia="Calibri" w:hAnsi="Calibri"/>
          <w:sz w:val="18"/>
          <w:szCs w:val="18"/>
          <w:color w:val="auto"/>
        </w:rPr>
      </w:pPr>
    </w:p>
    <w:p>
      <w:pPr>
        <w:ind w:left="1380" w:right="140" w:hanging="349"/>
        <w:spacing w:after="0" w:line="252" w:lineRule="auto"/>
        <w:tabs>
          <w:tab w:leader="none" w:pos="138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identify, evaluate and develop additional oil and natural gas plays as necessary to maintain a balanced portfolio of oil and natural gas properties;</w:t>
      </w:r>
    </w:p>
    <w:p>
      <w:pPr>
        <w:spacing w:after="0" w:line="213" w:lineRule="exact"/>
        <w:rPr>
          <w:rFonts w:ascii="Calibri" w:cs="Calibri" w:eastAsia="Calibri" w:hAnsi="Calibri"/>
          <w:sz w:val="18"/>
          <w:szCs w:val="18"/>
          <w:color w:val="auto"/>
        </w:rPr>
      </w:pPr>
    </w:p>
    <w:p>
      <w:pPr>
        <w:ind w:left="1380" w:hanging="349"/>
        <w:spacing w:after="0"/>
        <w:tabs>
          <w:tab w:leader="none" w:pos="138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continue to improve operational and cost efficiencies;</w:t>
      </w:r>
    </w:p>
    <w:p>
      <w:pPr>
        <w:spacing w:after="0" w:line="240" w:lineRule="exact"/>
        <w:rPr>
          <w:rFonts w:ascii="Calibri" w:cs="Calibri" w:eastAsia="Calibri" w:hAnsi="Calibri"/>
          <w:sz w:val="18"/>
          <w:szCs w:val="18"/>
          <w:color w:val="auto"/>
        </w:rPr>
      </w:pPr>
    </w:p>
    <w:p>
      <w:pPr>
        <w:ind w:left="1380" w:right="180" w:hanging="349"/>
        <w:spacing w:after="0" w:line="252" w:lineRule="auto"/>
        <w:tabs>
          <w:tab w:leader="none" w:pos="138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identify and develop midstream opportunities that support and enhance our exploration and development activities and that generate value for San Mateo and Matador;</w:t>
      </w:r>
    </w:p>
    <w:p>
      <w:pPr>
        <w:spacing w:after="0" w:line="213" w:lineRule="exact"/>
        <w:rPr>
          <w:rFonts w:ascii="Calibri" w:cs="Calibri" w:eastAsia="Calibri" w:hAnsi="Calibri"/>
          <w:sz w:val="18"/>
          <w:szCs w:val="18"/>
          <w:color w:val="auto"/>
        </w:rPr>
      </w:pPr>
    </w:p>
    <w:p>
      <w:pPr>
        <w:ind w:left="1380" w:hanging="349"/>
        <w:spacing w:after="0"/>
        <w:tabs>
          <w:tab w:leader="none" w:pos="138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maintain our financial discipline;</w:t>
      </w:r>
    </w:p>
    <w:p>
      <w:pPr>
        <w:spacing w:after="0" w:line="223" w:lineRule="exact"/>
        <w:rPr>
          <w:rFonts w:ascii="Calibri" w:cs="Calibri" w:eastAsia="Calibri" w:hAnsi="Calibri"/>
          <w:sz w:val="18"/>
          <w:szCs w:val="18"/>
          <w:color w:val="auto"/>
        </w:rPr>
      </w:pPr>
    </w:p>
    <w:p>
      <w:pPr>
        <w:ind w:left="1380" w:hanging="349"/>
        <w:spacing w:after="0"/>
        <w:tabs>
          <w:tab w:leader="none" w:pos="138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return capital to shareholders;</w:t>
      </w:r>
    </w:p>
    <w:p>
      <w:pPr>
        <w:sectPr>
          <w:pgSz w:w="11880" w:h="15480" w:orient="portrait"/>
          <w:cols w:equalWidth="0" w:num="1">
            <w:col w:w="10240"/>
          </w:cols>
          <w:pgMar w:left="48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40"/>
          </w:cols>
          <w:pgMar w:left="480" w:top="498" w:right="1160" w:bottom="0" w:gutter="0" w:footer="0" w:header="0"/>
          <w:type w:val="continuous"/>
        </w:sectPr>
      </w:pPr>
    </w:p>
    <w:bookmarkStart w:id="18" w:name="page19"/>
    <w:bookmarkEnd w:id="18"/>
    <w:tbl>
      <w:tblPr>
        <w:tblLayout w:type="fixed"/>
        <w:tblInd w:w="7880" w:type="dxa"/>
        <w:tblCellMar>
          <w:top w:w="0" w:type="dxa"/>
          <w:left w:w="0" w:type="dxa"/>
          <w:bottom w:w="0" w:type="dxa"/>
          <w:right w:w="0" w:type="dxa"/>
        </w:tblCellMar>
      </w:tblPr>
      <w:tr>
        <w:trPr>
          <w:trHeight w:val="220"/>
        </w:trPr>
        <w:tc>
          <w:tcPr>
            <w:tcW w:w="194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00" w:type="dxa"/>
            <w:vAlign w:val="bottom"/>
          </w:tcPr>
          <w:p>
            <w:pPr>
              <w:jc w:val="right"/>
              <w:spacing w:after="0"/>
              <w:rPr>
                <w:sz w:val="20"/>
                <w:szCs w:val="20"/>
                <w:color w:val="auto"/>
              </w:rPr>
            </w:pPr>
            <w:r>
              <w:rPr>
                <w:rFonts w:ascii="Calibri" w:cs="Calibri" w:eastAsia="Calibri" w:hAnsi="Calibri"/>
                <w:sz w:val="18"/>
                <w:szCs w:val="18"/>
                <w:color w:val="auto"/>
              </w:rPr>
              <w:t>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700" w:hanging="349"/>
        <w:spacing w:after="0"/>
        <w:tabs>
          <w:tab w:leader="none" w:pos="70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pursue opportunistic acquisitions, divestitures and joint ventures; and</w:t>
      </w:r>
    </w:p>
    <w:p>
      <w:pPr>
        <w:spacing w:after="0" w:line="240" w:lineRule="exact"/>
        <w:rPr>
          <w:rFonts w:ascii="Calibri" w:cs="Calibri" w:eastAsia="Calibri" w:hAnsi="Calibri"/>
          <w:sz w:val="18"/>
          <w:szCs w:val="18"/>
          <w:color w:val="auto"/>
        </w:rPr>
      </w:pPr>
    </w:p>
    <w:p>
      <w:pPr>
        <w:ind w:left="700" w:right="760" w:hanging="349"/>
        <w:spacing w:after="0" w:line="252" w:lineRule="auto"/>
        <w:tabs>
          <w:tab w:leader="none" w:pos="70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provide the energy that society needs in a manner that is safe, protects the environment and is consistent with the oil and natural gas industry’s best practices.</w:t>
      </w:r>
    </w:p>
    <w:p>
      <w:pPr>
        <w:spacing w:after="0" w:line="230" w:lineRule="exact"/>
        <w:rPr>
          <w:sz w:val="20"/>
          <w:szCs w:val="20"/>
          <w:color w:val="auto"/>
        </w:rPr>
      </w:pPr>
    </w:p>
    <w:p>
      <w:pPr>
        <w:ind w:right="720" w:firstLine="241"/>
        <w:spacing w:after="0" w:line="267" w:lineRule="auto"/>
        <w:rPr>
          <w:sz w:val="20"/>
          <w:szCs w:val="20"/>
          <w:color w:val="auto"/>
        </w:rPr>
      </w:pPr>
      <w:r>
        <w:rPr>
          <w:rFonts w:ascii="Calibri" w:cs="Calibri" w:eastAsia="Calibri" w:hAnsi="Calibri"/>
          <w:sz w:val="18"/>
          <w:szCs w:val="18"/>
          <w:color w:val="auto"/>
        </w:rPr>
        <w:t>The successful execution of our business strategies led to increases in our oil and natural gas production and proved oil and natural gas reserves in 2025. We improved the capital efficiency of our drilling and completion operations and achieved several key operational milestones throughout the year (as further described below in “—Exploration and Production Segment—Southeast New Mexico and West Texas—Delaware Basin”). We also secured firm transportation on Energy Transfer’s Hugh Brinson Pipeline, which is expected to come online in the fourth quarter of 2026, to move 500,000 MMBtu per day of natural gas production out of the Permian Basin to East Texas and markets along the Gulf Coast where demand and pricing have historically been significantly higher than at the Waha Hub.</w:t>
      </w:r>
    </w:p>
    <w:p>
      <w:pPr>
        <w:spacing w:after="0" w:line="220" w:lineRule="exact"/>
        <w:rPr>
          <w:sz w:val="20"/>
          <w:szCs w:val="20"/>
          <w:color w:val="auto"/>
        </w:rPr>
      </w:pPr>
    </w:p>
    <w:p>
      <w:pPr>
        <w:ind w:right="780" w:firstLine="241"/>
        <w:spacing w:after="0" w:line="264" w:lineRule="auto"/>
        <w:rPr>
          <w:sz w:val="20"/>
          <w:szCs w:val="20"/>
          <w:color w:val="auto"/>
        </w:rPr>
      </w:pPr>
      <w:r>
        <w:rPr>
          <w:rFonts w:ascii="Calibri" w:cs="Calibri" w:eastAsia="Calibri" w:hAnsi="Calibri"/>
          <w:sz w:val="18"/>
          <w:szCs w:val="18"/>
          <w:color w:val="auto"/>
        </w:rPr>
        <w:t>In addition, we achieved several key capital resources objectives during the year, including generating free cash flow, paying down a portion of the borrowings that funded the Ameredev Acquisition, increasing our quarterly cash dividend and earning performance incentives from Five Point Infrastructure, LLC or its affiliates (previously, Five Point Energy LLC) (“Five Point”), our joint venture partner in San Mateo.</w:t>
      </w:r>
    </w:p>
    <w:p>
      <w:pPr>
        <w:spacing w:after="0" w:line="221" w:lineRule="exact"/>
        <w:rPr>
          <w:sz w:val="20"/>
          <w:szCs w:val="20"/>
          <w:color w:val="auto"/>
        </w:rPr>
      </w:pPr>
    </w:p>
    <w:p>
      <w:pPr>
        <w:ind w:right="760" w:firstLine="241"/>
        <w:spacing w:after="0" w:line="284" w:lineRule="auto"/>
        <w:rPr>
          <w:sz w:val="20"/>
          <w:szCs w:val="20"/>
          <w:color w:val="auto"/>
        </w:rPr>
      </w:pPr>
      <w:r>
        <w:rPr>
          <w:rFonts w:ascii="Calibri" w:cs="Calibri" w:eastAsia="Calibri" w:hAnsi="Calibri"/>
          <w:sz w:val="17"/>
          <w:szCs w:val="17"/>
          <w:color w:val="auto"/>
        </w:rPr>
        <w:t>San Mateo also achieved important milestones in 2025, including the construction of an additional natural gas processing plant with a designed inlet capacity of 200 MMcf per day, including a nitrogen rejection unit and additional related facilities, to expand its Marlan cryogenic natural gas processing plant (the “Marlan Processing Plant”). The Marlan Processing Plant expansion came online in the second quarter of 2025 and increased San Mateo’s total natural gas cryogenic processing capacity 38% to 720 MMcf per day.</w:t>
      </w:r>
    </w:p>
    <w:p>
      <w:pPr>
        <w:spacing w:after="0" w:line="204" w:lineRule="exact"/>
        <w:rPr>
          <w:sz w:val="20"/>
          <w:szCs w:val="20"/>
          <w:color w:val="auto"/>
        </w:rPr>
      </w:pPr>
    </w:p>
    <w:p>
      <w:pPr>
        <w:spacing w:after="0"/>
        <w:rPr>
          <w:sz w:val="20"/>
          <w:szCs w:val="20"/>
          <w:color w:val="auto"/>
        </w:rPr>
      </w:pPr>
      <w:r>
        <w:rPr>
          <w:rFonts w:ascii="Verdana" w:cs="Verdana" w:eastAsia="Verdana" w:hAnsi="Verdana"/>
          <w:sz w:val="20"/>
          <w:szCs w:val="20"/>
          <w:color w:val="214E93"/>
        </w:rPr>
        <w:t>2025 HIGHLIGHTS</w:t>
      </w:r>
    </w:p>
    <w:p>
      <w:pPr>
        <w:spacing w:after="0" w:line="196"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Increased Oil, Natural Gas and Oil Equivalent Production</w:t>
      </w:r>
    </w:p>
    <w:p>
      <w:pPr>
        <w:spacing w:after="0" w:line="208" w:lineRule="exact"/>
        <w:rPr>
          <w:sz w:val="20"/>
          <w:szCs w:val="20"/>
          <w:color w:val="auto"/>
        </w:rPr>
      </w:pPr>
    </w:p>
    <w:p>
      <w:pPr>
        <w:ind w:right="720" w:firstLine="241"/>
        <w:spacing w:after="0" w:line="268" w:lineRule="auto"/>
        <w:rPr>
          <w:sz w:val="20"/>
          <w:szCs w:val="20"/>
          <w:color w:val="auto"/>
        </w:rPr>
      </w:pPr>
      <w:r>
        <w:rPr>
          <w:rFonts w:ascii="Calibri" w:cs="Calibri" w:eastAsia="Calibri" w:hAnsi="Calibri"/>
          <w:sz w:val="18"/>
          <w:szCs w:val="18"/>
          <w:color w:val="auto"/>
        </w:rPr>
        <w:t>For the year ended December 31, 2025, we achieved record oil, natural gas and average daily oil equivalent production. In 2025, we produced 43.7 million Bbl of oil, an increase of 20%, as compared to 36.5 million Bbl of oil produced in 2024. We also produced 191.3 Bcf of natural gas, an increase of 23% from 155.8 Bcf of natural gas produced in 2024. Our average daily oil equivalent production for the year ended December 31, 2025 was 207,070 BOE per day, including 119,723 Bbl of oil per day and 524.1 MMcf of natural gas per day, an increase of 21%, as compared to 170,751 BOE per day, including 99,808 Bbl of oil per day and 425.7 MMcf of natural gas per day, for the year ended December 31, 2024. The increase in oil and natural gas production was primarily attributable to our ongoing delineation and development drilling activities in the Delaware Basin throughout 2025, which offset our declining production in the Eagle Ford shale in South Texas that was divested in the first quarter of 2025. Oil production comprised 58% of our total production (using a conversion ratio of one Bbl of oil per six Mcf of natural gas) for each of the years ended December 31, 2025 and 2024.</w:t>
      </w:r>
    </w:p>
    <w:p>
      <w:pPr>
        <w:spacing w:after="0" w:line="208"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Increased Oil, Natural Gas and Oil Equivalent Reserves</w:t>
      </w:r>
    </w:p>
    <w:p>
      <w:pPr>
        <w:spacing w:after="0" w:line="191" w:lineRule="exact"/>
        <w:rPr>
          <w:sz w:val="20"/>
          <w:szCs w:val="20"/>
          <w:color w:val="auto"/>
        </w:rPr>
      </w:pPr>
    </w:p>
    <w:p>
      <w:pPr>
        <w:ind w:left="240"/>
        <w:spacing w:after="0"/>
        <w:rPr>
          <w:sz w:val="20"/>
          <w:szCs w:val="20"/>
          <w:color w:val="auto"/>
        </w:rPr>
      </w:pPr>
      <w:r>
        <w:rPr>
          <w:rFonts w:ascii="Calibri" w:cs="Calibri" w:eastAsia="Calibri" w:hAnsi="Calibri"/>
          <w:sz w:val="18"/>
          <w:szCs w:val="18"/>
          <w:color w:val="auto"/>
        </w:rPr>
        <w:t>At December 31, 2025, our estimated total proved oil and natural gas reserves were 667.0 million BOE, including 376.0 million</w:t>
      </w:r>
    </w:p>
    <w:p>
      <w:pPr>
        <w:spacing w:after="0" w:line="28" w:lineRule="exact"/>
        <w:rPr>
          <w:sz w:val="20"/>
          <w:szCs w:val="20"/>
          <w:color w:val="auto"/>
        </w:rPr>
      </w:pPr>
    </w:p>
    <w:p>
      <w:pPr>
        <w:spacing w:after="0"/>
        <w:rPr>
          <w:sz w:val="20"/>
          <w:szCs w:val="20"/>
          <w:color w:val="auto"/>
        </w:rPr>
      </w:pPr>
      <w:r>
        <w:rPr>
          <w:rFonts w:ascii="Calibri" w:cs="Calibri" w:eastAsia="Calibri" w:hAnsi="Calibri"/>
          <w:sz w:val="18"/>
          <w:szCs w:val="18"/>
          <w:color w:val="auto"/>
        </w:rPr>
        <w:t>Bbl of oil and 1.75 Tcf of natural gas, an increase of 9% from 611.5 million BOE, including 361.8 million Bbl of oil and 1.50 Tcf of</w:t>
      </w:r>
    </w:p>
    <w:p>
      <w:pPr>
        <w:spacing w:after="0" w:line="28" w:lineRule="exact"/>
        <w:rPr>
          <w:sz w:val="20"/>
          <w:szCs w:val="20"/>
          <w:color w:val="auto"/>
        </w:rPr>
      </w:pPr>
    </w:p>
    <w:p>
      <w:pPr>
        <w:spacing w:after="0"/>
        <w:rPr>
          <w:sz w:val="20"/>
          <w:szCs w:val="20"/>
          <w:color w:val="auto"/>
        </w:rPr>
      </w:pPr>
      <w:r>
        <w:rPr>
          <w:rFonts w:ascii="Calibri" w:cs="Calibri" w:eastAsia="Calibri" w:hAnsi="Calibri"/>
          <w:sz w:val="18"/>
          <w:szCs w:val="18"/>
          <w:color w:val="auto"/>
        </w:rPr>
        <w:t>natural gas, at December 31, 2024. The Standardized Measure of our total proved oil and natural gas reserves decreased 5% from</w:t>
      </w:r>
    </w:p>
    <w:p>
      <w:pPr>
        <w:spacing w:after="0" w:line="28" w:lineRule="exact"/>
        <w:rPr>
          <w:sz w:val="20"/>
          <w:szCs w:val="20"/>
          <w:color w:val="auto"/>
        </w:rPr>
      </w:pPr>
    </w:p>
    <w:p>
      <w:pPr>
        <w:spacing w:after="0"/>
        <w:rPr>
          <w:sz w:val="20"/>
          <w:szCs w:val="20"/>
          <w:color w:val="auto"/>
        </w:rPr>
      </w:pPr>
      <w:r>
        <w:rPr>
          <w:rFonts w:ascii="Calibri" w:cs="Calibri" w:eastAsia="Calibri" w:hAnsi="Calibri"/>
          <w:sz w:val="18"/>
          <w:szCs w:val="18"/>
          <w:color w:val="auto"/>
        </w:rPr>
        <w:t>$7.38 billion at December 31, 2024 to $6.99 billion at December 31, 2025. The PV-10 of our total proved oil and natural gas reserves</w:t>
      </w:r>
    </w:p>
    <w:p>
      <w:pPr>
        <w:spacing w:after="0" w:line="28" w:lineRule="exact"/>
        <w:rPr>
          <w:sz w:val="20"/>
          <w:szCs w:val="20"/>
          <w:color w:val="auto"/>
        </w:rPr>
      </w:pPr>
    </w:p>
    <w:p>
      <w:pPr>
        <w:spacing w:after="0"/>
        <w:rPr>
          <w:sz w:val="20"/>
          <w:szCs w:val="20"/>
          <w:color w:val="auto"/>
        </w:rPr>
      </w:pPr>
      <w:r>
        <w:rPr>
          <w:rFonts w:ascii="Calibri" w:cs="Calibri" w:eastAsia="Calibri" w:hAnsi="Calibri"/>
          <w:sz w:val="18"/>
          <w:szCs w:val="18"/>
          <w:color w:val="auto"/>
        </w:rPr>
        <w:t>decreased 11% from $9.23 billion at December 31, 2024 to $8.24 billion at December 31, 2025. The decreases in our Standardized</w:t>
      </w:r>
    </w:p>
    <w:p>
      <w:pPr>
        <w:spacing w:after="0" w:line="28" w:lineRule="exact"/>
        <w:rPr>
          <w:sz w:val="20"/>
          <w:szCs w:val="20"/>
          <w:color w:val="auto"/>
        </w:rPr>
      </w:pPr>
    </w:p>
    <w:p>
      <w:pPr>
        <w:spacing w:after="0"/>
        <w:rPr>
          <w:sz w:val="20"/>
          <w:szCs w:val="20"/>
          <w:color w:val="auto"/>
        </w:rPr>
      </w:pPr>
      <w:r>
        <w:rPr>
          <w:rFonts w:ascii="Calibri" w:cs="Calibri" w:eastAsia="Calibri" w:hAnsi="Calibri"/>
          <w:sz w:val="18"/>
          <w:szCs w:val="18"/>
          <w:color w:val="auto"/>
        </w:rPr>
        <w:t>Measure and PV-10 were primarily a result of the lower unweighted arithmetic average oil and natural gas prices used to estimate</w:t>
      </w:r>
    </w:p>
    <w:p>
      <w:pPr>
        <w:spacing w:after="0" w:line="28" w:lineRule="exact"/>
        <w:rPr>
          <w:sz w:val="20"/>
          <w:szCs w:val="20"/>
          <w:color w:val="auto"/>
        </w:rPr>
      </w:pPr>
    </w:p>
    <w:p>
      <w:pPr>
        <w:spacing w:after="0"/>
        <w:rPr>
          <w:sz w:val="20"/>
          <w:szCs w:val="20"/>
          <w:color w:val="auto"/>
        </w:rPr>
      </w:pPr>
      <w:r>
        <w:rPr>
          <w:rFonts w:ascii="Calibri" w:cs="Calibri" w:eastAsia="Calibri" w:hAnsi="Calibri"/>
          <w:sz w:val="18"/>
          <w:szCs w:val="18"/>
          <w:color w:val="auto"/>
        </w:rPr>
        <w:t>proved reserves at December 31, 2025, as compared to December 31, 2024, partially offset by a 9% increase in our total proved oil</w:t>
      </w:r>
    </w:p>
    <w:p>
      <w:pPr>
        <w:spacing w:after="0" w:line="28" w:lineRule="exact"/>
        <w:rPr>
          <w:sz w:val="20"/>
          <w:szCs w:val="20"/>
          <w:color w:val="auto"/>
        </w:rPr>
      </w:pPr>
    </w:p>
    <w:p>
      <w:pPr>
        <w:spacing w:after="0"/>
        <w:rPr>
          <w:sz w:val="20"/>
          <w:szCs w:val="20"/>
          <w:color w:val="auto"/>
        </w:rPr>
      </w:pPr>
      <w:r>
        <w:rPr>
          <w:rFonts w:ascii="Calibri" w:cs="Calibri" w:eastAsia="Calibri" w:hAnsi="Calibri"/>
          <w:sz w:val="18"/>
          <w:szCs w:val="18"/>
          <w:color w:val="auto"/>
        </w:rPr>
        <w:t>and natural gas reserves at December 31, 2025, as compared to December 31, 2024. PV-10 is a non-GAAP financial measure. For a</w:t>
      </w:r>
    </w:p>
    <w:p>
      <w:pPr>
        <w:spacing w:after="0" w:line="28" w:lineRule="exact"/>
        <w:rPr>
          <w:sz w:val="20"/>
          <w:szCs w:val="20"/>
          <w:color w:val="auto"/>
        </w:rPr>
      </w:pPr>
    </w:p>
    <w:p>
      <w:pPr>
        <w:spacing w:after="0"/>
        <w:rPr>
          <w:sz w:val="20"/>
          <w:szCs w:val="20"/>
          <w:color w:val="auto"/>
        </w:rPr>
      </w:pPr>
      <w:r>
        <w:rPr>
          <w:rFonts w:ascii="Calibri" w:cs="Calibri" w:eastAsia="Calibri" w:hAnsi="Calibri"/>
          <w:sz w:val="18"/>
          <w:szCs w:val="18"/>
          <w:color w:val="auto"/>
        </w:rPr>
        <w:t>reconciliation of PV-10 to Standardized Measure, see “—Estimated Proved Reserves.”</w:t>
      </w:r>
    </w:p>
    <w:p>
      <w:pPr>
        <w:spacing w:after="0" w:line="241" w:lineRule="exact"/>
        <w:rPr>
          <w:sz w:val="20"/>
          <w:szCs w:val="20"/>
          <w:color w:val="auto"/>
        </w:rPr>
      </w:pPr>
    </w:p>
    <w:p>
      <w:pPr>
        <w:ind w:right="700" w:firstLine="241"/>
        <w:spacing w:after="0" w:line="283" w:lineRule="auto"/>
        <w:rPr>
          <w:sz w:val="20"/>
          <w:szCs w:val="20"/>
          <w:color w:val="auto"/>
        </w:rPr>
      </w:pPr>
      <w:r>
        <w:rPr>
          <w:rFonts w:ascii="Calibri" w:cs="Calibri" w:eastAsia="Calibri" w:hAnsi="Calibri"/>
          <w:sz w:val="17"/>
          <w:szCs w:val="17"/>
          <w:color w:val="auto"/>
        </w:rPr>
        <w:t>At December 31, 2025, estimated proved developed reserves included 223.0 million Bbl of oil and 1.11 Tcf of natural gas, and estimated proved undeveloped reserves included 153.0 million Bbl of oil and 636.6 Bcf of natural gas. Proved developed reserves and proved oil reserves comprised 61% and 56%, respectively, of our total proved oil and natural gas reserves at December 31, 2025.</w:t>
      </w:r>
    </w:p>
    <w:p>
      <w:pPr>
        <w:sectPr>
          <w:pgSz w:w="11880" w:h="15480" w:orient="portrait"/>
          <w:cols w:equalWidth="0" w:num="1">
            <w:col w:w="10240"/>
          </w:cols>
          <w:pgMar w:left="1160" w:top="498"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892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40"/>
          </w:cols>
          <w:pgMar w:left="1160" w:top="498" w:right="480" w:bottom="0" w:gutter="0" w:footer="0" w:header="0"/>
          <w:type w:val="continuous"/>
        </w:sectPr>
      </w:pPr>
    </w:p>
    <w:bookmarkStart w:id="19" w:name="page20"/>
    <w:bookmarkEnd w:id="19"/>
    <w:p>
      <w:pPr>
        <w:ind w:left="720" w:hanging="708"/>
        <w:spacing w:after="0"/>
        <w:tabs>
          <w:tab w:leader="none" w:pos="72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426720</wp:posOffset>
                </wp:positionH>
                <wp:positionV relativeFrom="paragraph">
                  <wp:posOffset>320675</wp:posOffset>
                </wp:positionV>
                <wp:extent cx="681228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6pt,25.25pt" to="570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426720</wp:posOffset>
                </wp:positionH>
                <wp:positionV relativeFrom="paragraph">
                  <wp:posOffset>320675</wp:posOffset>
                </wp:positionV>
                <wp:extent cx="681228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6pt,25.25pt" to="570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80" w:right="340"/>
        <w:spacing w:after="0" w:line="252" w:lineRule="auto"/>
        <w:rPr>
          <w:sz w:val="20"/>
          <w:szCs w:val="20"/>
          <w:color w:val="auto"/>
        </w:rPr>
      </w:pPr>
      <w:r>
        <w:rPr>
          <w:rFonts w:ascii="Calibri" w:cs="Calibri" w:eastAsia="Calibri" w:hAnsi="Calibri"/>
          <w:sz w:val="18"/>
          <w:szCs w:val="18"/>
          <w:color w:val="auto"/>
        </w:rPr>
        <w:t>Proved developed reserves and proved oil reserves comprised 60% and 59%, respectively, of our total proved oil and natural gas reserves at December 31, 2024.</w:t>
      </w:r>
    </w:p>
    <w:p>
      <w:pPr>
        <w:spacing w:after="0" w:line="216" w:lineRule="exact"/>
        <w:rPr>
          <w:sz w:val="20"/>
          <w:szCs w:val="20"/>
          <w:color w:val="auto"/>
        </w:rPr>
      </w:pPr>
    </w:p>
    <w:p>
      <w:pPr>
        <w:ind w:left="680"/>
        <w:spacing w:after="0"/>
        <w:rPr>
          <w:sz w:val="20"/>
          <w:szCs w:val="20"/>
          <w:color w:val="auto"/>
        </w:rPr>
      </w:pPr>
      <w:r>
        <w:rPr>
          <w:rFonts w:ascii="Calibri" w:cs="Calibri" w:eastAsia="Calibri" w:hAnsi="Calibri"/>
          <w:sz w:val="19"/>
          <w:szCs w:val="19"/>
          <w:i w:val="1"/>
          <w:iCs w:val="1"/>
          <w:color w:val="214E93"/>
        </w:rPr>
        <w:t>Operational Highlights</w:t>
      </w:r>
    </w:p>
    <w:p>
      <w:pPr>
        <w:spacing w:after="0" w:line="208" w:lineRule="exact"/>
        <w:rPr>
          <w:sz w:val="20"/>
          <w:szCs w:val="20"/>
          <w:color w:val="auto"/>
        </w:rPr>
      </w:pPr>
    </w:p>
    <w:p>
      <w:pPr>
        <w:ind w:left="680" w:firstLine="241"/>
        <w:spacing w:after="0" w:line="267" w:lineRule="auto"/>
        <w:rPr>
          <w:sz w:val="20"/>
          <w:szCs w:val="20"/>
          <w:color w:val="auto"/>
        </w:rPr>
      </w:pPr>
      <w:r>
        <w:rPr>
          <w:rFonts w:ascii="Calibri" w:cs="Calibri" w:eastAsia="Calibri" w:hAnsi="Calibri"/>
          <w:sz w:val="18"/>
          <w:szCs w:val="18"/>
          <w:color w:val="auto"/>
        </w:rPr>
        <w:t>We focus on optimizing the development of our resource base by seeking ways to maximize our recovery per well relative to the cost incurred and to minimize our operating costs per BOE produced. We apply an analytical approach to track and monitor the effectiveness of our drilling and completion techniques and service providers. This allows us to better manage operating costs, the pace of development activities, technical applications, the gathering and marketing of our production and capital allocation. Additionally, we concentrate on our core areas, which allows us to achieve economies of scale and reduce operating costs. Largely as a result of these factors, we believe that we have increased our technical knowledge of drilling, completing and producing Delaware Basin wells. We expect the Delaware Basin will continue to be our primary area of focus in 2026.</w:t>
      </w:r>
    </w:p>
    <w:p>
      <w:pPr>
        <w:spacing w:after="0" w:line="220" w:lineRule="exact"/>
        <w:rPr>
          <w:sz w:val="20"/>
          <w:szCs w:val="20"/>
          <w:color w:val="auto"/>
        </w:rPr>
      </w:pPr>
    </w:p>
    <w:p>
      <w:pPr>
        <w:ind w:left="680" w:firstLine="241"/>
        <w:spacing w:after="0" w:line="268" w:lineRule="auto"/>
        <w:rPr>
          <w:sz w:val="20"/>
          <w:szCs w:val="20"/>
          <w:color w:val="auto"/>
        </w:rPr>
      </w:pPr>
      <w:r>
        <w:rPr>
          <w:rFonts w:ascii="Calibri" w:cs="Calibri" w:eastAsia="Calibri" w:hAnsi="Calibri"/>
          <w:sz w:val="18"/>
          <w:szCs w:val="18"/>
          <w:color w:val="auto"/>
        </w:rPr>
        <w:t>We completed and began producing oil and natural gas from 258 gross (129.3 net) horizontal wells in the Delaware Basin in 2025, including 151 gross (121.2 net) operated and 107 gross (8.1 net) non-operated wells. At December 31, 2025, our total acreage position in the Delaware Basin was approximately 354,600 gross (212,500 net) acres, primarily in Lea and Eddy Counties, New Mexico and Loving, Ward and Winkler Counties, Texas. We have focused our Delaware Basin operations on the following asset areas: the Stateline, Rustler Breaks and Arrowhead asset areas in Eddy County, New Mexico, the Antelope Ridge, Ranger and Twin Lakes asset areas in Lea County, New Mexico and the West Texas asset area in Loving, Ward and Winkler Counties, Texas. Our Delaware Basin properties are the most significant component of our asset portfolio. We expect our Delaware Basin production to increase in 2026 as we continue the delineation and development of these asset areas.</w:t>
      </w:r>
    </w:p>
    <w:p>
      <w:pPr>
        <w:spacing w:after="0" w:line="217" w:lineRule="exact"/>
        <w:rPr>
          <w:sz w:val="20"/>
          <w:szCs w:val="20"/>
          <w:color w:val="auto"/>
        </w:rPr>
      </w:pPr>
    </w:p>
    <w:p>
      <w:pPr>
        <w:ind w:left="680" w:right="260" w:firstLine="241"/>
        <w:spacing w:after="0" w:line="252" w:lineRule="auto"/>
        <w:rPr>
          <w:sz w:val="20"/>
          <w:szCs w:val="20"/>
          <w:color w:val="auto"/>
        </w:rPr>
      </w:pPr>
      <w:r>
        <w:rPr>
          <w:rFonts w:ascii="Calibri" w:cs="Calibri" w:eastAsia="Calibri" w:hAnsi="Calibri"/>
          <w:sz w:val="18"/>
          <w:szCs w:val="18"/>
          <w:color w:val="auto"/>
        </w:rPr>
        <w:t>During 2025, we achieved several operational highlights in the Delaware Basin. These highlights (as further described below in “—Exploration and Production Segment—Southeast New Mexico and West Texas—Delaware Basin”) included:</w:t>
      </w:r>
    </w:p>
    <w:p>
      <w:pPr>
        <w:spacing w:after="0" w:line="230" w:lineRule="exact"/>
        <w:rPr>
          <w:sz w:val="20"/>
          <w:szCs w:val="20"/>
          <w:color w:val="auto"/>
        </w:rPr>
      </w:pPr>
    </w:p>
    <w:p>
      <w:pPr>
        <w:jc w:val="both"/>
        <w:ind w:left="1380" w:right="60" w:hanging="349"/>
        <w:spacing w:after="0" w:line="264" w:lineRule="auto"/>
        <w:tabs>
          <w:tab w:leader="none" w:pos="1380"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improved well performance and cost efficiencies through large-scale batch developments. For example, during the second half of 2025, we turned to sales a 17-well batch development, one of the largest developments in our history, on our John Callahan unit in the Antelope Ridge asset area in Lea County, New Mexico targeting multiple horizons in the Bone Springs and Wolfcamp formations;</w:t>
      </w:r>
    </w:p>
    <w:p>
      <w:pPr>
        <w:spacing w:after="0" w:line="220" w:lineRule="exact"/>
        <w:rPr>
          <w:rFonts w:ascii="Calibri" w:cs="Calibri" w:eastAsia="Calibri" w:hAnsi="Calibri"/>
          <w:sz w:val="18"/>
          <w:szCs w:val="18"/>
          <w:color w:val="auto"/>
        </w:rPr>
      </w:pPr>
    </w:p>
    <w:p>
      <w:pPr>
        <w:ind w:left="1380" w:right="420" w:hanging="349"/>
        <w:spacing w:after="0" w:line="252" w:lineRule="auto"/>
        <w:tabs>
          <w:tab w:leader="none" w:pos="1380"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reduced drilling and completion costs per lateral foot, including increased efficiencies and capital savings through the continued use of Simul-Frac and Trimul-Frac;</w:t>
      </w:r>
    </w:p>
    <w:p>
      <w:pPr>
        <w:spacing w:after="0" w:line="230" w:lineRule="exact"/>
        <w:rPr>
          <w:rFonts w:ascii="Calibri" w:cs="Calibri" w:eastAsia="Calibri" w:hAnsi="Calibri"/>
          <w:sz w:val="18"/>
          <w:szCs w:val="18"/>
          <w:color w:val="auto"/>
        </w:rPr>
      </w:pPr>
    </w:p>
    <w:p>
      <w:pPr>
        <w:ind w:left="1380" w:right="300" w:hanging="349"/>
        <w:spacing w:after="0" w:line="252" w:lineRule="auto"/>
        <w:tabs>
          <w:tab w:leader="none" w:pos="1380"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continued drilling of longer laterals, with average completed lateral length for operated wells turned to sales in 2025 of approximately 10,400 feet; and</w:t>
      </w:r>
    </w:p>
    <w:p>
      <w:pPr>
        <w:spacing w:after="0" w:line="230" w:lineRule="exact"/>
        <w:rPr>
          <w:rFonts w:ascii="Calibri" w:cs="Calibri" w:eastAsia="Calibri" w:hAnsi="Calibri"/>
          <w:sz w:val="18"/>
          <w:szCs w:val="18"/>
          <w:color w:val="auto"/>
        </w:rPr>
      </w:pPr>
    </w:p>
    <w:p>
      <w:pPr>
        <w:ind w:left="1380" w:right="220" w:hanging="349"/>
        <w:spacing w:after="0" w:line="261" w:lineRule="auto"/>
        <w:tabs>
          <w:tab w:leader="none" w:pos="1380"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capital expenditures for drilling, completing and equipping wells (“D/C/E capital expenditures”) for 2025 of $1.53 billion, which was within our estimated range for 2025 D/C/E capital expenditures of $1.47 to $1.55 billion, as provided on October 21, 2025.</w:t>
      </w:r>
    </w:p>
    <w:p>
      <w:pPr>
        <w:spacing w:after="0" w:line="209" w:lineRule="exact"/>
        <w:rPr>
          <w:sz w:val="20"/>
          <w:szCs w:val="20"/>
          <w:color w:val="auto"/>
        </w:rPr>
      </w:pPr>
    </w:p>
    <w:p>
      <w:pPr>
        <w:ind w:left="680"/>
        <w:spacing w:after="0"/>
        <w:rPr>
          <w:sz w:val="20"/>
          <w:szCs w:val="20"/>
          <w:color w:val="auto"/>
        </w:rPr>
      </w:pPr>
      <w:r>
        <w:rPr>
          <w:rFonts w:ascii="Calibri" w:cs="Calibri" w:eastAsia="Calibri" w:hAnsi="Calibri"/>
          <w:sz w:val="19"/>
          <w:szCs w:val="19"/>
          <w:i w:val="1"/>
          <w:iCs w:val="1"/>
          <w:color w:val="214E93"/>
        </w:rPr>
        <w:t>Capital Resources and Financing Highlights</w:t>
      </w:r>
    </w:p>
    <w:p>
      <w:pPr>
        <w:spacing w:after="0" w:line="191" w:lineRule="exact"/>
        <w:rPr>
          <w:sz w:val="20"/>
          <w:szCs w:val="20"/>
          <w:color w:val="auto"/>
        </w:rPr>
      </w:pPr>
    </w:p>
    <w:p>
      <w:pPr>
        <w:ind w:left="920"/>
        <w:spacing w:after="0"/>
        <w:rPr>
          <w:sz w:val="20"/>
          <w:szCs w:val="20"/>
          <w:color w:val="auto"/>
        </w:rPr>
      </w:pPr>
      <w:r>
        <w:rPr>
          <w:rFonts w:ascii="Calibri" w:cs="Calibri" w:eastAsia="Calibri" w:hAnsi="Calibri"/>
          <w:sz w:val="18"/>
          <w:szCs w:val="18"/>
          <w:color w:val="auto"/>
        </w:rPr>
        <w:t>During 2025, we achieved several significant and important capital resources objectives, which included:</w:t>
      </w:r>
    </w:p>
    <w:p>
      <w:pPr>
        <w:spacing w:after="0" w:line="224" w:lineRule="exact"/>
        <w:rPr>
          <w:sz w:val="20"/>
          <w:szCs w:val="20"/>
          <w:color w:val="auto"/>
        </w:rPr>
      </w:pPr>
    </w:p>
    <w:p>
      <w:pPr>
        <w:ind w:left="1380" w:hanging="349"/>
        <w:spacing w:after="0"/>
        <w:tabs>
          <w:tab w:leader="none" w:pos="1380"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the generation of free cash flow in all four quarters of 2025;</w:t>
      </w:r>
    </w:p>
    <w:p>
      <w:pPr>
        <w:spacing w:after="0" w:line="240" w:lineRule="exact"/>
        <w:rPr>
          <w:rFonts w:ascii="Calibri" w:cs="Calibri" w:eastAsia="Calibri" w:hAnsi="Calibri"/>
          <w:sz w:val="18"/>
          <w:szCs w:val="18"/>
          <w:color w:val="auto"/>
        </w:rPr>
      </w:pPr>
    </w:p>
    <w:p>
      <w:pPr>
        <w:ind w:left="1380" w:right="40" w:hanging="349"/>
        <w:spacing w:after="0" w:line="252" w:lineRule="auto"/>
        <w:tabs>
          <w:tab w:leader="none" w:pos="1380"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the amendment of our dividend policy two times during 2025, pursuant to which we increased the quarterly cash dividend from $0.25 per share of common stock in the fourth quarter of 2024 to $0.375 per share of common stock;</w:t>
      </w:r>
    </w:p>
    <w:p>
      <w:pPr>
        <w:spacing w:after="0" w:line="230" w:lineRule="exact"/>
        <w:rPr>
          <w:rFonts w:ascii="Calibri" w:cs="Calibri" w:eastAsia="Calibri" w:hAnsi="Calibri"/>
          <w:sz w:val="18"/>
          <w:szCs w:val="18"/>
          <w:color w:val="auto"/>
        </w:rPr>
      </w:pPr>
    </w:p>
    <w:p>
      <w:pPr>
        <w:ind w:left="1380" w:right="360" w:hanging="349"/>
        <w:spacing w:after="0" w:line="252" w:lineRule="auto"/>
        <w:tabs>
          <w:tab w:leader="none" w:pos="1380"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the receipt of $136.7 million in cash distributions from San Mateo and $13.0 million in performance incentives directly from Five Point;</w:t>
      </w:r>
    </w:p>
    <w:p>
      <w:pPr>
        <w:spacing w:after="0" w:line="230" w:lineRule="exact"/>
        <w:rPr>
          <w:rFonts w:ascii="Calibri" w:cs="Calibri" w:eastAsia="Calibri" w:hAnsi="Calibri"/>
          <w:sz w:val="18"/>
          <w:szCs w:val="18"/>
          <w:color w:val="auto"/>
        </w:rPr>
      </w:pPr>
    </w:p>
    <w:p>
      <w:pPr>
        <w:ind w:left="1380" w:right="280" w:hanging="349"/>
        <w:spacing w:after="0" w:line="281" w:lineRule="auto"/>
        <w:tabs>
          <w:tab w:leader="none" w:pos="1380" w:val="left"/>
        </w:tabs>
        <w:numPr>
          <w:ilvl w:val="0"/>
          <w:numId w:val="17"/>
        </w:numPr>
        <w:rPr>
          <w:rFonts w:ascii="Calibri" w:cs="Calibri" w:eastAsia="Calibri" w:hAnsi="Calibri"/>
          <w:sz w:val="17"/>
          <w:szCs w:val="17"/>
          <w:color w:val="auto"/>
        </w:rPr>
      </w:pPr>
      <w:r>
        <w:rPr>
          <w:rFonts w:ascii="Calibri" w:cs="Calibri" w:eastAsia="Calibri" w:hAnsi="Calibri"/>
          <w:sz w:val="17"/>
          <w:szCs w:val="17"/>
          <w:color w:val="auto"/>
        </w:rPr>
        <w:t>the implementation in April 2025 of a share repurchase program (the “Share Repurchase Program”) authorizing the repurchase of up to $400.0 million of common stock, and the purchase of 1,351,328 shares of common stock under the</w:t>
      </w:r>
    </w:p>
    <w:p>
      <w:pPr>
        <w:sectPr>
          <w:pgSz w:w="11880" w:h="15480" w:orient="portrait"/>
          <w:cols w:equalWidth="0" w:num="1">
            <w:col w:w="10240"/>
          </w:cols>
          <w:pgMar w:left="48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40"/>
          </w:cols>
          <w:pgMar w:left="480" w:top="498" w:right="1160" w:bottom="0" w:gutter="0" w:footer="0" w:header="0"/>
          <w:type w:val="continuous"/>
        </w:sectPr>
      </w:pPr>
    </w:p>
    <w:bookmarkStart w:id="20" w:name="page21"/>
    <w:bookmarkEnd w:id="20"/>
    <w:tbl>
      <w:tblPr>
        <w:tblLayout w:type="fixed"/>
        <w:tblInd w:w="7880" w:type="dxa"/>
        <w:tblCellMar>
          <w:top w:w="0" w:type="dxa"/>
          <w:left w:w="0" w:type="dxa"/>
          <w:bottom w:w="0" w:type="dxa"/>
          <w:right w:w="0" w:type="dxa"/>
        </w:tblCellMar>
      </w:tblPr>
      <w:tr>
        <w:trPr>
          <w:trHeight w:val="220"/>
        </w:trPr>
        <w:tc>
          <w:tcPr>
            <w:tcW w:w="194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00" w:type="dxa"/>
            <w:vAlign w:val="bottom"/>
          </w:tcPr>
          <w:p>
            <w:pPr>
              <w:jc w:val="right"/>
              <w:spacing w:after="0"/>
              <w:rPr>
                <w:sz w:val="20"/>
                <w:szCs w:val="20"/>
                <w:color w:val="auto"/>
              </w:rPr>
            </w:pPr>
            <w:r>
              <w:rPr>
                <w:rFonts w:ascii="Calibri" w:cs="Calibri" w:eastAsia="Calibri" w:hAnsi="Calibri"/>
                <w:sz w:val="18"/>
                <w:szCs w:val="18"/>
                <w:color w:val="auto"/>
              </w:rPr>
              <w:t>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00" w:right="1600"/>
        <w:spacing w:after="0" w:line="252" w:lineRule="auto"/>
        <w:rPr>
          <w:sz w:val="20"/>
          <w:szCs w:val="20"/>
          <w:color w:val="auto"/>
        </w:rPr>
      </w:pPr>
      <w:r>
        <w:rPr>
          <w:rFonts w:ascii="Calibri" w:cs="Calibri" w:eastAsia="Calibri" w:hAnsi="Calibri"/>
          <w:sz w:val="18"/>
          <w:szCs w:val="18"/>
          <w:color w:val="auto"/>
        </w:rPr>
        <w:t>Share Repurchase Program in 2025 at a weighted average price of $41.31 per common share for a total cost of $55.8 million;</w:t>
      </w:r>
    </w:p>
    <w:p>
      <w:pPr>
        <w:spacing w:after="0" w:line="230" w:lineRule="exact"/>
        <w:rPr>
          <w:sz w:val="20"/>
          <w:szCs w:val="20"/>
          <w:color w:val="auto"/>
        </w:rPr>
      </w:pPr>
    </w:p>
    <w:p>
      <w:pPr>
        <w:ind w:left="700" w:right="820" w:hanging="349"/>
        <w:spacing w:after="0" w:line="261" w:lineRule="auto"/>
        <w:tabs>
          <w:tab w:leader="none" w:pos="700"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the amendment of San Mateo’s secured revolving credit facility (the “San Mateo Credit Facility”) in December 2025 to increase the lender commitments from $850.0 million to $1.10 billion, and to amend the accordion feature to provide for potential increases in lender commitments of up to $1.35 billion; and</w:t>
      </w:r>
    </w:p>
    <w:p>
      <w:pPr>
        <w:spacing w:after="0" w:line="205" w:lineRule="exact"/>
        <w:rPr>
          <w:rFonts w:ascii="Calibri" w:cs="Calibri" w:eastAsia="Calibri" w:hAnsi="Calibri"/>
          <w:sz w:val="18"/>
          <w:szCs w:val="18"/>
          <w:color w:val="auto"/>
        </w:rPr>
      </w:pPr>
    </w:p>
    <w:p>
      <w:pPr>
        <w:ind w:left="700" w:hanging="349"/>
        <w:spacing w:after="0"/>
        <w:tabs>
          <w:tab w:leader="none" w:pos="700"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an upgrade to our long-term issuer default rating by Fitch Ratings from ‘BB-’ to ‘BB’.</w:t>
      </w:r>
    </w:p>
    <w:p>
      <w:pPr>
        <w:spacing w:after="0" w:line="241" w:lineRule="exact"/>
        <w:rPr>
          <w:sz w:val="20"/>
          <w:szCs w:val="20"/>
          <w:color w:val="auto"/>
        </w:rPr>
      </w:pPr>
    </w:p>
    <w:p>
      <w:pPr>
        <w:ind w:right="860" w:firstLine="241"/>
        <w:spacing w:after="0" w:line="252" w:lineRule="auto"/>
        <w:rPr>
          <w:sz w:val="20"/>
          <w:szCs w:val="20"/>
          <w:color w:val="auto"/>
        </w:rPr>
      </w:pPr>
      <w:r>
        <w:rPr>
          <w:rFonts w:ascii="Calibri" w:cs="Calibri" w:eastAsia="Calibri" w:hAnsi="Calibri"/>
          <w:sz w:val="18"/>
          <w:szCs w:val="18"/>
          <w:color w:val="auto"/>
        </w:rPr>
        <w:t>See “Management’s Discussion and Analysis of Financial Condition and Results of Operations—Liquidity and Capital Resources” for additional information.</w:t>
      </w:r>
    </w:p>
    <w:p>
      <w:pPr>
        <w:spacing w:after="0" w:line="216"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Midstream Highlights</w:t>
      </w:r>
    </w:p>
    <w:p>
      <w:pPr>
        <w:spacing w:after="0" w:line="208" w:lineRule="exact"/>
        <w:rPr>
          <w:sz w:val="20"/>
          <w:szCs w:val="20"/>
          <w:color w:val="auto"/>
        </w:rPr>
      </w:pPr>
    </w:p>
    <w:p>
      <w:pPr>
        <w:ind w:right="1240" w:firstLine="241"/>
        <w:spacing w:after="0" w:line="252" w:lineRule="auto"/>
        <w:rPr>
          <w:sz w:val="20"/>
          <w:szCs w:val="20"/>
          <w:color w:val="auto"/>
        </w:rPr>
      </w:pPr>
      <w:r>
        <w:rPr>
          <w:rFonts w:ascii="Calibri" w:cs="Calibri" w:eastAsia="Calibri" w:hAnsi="Calibri"/>
          <w:sz w:val="18"/>
          <w:szCs w:val="18"/>
          <w:color w:val="auto"/>
        </w:rPr>
        <w:t>Matador conducts its midstream operations primarily through San Mateo, which is owned 51% by us and 49% by our joint venture partner, Five Point.</w:t>
      </w:r>
    </w:p>
    <w:p>
      <w:pPr>
        <w:spacing w:after="0" w:line="230" w:lineRule="exact"/>
        <w:rPr>
          <w:sz w:val="20"/>
          <w:szCs w:val="20"/>
          <w:color w:val="auto"/>
        </w:rPr>
      </w:pPr>
    </w:p>
    <w:p>
      <w:pPr>
        <w:ind w:right="840" w:firstLine="241"/>
        <w:spacing w:after="0" w:line="261" w:lineRule="auto"/>
        <w:rPr>
          <w:sz w:val="20"/>
          <w:szCs w:val="20"/>
          <w:color w:val="auto"/>
        </w:rPr>
      </w:pPr>
      <w:r>
        <w:rPr>
          <w:rFonts w:ascii="Calibri" w:cs="Calibri" w:eastAsia="Calibri" w:hAnsi="Calibri"/>
          <w:sz w:val="18"/>
          <w:szCs w:val="18"/>
          <w:color w:val="auto"/>
        </w:rPr>
        <w:t>San Mateo achieved strong operating results in 2025, highlighted by (i) free cash flow generation, (ii) expansion of the Marlan Processing Plant (iii) increased midstream services revenues, including those from third-party customers, and (iv) increased natural gas gathering and processing volumes.</w:t>
      </w:r>
    </w:p>
    <w:p>
      <w:pPr>
        <w:spacing w:after="0" w:line="206" w:lineRule="exact"/>
        <w:rPr>
          <w:sz w:val="20"/>
          <w:szCs w:val="20"/>
          <w:color w:val="auto"/>
        </w:rPr>
      </w:pPr>
    </w:p>
    <w:p>
      <w:pPr>
        <w:ind w:left="240"/>
        <w:spacing w:after="0"/>
        <w:rPr>
          <w:sz w:val="20"/>
          <w:szCs w:val="20"/>
          <w:color w:val="auto"/>
        </w:rPr>
      </w:pPr>
      <w:r>
        <w:rPr>
          <w:rFonts w:ascii="Calibri" w:cs="Calibri" w:eastAsia="Calibri" w:hAnsi="Calibri"/>
          <w:sz w:val="18"/>
          <w:szCs w:val="18"/>
          <w:color w:val="auto"/>
        </w:rPr>
        <w:t>At December 31, 2025, San Mateo’s midstream system included:</w:t>
      </w:r>
    </w:p>
    <w:p>
      <w:pPr>
        <w:spacing w:after="0" w:line="241" w:lineRule="exact"/>
        <w:rPr>
          <w:sz w:val="20"/>
          <w:szCs w:val="20"/>
          <w:color w:val="auto"/>
        </w:rPr>
      </w:pPr>
    </w:p>
    <w:p>
      <w:pPr>
        <w:ind w:left="440" w:right="880" w:hanging="354"/>
        <w:spacing w:after="0" w:line="264" w:lineRule="auto"/>
        <w:tabs>
          <w:tab w:leader="none" w:pos="440" w:val="left"/>
        </w:tabs>
        <w:numPr>
          <w:ilvl w:val="0"/>
          <w:numId w:val="19"/>
        </w:numPr>
        <w:rPr>
          <w:rFonts w:ascii="Calibri" w:cs="Calibri" w:eastAsia="Calibri" w:hAnsi="Calibri"/>
          <w:sz w:val="18"/>
          <w:szCs w:val="18"/>
          <w:color w:val="214E93"/>
        </w:rPr>
      </w:pPr>
      <w:r>
        <w:rPr>
          <w:rFonts w:ascii="Calibri" w:cs="Calibri" w:eastAsia="Calibri" w:hAnsi="Calibri"/>
          <w:sz w:val="18"/>
          <w:szCs w:val="18"/>
          <w:color w:val="214E93"/>
        </w:rPr>
        <w:t xml:space="preserve">Natural Gas Assets: </w:t>
      </w:r>
      <w:r>
        <w:rPr>
          <w:rFonts w:ascii="Calibri" w:cs="Calibri" w:eastAsia="Calibri" w:hAnsi="Calibri"/>
          <w:sz w:val="18"/>
          <w:szCs w:val="18"/>
          <w:color w:val="000000"/>
        </w:rPr>
        <w:t>720 MMcf per day of designed natural gas cryogenic processing capacity and approximately 340 miles of</w:t>
      </w:r>
      <w:r>
        <w:rPr>
          <w:rFonts w:ascii="Calibri" w:cs="Calibri" w:eastAsia="Calibri" w:hAnsi="Calibri"/>
          <w:sz w:val="18"/>
          <w:szCs w:val="18"/>
          <w:color w:val="214E93"/>
        </w:rPr>
        <w:t xml:space="preserve"> </w:t>
      </w:r>
      <w:r>
        <w:rPr>
          <w:rFonts w:ascii="Calibri" w:cs="Calibri" w:eastAsia="Calibri" w:hAnsi="Calibri"/>
          <w:sz w:val="18"/>
          <w:szCs w:val="18"/>
          <w:color w:val="000000"/>
        </w:rPr>
        <w:t>natural gas gathering pipelines in Eddy and Lea Counties, New Mexico and Loving County, Texas, including 43 miles of large diameter natural gas gathering lines spanning from the Stateline asset area to the southern portion of the Arrowhead asset area (the “Greater Stebbins Area”);</w:t>
      </w:r>
    </w:p>
    <w:p>
      <w:pPr>
        <w:spacing w:after="0" w:line="220" w:lineRule="exact"/>
        <w:rPr>
          <w:rFonts w:ascii="Calibri" w:cs="Calibri" w:eastAsia="Calibri" w:hAnsi="Calibri"/>
          <w:sz w:val="18"/>
          <w:szCs w:val="18"/>
          <w:color w:val="214E93"/>
        </w:rPr>
      </w:pPr>
    </w:p>
    <w:p>
      <w:pPr>
        <w:ind w:left="440" w:right="820" w:hanging="354"/>
        <w:spacing w:after="0" w:line="264" w:lineRule="auto"/>
        <w:tabs>
          <w:tab w:leader="none" w:pos="440" w:val="left"/>
        </w:tabs>
        <w:numPr>
          <w:ilvl w:val="0"/>
          <w:numId w:val="19"/>
        </w:numPr>
        <w:rPr>
          <w:rFonts w:ascii="Calibri" w:cs="Calibri" w:eastAsia="Calibri" w:hAnsi="Calibri"/>
          <w:sz w:val="18"/>
          <w:szCs w:val="18"/>
          <w:color w:val="214E93"/>
        </w:rPr>
      </w:pPr>
      <w:r>
        <w:rPr>
          <w:rFonts w:ascii="Calibri" w:cs="Calibri" w:eastAsia="Calibri" w:hAnsi="Calibri"/>
          <w:sz w:val="18"/>
          <w:szCs w:val="18"/>
          <w:color w:val="214E93"/>
        </w:rPr>
        <w:t xml:space="preserve">Oil Assets: </w:t>
      </w:r>
      <w:r>
        <w:rPr>
          <w:rFonts w:ascii="Calibri" w:cs="Calibri" w:eastAsia="Calibri" w:hAnsi="Calibri"/>
          <w:sz w:val="18"/>
          <w:szCs w:val="18"/>
          <w:color w:val="000000"/>
        </w:rPr>
        <w:t>three oil central delivery points (“CDP”) with over 100,000 Bbl of designed oil throughput capacity and</w:t>
      </w:r>
      <w:r>
        <w:rPr>
          <w:rFonts w:ascii="Calibri" w:cs="Calibri" w:eastAsia="Calibri" w:hAnsi="Calibri"/>
          <w:sz w:val="18"/>
          <w:szCs w:val="18"/>
          <w:color w:val="214E93"/>
        </w:rPr>
        <w:t xml:space="preserve"> </w:t>
      </w:r>
      <w:r>
        <w:rPr>
          <w:rFonts w:ascii="Calibri" w:cs="Calibri" w:eastAsia="Calibri" w:hAnsi="Calibri"/>
          <w:sz w:val="18"/>
          <w:szCs w:val="18"/>
          <w:color w:val="000000"/>
        </w:rPr>
        <w:t>approximately 120 miles of oil gathering and transportation pipelines in Eddy County, New Mexico and Loving County, Texas, as well as a 400,000-acre joint development area with Plains Marketing, L.P. (“Plains”) to gather our and other producers’ oil production in Eddy County, New Mexico; and</w:t>
      </w:r>
    </w:p>
    <w:p>
      <w:pPr>
        <w:spacing w:after="0" w:line="220" w:lineRule="exact"/>
        <w:rPr>
          <w:rFonts w:ascii="Calibri" w:cs="Calibri" w:eastAsia="Calibri" w:hAnsi="Calibri"/>
          <w:sz w:val="18"/>
          <w:szCs w:val="18"/>
          <w:color w:val="214E93"/>
        </w:rPr>
      </w:pPr>
    </w:p>
    <w:p>
      <w:pPr>
        <w:ind w:left="440" w:right="860" w:hanging="354"/>
        <w:spacing w:after="0" w:line="261" w:lineRule="auto"/>
        <w:tabs>
          <w:tab w:leader="none" w:pos="440" w:val="left"/>
        </w:tabs>
        <w:numPr>
          <w:ilvl w:val="0"/>
          <w:numId w:val="19"/>
        </w:numPr>
        <w:rPr>
          <w:rFonts w:ascii="Calibri" w:cs="Calibri" w:eastAsia="Calibri" w:hAnsi="Calibri"/>
          <w:sz w:val="18"/>
          <w:szCs w:val="18"/>
          <w:color w:val="214E93"/>
        </w:rPr>
      </w:pPr>
      <w:r>
        <w:rPr>
          <w:rFonts w:ascii="Calibri" w:cs="Calibri" w:eastAsia="Calibri" w:hAnsi="Calibri"/>
          <w:sz w:val="18"/>
          <w:szCs w:val="18"/>
          <w:color w:val="214E93"/>
        </w:rPr>
        <w:t xml:space="preserve">Produced Water Assets: </w:t>
      </w:r>
      <w:r>
        <w:rPr>
          <w:rFonts w:ascii="Calibri" w:cs="Calibri" w:eastAsia="Calibri" w:hAnsi="Calibri"/>
          <w:sz w:val="18"/>
          <w:szCs w:val="18"/>
          <w:color w:val="000000"/>
        </w:rPr>
        <w:t>16 commercial salt water disposal wells and associated facilities with designed produced water</w:t>
      </w:r>
      <w:r>
        <w:rPr>
          <w:rFonts w:ascii="Calibri" w:cs="Calibri" w:eastAsia="Calibri" w:hAnsi="Calibri"/>
          <w:sz w:val="18"/>
          <w:szCs w:val="18"/>
          <w:color w:val="214E93"/>
        </w:rPr>
        <w:t xml:space="preserve"> </w:t>
      </w:r>
      <w:r>
        <w:rPr>
          <w:rFonts w:ascii="Calibri" w:cs="Calibri" w:eastAsia="Calibri" w:hAnsi="Calibri"/>
          <w:sz w:val="18"/>
          <w:szCs w:val="18"/>
          <w:color w:val="000000"/>
        </w:rPr>
        <w:t>disposal capacity of 475,000 Bbl per day and approximately 195 miles of produced water gathering pipelines in Eddy County, New Mexico and Loving County, Texas.</w:t>
      </w:r>
    </w:p>
    <w:p>
      <w:pPr>
        <w:spacing w:after="0" w:line="209"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Sustainability Practices</w:t>
      </w:r>
    </w:p>
    <w:p>
      <w:pPr>
        <w:spacing w:after="0" w:line="208" w:lineRule="exact"/>
        <w:rPr>
          <w:sz w:val="20"/>
          <w:szCs w:val="20"/>
          <w:color w:val="auto"/>
        </w:rPr>
      </w:pPr>
    </w:p>
    <w:p>
      <w:pPr>
        <w:ind w:right="800" w:firstLine="241"/>
        <w:spacing w:after="0" w:line="266" w:lineRule="auto"/>
        <w:rPr>
          <w:sz w:val="20"/>
          <w:szCs w:val="20"/>
          <w:color w:val="auto"/>
        </w:rPr>
      </w:pPr>
      <w:r>
        <w:rPr>
          <w:rFonts w:ascii="Calibri" w:cs="Calibri" w:eastAsia="Calibri" w:hAnsi="Calibri"/>
          <w:sz w:val="18"/>
          <w:szCs w:val="18"/>
          <w:color w:val="auto"/>
        </w:rPr>
        <w:t>We are committed to creating value for our shareholders in a responsible manner. Our aim is to reliably and profitably provide the oil and gas that society needs in a manner that is safe, protects the environment and is consistent with the industry’s best practices and the highest applicable regulatory and legal standards. We also communicate our stewardship efforts in our annual Sustainability Report using quantitative metrics aligned with standards developed by the Sustainability Accounting Standards Board (SASB).</w:t>
      </w:r>
    </w:p>
    <w:p>
      <w:pPr>
        <w:spacing w:after="0" w:line="218" w:lineRule="exact"/>
        <w:rPr>
          <w:sz w:val="20"/>
          <w:szCs w:val="20"/>
          <w:color w:val="auto"/>
        </w:rPr>
      </w:pPr>
    </w:p>
    <w:p>
      <w:pPr>
        <w:ind w:right="680" w:firstLine="241"/>
        <w:spacing w:after="0" w:line="268" w:lineRule="auto"/>
        <w:rPr>
          <w:sz w:val="20"/>
          <w:szCs w:val="20"/>
          <w:color w:val="auto"/>
        </w:rPr>
      </w:pPr>
      <w:r>
        <w:rPr>
          <w:rFonts w:ascii="Calibri" w:cs="Calibri" w:eastAsia="Calibri" w:hAnsi="Calibri"/>
          <w:sz w:val="18"/>
          <w:szCs w:val="18"/>
          <w:color w:val="auto"/>
        </w:rPr>
        <w:t>Highlights from our sustainability efforts are noted below. The data utilized in calculating the below metrics is subject to certain reporting rules, regulatory reviews, definitions, calculation methodologies, estimates, adjustments and other factors. The emissions-related metrics for 2025 were not readily available prior to the filing of this Annual Report and, therefore, are presented as related to our 2024 operations. As of the date of this Annual Report, we are not aware of any material changes to the emissions-related metrics subsequent to the publishing of the 2024 Sustainability Report, assuming the calculation methodology remains consistent for the 2025 reporting year. All other metrics are presented as related to our 2025 operations. The metrics reflect both Matador’s gross operated exploration and production operations and gross operated midstream operations (which includes San Mateo) on a consolidated basis, except where otherwise noted or immaterial in scope.</w:t>
      </w:r>
    </w:p>
    <w:p>
      <w:pPr>
        <w:spacing w:after="0" w:line="200" w:lineRule="exact"/>
        <w:rPr>
          <w:sz w:val="20"/>
          <w:szCs w:val="20"/>
          <w:color w:val="auto"/>
        </w:rPr>
      </w:pPr>
    </w:p>
    <w:p>
      <w:pPr>
        <w:ind w:left="700" w:hanging="349"/>
        <w:spacing w:after="0"/>
        <w:tabs>
          <w:tab w:leader="none" w:pos="700"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decreased Matador’s direct greenhouse gas emissions intensity by 65% in 2024, as compared to 2019;</w:t>
      </w:r>
    </w:p>
    <w:p>
      <w:pPr>
        <w:sectPr>
          <w:pgSz w:w="11880" w:h="15480" w:orient="portrait"/>
          <w:cols w:equalWidth="0" w:num="1">
            <w:col w:w="10240"/>
          </w:cols>
          <w:pgMar w:left="1160" w:top="498"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892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40"/>
          </w:cols>
          <w:pgMar w:left="1160" w:top="498" w:right="480" w:bottom="0" w:gutter="0" w:footer="0" w:header="0"/>
          <w:type w:val="continuous"/>
        </w:sectPr>
      </w:pPr>
    </w:p>
    <w:bookmarkStart w:id="21" w:name="page22"/>
    <w:bookmarkEnd w:id="21"/>
    <w:p>
      <w:pPr>
        <w:ind w:left="720" w:hanging="708"/>
        <w:spacing w:after="0"/>
        <w:tabs>
          <w:tab w:leader="none" w:pos="720" w:val="left"/>
        </w:tabs>
        <w:numPr>
          <w:ilvl w:val="0"/>
          <w:numId w:val="21"/>
        </w:numPr>
        <w:rPr>
          <w:rFonts w:ascii="Calibri" w:cs="Calibri" w:eastAsia="Calibri" w:hAnsi="Calibri"/>
          <w:sz w:val="18"/>
          <w:szCs w:val="18"/>
          <w:color w:val="auto"/>
        </w:rPr>
      </w:pPr>
      <w:r>
        <w:rPr>
          <w:rFonts w:ascii="Calibri" w:cs="Calibri" w:eastAsia="Calibri" w:hAnsi="Calibri"/>
          <w:sz w:val="18"/>
          <w:szCs w:val="18"/>
          <w:color w:val="auto"/>
        </w:rPr>
        <w:t>MATADOR RESOURCES COMPANY</w:t>
      </w:r>
    </w:p>
    <w:p>
      <w:pPr>
        <w:spacing w:after="0" w:line="200" w:lineRule="exact"/>
        <w:rPr>
          <w:rFonts w:ascii="Calibri" w:cs="Calibri" w:eastAsia="Calibri" w:hAnsi="Calibri"/>
          <w:sz w:val="18"/>
          <w:szCs w:val="18"/>
          <w:color w:val="auto"/>
        </w:rPr>
      </w:pPr>
    </w:p>
    <w:p>
      <w:pPr>
        <w:spacing w:after="0" w:line="200" w:lineRule="exact"/>
        <w:rPr>
          <w:rFonts w:ascii="Calibri" w:cs="Calibri" w:eastAsia="Calibri" w:hAnsi="Calibri"/>
          <w:sz w:val="18"/>
          <w:szCs w:val="18"/>
          <w:color w:val="auto"/>
        </w:rPr>
      </w:pPr>
    </w:p>
    <w:p>
      <w:pPr>
        <w:spacing w:after="0" w:line="243" w:lineRule="exact"/>
        <w:rPr>
          <w:rFonts w:ascii="Calibri" w:cs="Calibri" w:eastAsia="Calibri" w:hAnsi="Calibri"/>
          <w:sz w:val="18"/>
          <w:szCs w:val="18"/>
          <w:color w:val="auto"/>
        </w:rPr>
      </w:pPr>
    </w:p>
    <w:p>
      <w:pPr>
        <w:ind w:left="1380" w:hanging="349"/>
        <w:spacing w:after="0"/>
        <w:tabs>
          <w:tab w:leader="none" w:pos="1380" w:val="left"/>
        </w:tabs>
        <w:numPr>
          <w:ilvl w:val="1"/>
          <w:numId w:val="21"/>
        </w:numPr>
        <w:rPr>
          <w:rFonts w:ascii="Calibri" w:cs="Calibri" w:eastAsia="Calibri" w:hAnsi="Calibri"/>
          <w:sz w:val="18"/>
          <w:szCs w:val="18"/>
          <w:color w:val="auto"/>
        </w:rPr>
      </w:pPr>
      <w:r>
        <w:rPr>
          <w:rFonts w:ascii="Calibri" w:cs="Calibri" w:eastAsia="Calibri" w:hAnsi="Calibri"/>
          <w:sz w:val="18"/>
          <w:szCs w:val="18"/>
          <w:color w:val="auto"/>
        </w:rPr>
        <w:t>decreased Matador’s methane emissions intensity by 88% in 2024, as compared to 2019;</w:t>
      </w:r>
    </w:p>
    <w:p>
      <w:pPr>
        <w:spacing w:after="0" w:line="223" w:lineRule="exact"/>
        <w:rPr>
          <w:rFonts w:ascii="Calibri" w:cs="Calibri" w:eastAsia="Calibri" w:hAnsi="Calibri"/>
          <w:sz w:val="18"/>
          <w:szCs w:val="18"/>
          <w:color w:val="auto"/>
        </w:rPr>
      </w:pPr>
    </w:p>
    <w:p>
      <w:pPr>
        <w:ind w:left="1380" w:hanging="349"/>
        <w:spacing w:after="0"/>
        <w:tabs>
          <w:tab w:leader="none" w:pos="1380" w:val="left"/>
        </w:tabs>
        <w:numPr>
          <w:ilvl w:val="1"/>
          <w:numId w:val="21"/>
        </w:numPr>
        <w:rPr>
          <w:rFonts w:ascii="Calibri" w:cs="Calibri" w:eastAsia="Calibri" w:hAnsi="Calibri"/>
          <w:sz w:val="18"/>
          <w:szCs w:val="18"/>
          <w:color w:val="auto"/>
        </w:rPr>
      </w:pPr>
      <w:r>
        <w:rPr>
          <w:rFonts w:ascii="Calibri" w:cs="Calibri" w:eastAsia="Calibri" w:hAnsi="Calibri"/>
          <w:sz w:val="18"/>
          <w:szCs w:val="18"/>
          <w:color w:val="auto"/>
        </w:rPr>
        <w:t>decreased Matador’s flaring intensity by 84% in 2024, as compared to 2019;</w:t>
      </w:r>
    </w:p>
    <w:p>
      <w:pPr>
        <w:spacing w:after="0" w:line="223" w:lineRule="exact"/>
        <w:rPr>
          <w:rFonts w:ascii="Calibri" w:cs="Calibri" w:eastAsia="Calibri" w:hAnsi="Calibri"/>
          <w:sz w:val="18"/>
          <w:szCs w:val="18"/>
          <w:color w:val="auto"/>
        </w:rPr>
      </w:pPr>
    </w:p>
    <w:p>
      <w:pPr>
        <w:ind w:left="1380" w:hanging="349"/>
        <w:spacing w:after="0"/>
        <w:tabs>
          <w:tab w:leader="none" w:pos="1380" w:val="left"/>
        </w:tabs>
        <w:numPr>
          <w:ilvl w:val="1"/>
          <w:numId w:val="21"/>
        </w:numPr>
        <w:rPr>
          <w:rFonts w:ascii="Calibri" w:cs="Calibri" w:eastAsia="Calibri" w:hAnsi="Calibri"/>
          <w:sz w:val="18"/>
          <w:szCs w:val="18"/>
          <w:color w:val="auto"/>
        </w:rPr>
      </w:pPr>
      <w:r>
        <w:rPr>
          <w:rFonts w:ascii="Calibri" w:cs="Calibri" w:eastAsia="Calibri" w:hAnsi="Calibri"/>
          <w:sz w:val="18"/>
          <w:szCs w:val="18"/>
          <w:color w:val="auto"/>
        </w:rPr>
        <w:t>utilized non-fresh water in 98% of total water consumption in 2025;</w:t>
      </w:r>
    </w:p>
    <w:p>
      <w:pPr>
        <w:spacing w:after="0" w:line="223" w:lineRule="exact"/>
        <w:rPr>
          <w:rFonts w:ascii="Calibri" w:cs="Calibri" w:eastAsia="Calibri" w:hAnsi="Calibri"/>
          <w:sz w:val="18"/>
          <w:szCs w:val="18"/>
          <w:color w:val="auto"/>
        </w:rPr>
      </w:pPr>
    </w:p>
    <w:p>
      <w:pPr>
        <w:ind w:left="1380" w:hanging="349"/>
        <w:spacing w:after="0"/>
        <w:tabs>
          <w:tab w:leader="none" w:pos="1380" w:val="left"/>
        </w:tabs>
        <w:numPr>
          <w:ilvl w:val="1"/>
          <w:numId w:val="21"/>
        </w:numPr>
        <w:rPr>
          <w:rFonts w:ascii="Calibri" w:cs="Calibri" w:eastAsia="Calibri" w:hAnsi="Calibri"/>
          <w:sz w:val="18"/>
          <w:szCs w:val="18"/>
          <w:color w:val="auto"/>
        </w:rPr>
      </w:pPr>
      <w:r>
        <w:rPr>
          <w:rFonts w:ascii="Calibri" w:cs="Calibri" w:eastAsia="Calibri" w:hAnsi="Calibri"/>
          <w:sz w:val="18"/>
          <w:szCs w:val="18"/>
          <w:color w:val="auto"/>
        </w:rPr>
        <w:t>utilized recycled produced water for 72% of total water consumption in hydraulic fracturing operations in 2025;</w:t>
      </w:r>
    </w:p>
    <w:p>
      <w:pPr>
        <w:spacing w:after="0" w:line="223" w:lineRule="exact"/>
        <w:rPr>
          <w:rFonts w:ascii="Calibri" w:cs="Calibri" w:eastAsia="Calibri" w:hAnsi="Calibri"/>
          <w:sz w:val="18"/>
          <w:szCs w:val="18"/>
          <w:color w:val="auto"/>
        </w:rPr>
      </w:pPr>
    </w:p>
    <w:p>
      <w:pPr>
        <w:ind w:left="1380" w:hanging="349"/>
        <w:spacing w:after="0"/>
        <w:tabs>
          <w:tab w:leader="none" w:pos="1380" w:val="left"/>
        </w:tabs>
        <w:numPr>
          <w:ilvl w:val="1"/>
          <w:numId w:val="21"/>
        </w:numPr>
        <w:rPr>
          <w:rFonts w:ascii="Calibri" w:cs="Calibri" w:eastAsia="Calibri" w:hAnsi="Calibri"/>
          <w:sz w:val="18"/>
          <w:szCs w:val="18"/>
          <w:color w:val="auto"/>
        </w:rPr>
      </w:pPr>
      <w:r>
        <w:rPr>
          <w:rFonts w:ascii="Calibri" w:cs="Calibri" w:eastAsia="Calibri" w:hAnsi="Calibri"/>
          <w:sz w:val="18"/>
          <w:szCs w:val="18"/>
          <w:color w:val="auto"/>
        </w:rPr>
        <w:t>transported 99% of operated produced water and 97% of operated produced oil by pipeline in 2025; and</w:t>
      </w:r>
    </w:p>
    <w:p>
      <w:pPr>
        <w:spacing w:after="0" w:line="240" w:lineRule="exact"/>
        <w:rPr>
          <w:rFonts w:ascii="Calibri" w:cs="Calibri" w:eastAsia="Calibri" w:hAnsi="Calibri"/>
          <w:sz w:val="18"/>
          <w:szCs w:val="18"/>
          <w:color w:val="auto"/>
        </w:rPr>
      </w:pPr>
    </w:p>
    <w:p>
      <w:pPr>
        <w:ind w:left="1380" w:right="720" w:hanging="349"/>
        <w:spacing w:after="0" w:line="252" w:lineRule="auto"/>
        <w:tabs>
          <w:tab w:leader="none" w:pos="1380" w:val="left"/>
        </w:tabs>
        <w:numPr>
          <w:ilvl w:val="1"/>
          <w:numId w:val="21"/>
        </w:numPr>
        <w:rPr>
          <w:rFonts w:ascii="Calibri" w:cs="Calibri" w:eastAsia="Calibri" w:hAnsi="Calibri"/>
          <w:sz w:val="18"/>
          <w:szCs w:val="18"/>
          <w:color w:val="auto"/>
        </w:rPr>
      </w:pPr>
      <w:r>
        <w:rPr>
          <w:rFonts w:ascii="Calibri" w:cs="Calibri" w:eastAsia="Calibri" w:hAnsi="Calibri"/>
          <w:sz w:val="18"/>
          <w:szCs w:val="18"/>
          <w:color w:val="auto"/>
        </w:rPr>
        <w:t>provided approximately 26,800 hours of employee continuing education, equating to approximately 56 hours per employee in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426720</wp:posOffset>
                </wp:positionH>
                <wp:positionV relativeFrom="paragraph">
                  <wp:posOffset>-1798955</wp:posOffset>
                </wp:positionV>
                <wp:extent cx="681228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6pt,-141.6499pt" to="570pt,-141.6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426720</wp:posOffset>
                </wp:positionH>
                <wp:positionV relativeFrom="paragraph">
                  <wp:posOffset>-1798955</wp:posOffset>
                </wp:positionV>
                <wp:extent cx="681228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6pt,-141.6499pt" to="570pt,-141.6499pt" o:allowincell="f" strokecolor="#214E93" strokeweight="1pt"/>
            </w:pict>
          </mc:Fallback>
        </mc:AlternateContent>
      </w:r>
    </w:p>
    <w:p>
      <w:pPr>
        <w:spacing w:after="0" w:line="208" w:lineRule="exact"/>
        <w:rPr>
          <w:sz w:val="20"/>
          <w:szCs w:val="20"/>
          <w:color w:val="auto"/>
        </w:rPr>
      </w:pPr>
    </w:p>
    <w:p>
      <w:pPr>
        <w:ind w:left="680"/>
        <w:spacing w:after="0"/>
        <w:rPr>
          <w:sz w:val="20"/>
          <w:szCs w:val="20"/>
          <w:color w:val="auto"/>
        </w:rPr>
      </w:pPr>
      <w:r>
        <w:rPr>
          <w:rFonts w:ascii="Verdana" w:cs="Verdana" w:eastAsia="Verdana" w:hAnsi="Verdana"/>
          <w:sz w:val="20"/>
          <w:szCs w:val="20"/>
          <w:color w:val="214E93"/>
        </w:rPr>
        <w:t>EXPLORATION AND PRODUCTION SEGMENT</w:t>
      </w:r>
    </w:p>
    <w:p>
      <w:pPr>
        <w:spacing w:after="0" w:line="209" w:lineRule="exact"/>
        <w:rPr>
          <w:sz w:val="20"/>
          <w:szCs w:val="20"/>
          <w:color w:val="auto"/>
        </w:rPr>
      </w:pPr>
    </w:p>
    <w:p>
      <w:pPr>
        <w:ind w:left="680" w:firstLine="241"/>
        <w:spacing w:after="0" w:line="267" w:lineRule="auto"/>
        <w:rPr>
          <w:sz w:val="20"/>
          <w:szCs w:val="20"/>
          <w:color w:val="auto"/>
        </w:rPr>
      </w:pPr>
      <w:r>
        <w:rPr>
          <w:rFonts w:ascii="Calibri" w:cs="Calibri" w:eastAsia="Calibri" w:hAnsi="Calibri"/>
          <w:sz w:val="18"/>
          <w:szCs w:val="18"/>
          <w:color w:val="auto"/>
        </w:rPr>
        <w:t>Our current operations are focused primarily on the oil and liquids-rich portion of the Wolfcamp and Bone Spring plays in the Delaware Basin in Southeast New Mexico and West Texas. We also have operations in the Haynesville shale and Cotton Valley plays in Northwest Louisiana. During 2025, we devoted most of our efforts and most of our capital expenditures to our drilling and completion operations and midstream operations in the Wolfcamp and Bone Spring plays in the Delaware Basin. Since our inception, our exploration and development efforts have concentrated primarily on known hydrocarbon-producing basins with well-established production histories offering the potential for multiple-zone completions.</w:t>
      </w:r>
    </w:p>
    <w:p>
      <w:pPr>
        <w:spacing w:after="0" w:line="217" w:lineRule="exact"/>
        <w:rPr>
          <w:sz w:val="20"/>
          <w:szCs w:val="20"/>
          <w:color w:val="auto"/>
        </w:rPr>
      </w:pPr>
    </w:p>
    <w:p>
      <w:pPr>
        <w:ind w:left="680" w:right="280" w:firstLine="241"/>
        <w:spacing w:after="0" w:line="252" w:lineRule="auto"/>
        <w:rPr>
          <w:sz w:val="20"/>
          <w:szCs w:val="20"/>
          <w:color w:val="auto"/>
        </w:rPr>
      </w:pPr>
      <w:r>
        <w:rPr>
          <w:rFonts w:ascii="Calibri" w:cs="Calibri" w:eastAsia="Calibri" w:hAnsi="Calibri"/>
          <w:sz w:val="18"/>
          <w:szCs w:val="18"/>
          <w:color w:val="auto"/>
        </w:rPr>
        <w:t>The following table presents certain summary data for each of our operating areas as of and for the year ended December 31, 2025.</w:t>
      </w:r>
    </w:p>
    <w:p>
      <w:pPr>
        <w:spacing w:after="0" w:line="89" w:lineRule="exact"/>
        <w:rPr>
          <w:sz w:val="20"/>
          <w:szCs w:val="20"/>
          <w:color w:val="auto"/>
        </w:rPr>
      </w:pPr>
    </w:p>
    <w:tbl>
      <w:tblPr>
        <w:tblLayout w:type="fixed"/>
        <w:tblInd w:w="680" w:type="dxa"/>
        <w:tblCellMar>
          <w:top w:w="0" w:type="dxa"/>
          <w:left w:w="0" w:type="dxa"/>
          <w:bottom w:w="0" w:type="dxa"/>
          <w:right w:w="0" w:type="dxa"/>
        </w:tblCellMar>
      </w:tblPr>
      <w:tr>
        <w:trPr>
          <w:trHeight w:val="185"/>
        </w:trPr>
        <w:tc>
          <w:tcPr>
            <w:tcW w:w="2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Verdana" w:cs="Verdana" w:eastAsia="Verdana" w:hAnsi="Verdana"/>
                <w:sz w:val="14"/>
                <w:szCs w:val="14"/>
                <w:color w:val="auto"/>
                <w:w w:val="98"/>
              </w:rPr>
              <w:t>Producing</w:t>
            </w:r>
          </w:p>
        </w:tc>
        <w:tc>
          <w:tcPr>
            <w:tcW w:w="80" w:type="dxa"/>
            <w:vAlign w:val="bottom"/>
          </w:tcPr>
          <w:p>
            <w:pPr>
              <w:spacing w:after="0"/>
              <w:rPr>
                <w:sz w:val="16"/>
                <w:szCs w:val="16"/>
                <w:color w:val="auto"/>
              </w:rPr>
            </w:pPr>
          </w:p>
        </w:tc>
        <w:tc>
          <w:tcPr>
            <w:tcW w:w="1440" w:type="dxa"/>
            <w:vAlign w:val="bottom"/>
            <w:gridSpan w:val="2"/>
          </w:tcPr>
          <w:p>
            <w:pPr>
              <w:jc w:val="right"/>
              <w:ind w:right="123"/>
              <w:spacing w:after="0"/>
              <w:rPr>
                <w:sz w:val="20"/>
                <w:szCs w:val="20"/>
                <w:color w:val="auto"/>
              </w:rPr>
            </w:pPr>
            <w:r>
              <w:rPr>
                <w:rFonts w:ascii="Verdana" w:cs="Verdana" w:eastAsia="Verdana" w:hAnsi="Verdana"/>
                <w:sz w:val="14"/>
                <w:szCs w:val="14"/>
                <w:color w:val="auto"/>
              </w:rPr>
              <w:t>Total Identified</w:t>
            </w:r>
          </w:p>
        </w:tc>
        <w:tc>
          <w:tcPr>
            <w:tcW w:w="80" w:type="dxa"/>
            <w:vAlign w:val="bottom"/>
          </w:tcPr>
          <w:p>
            <w:pPr>
              <w:spacing w:after="0"/>
              <w:rPr>
                <w:sz w:val="16"/>
                <w:szCs w:val="16"/>
                <w:color w:val="auto"/>
              </w:rPr>
            </w:pPr>
          </w:p>
        </w:tc>
        <w:tc>
          <w:tcPr>
            <w:tcW w:w="1640" w:type="dxa"/>
            <w:vAlign w:val="bottom"/>
            <w:gridSpan w:val="2"/>
          </w:tcPr>
          <w:p>
            <w:pPr>
              <w:jc w:val="right"/>
              <w:ind w:right="4"/>
              <w:spacing w:after="0"/>
              <w:rPr>
                <w:sz w:val="20"/>
                <w:szCs w:val="20"/>
                <w:color w:val="auto"/>
              </w:rPr>
            </w:pPr>
            <w:r>
              <w:rPr>
                <w:rFonts w:ascii="Verdana" w:cs="Verdana" w:eastAsia="Verdana" w:hAnsi="Verdana"/>
                <w:sz w:val="14"/>
                <w:szCs w:val="14"/>
                <w:color w:val="auto"/>
              </w:rPr>
              <w:t>Estimated Net Proved</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29"/>
        </w:trPr>
        <w:tc>
          <w:tcPr>
            <w:tcW w:w="2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00" w:type="dxa"/>
            <w:vAlign w:val="bottom"/>
            <w:tcBorders>
              <w:bottom w:val="single" w:sz="8" w:color="214E93"/>
            </w:tcBorders>
            <w:gridSpan w:val="2"/>
          </w:tcPr>
          <w:p>
            <w:pPr>
              <w:jc w:val="center"/>
              <w:spacing w:after="0"/>
              <w:rPr>
                <w:sz w:val="20"/>
                <w:szCs w:val="20"/>
                <w:color w:val="auto"/>
              </w:rPr>
            </w:pPr>
            <w:r>
              <w:rPr>
                <w:rFonts w:ascii="Verdana" w:cs="Verdana" w:eastAsia="Verdana" w:hAnsi="Verdana"/>
                <w:sz w:val="14"/>
                <w:szCs w:val="14"/>
                <w:color w:val="auto"/>
                <w:w w:val="96"/>
              </w:rPr>
              <w:t>Wells</w:t>
            </w:r>
          </w:p>
        </w:tc>
        <w:tc>
          <w:tcPr>
            <w:tcW w:w="80" w:type="dxa"/>
            <w:vAlign w:val="bottom"/>
          </w:tcPr>
          <w:p>
            <w:pPr>
              <w:spacing w:after="0"/>
              <w:rPr>
                <w:sz w:val="19"/>
                <w:szCs w:val="19"/>
                <w:color w:val="auto"/>
              </w:rPr>
            </w:pPr>
          </w:p>
        </w:tc>
        <w:tc>
          <w:tcPr>
            <w:tcW w:w="1440" w:type="dxa"/>
            <w:vAlign w:val="bottom"/>
            <w:tcBorders>
              <w:bottom w:val="single" w:sz="8" w:color="214E93"/>
            </w:tcBorders>
            <w:gridSpan w:val="2"/>
          </w:tcPr>
          <w:p>
            <w:pPr>
              <w:jc w:val="right"/>
              <w:spacing w:after="0"/>
              <w:rPr>
                <w:sz w:val="20"/>
                <w:szCs w:val="20"/>
                <w:color w:val="auto"/>
              </w:rPr>
            </w:pPr>
            <w:r>
              <w:rPr>
                <w:rFonts w:ascii="Verdana" w:cs="Verdana" w:eastAsia="Verdana" w:hAnsi="Verdana"/>
                <w:sz w:val="14"/>
                <w:szCs w:val="14"/>
                <w:color w:val="auto"/>
                <w:w w:val="98"/>
              </w:rPr>
              <w:t>Drilling Locations</w:t>
            </w:r>
            <w:r>
              <w:rPr>
                <w:rFonts w:ascii="Verdana" w:cs="Verdana" w:eastAsia="Verdana" w:hAnsi="Verdana"/>
                <w:sz w:val="17"/>
                <w:szCs w:val="17"/>
                <w:color w:val="auto"/>
                <w:w w:val="98"/>
                <w:vertAlign w:val="superscript"/>
              </w:rPr>
              <w:t>(1)</w:t>
            </w:r>
          </w:p>
        </w:tc>
        <w:tc>
          <w:tcPr>
            <w:tcW w:w="80" w:type="dxa"/>
            <w:vAlign w:val="bottom"/>
          </w:tcPr>
          <w:p>
            <w:pPr>
              <w:spacing w:after="0"/>
              <w:rPr>
                <w:sz w:val="19"/>
                <w:szCs w:val="19"/>
                <w:color w:val="auto"/>
              </w:rPr>
            </w:pPr>
          </w:p>
        </w:tc>
        <w:tc>
          <w:tcPr>
            <w:tcW w:w="1640" w:type="dxa"/>
            <w:vAlign w:val="bottom"/>
            <w:tcBorders>
              <w:bottom w:val="single" w:sz="8" w:color="214E93"/>
            </w:tcBorders>
            <w:gridSpan w:val="2"/>
          </w:tcPr>
          <w:p>
            <w:pPr>
              <w:jc w:val="right"/>
              <w:ind w:right="364"/>
              <w:spacing w:after="0"/>
              <w:rPr>
                <w:sz w:val="20"/>
                <w:szCs w:val="20"/>
                <w:color w:val="auto"/>
              </w:rPr>
            </w:pPr>
            <w:r>
              <w:rPr>
                <w:rFonts w:ascii="Verdana" w:cs="Verdana" w:eastAsia="Verdana" w:hAnsi="Verdana"/>
                <w:sz w:val="14"/>
                <w:szCs w:val="14"/>
                <w:color w:val="auto"/>
              </w:rPr>
              <w:t>Reserves</w:t>
            </w:r>
            <w:r>
              <w:rPr>
                <w:rFonts w:ascii="Verdana" w:cs="Verdana" w:eastAsia="Verdana" w:hAnsi="Verdana"/>
                <w:sz w:val="17"/>
                <w:szCs w:val="17"/>
                <w:color w:val="auto"/>
                <w:vertAlign w:val="superscript"/>
              </w:rPr>
              <w:t>(2)</w:t>
            </w:r>
          </w:p>
        </w:tc>
        <w:tc>
          <w:tcPr>
            <w:tcW w:w="80" w:type="dxa"/>
            <w:vAlign w:val="bottom"/>
          </w:tcPr>
          <w:p>
            <w:pPr>
              <w:spacing w:after="0"/>
              <w:rPr>
                <w:sz w:val="19"/>
                <w:szCs w:val="19"/>
                <w:color w:val="auto"/>
              </w:rPr>
            </w:pPr>
          </w:p>
        </w:tc>
        <w:tc>
          <w:tcPr>
            <w:tcW w:w="800" w:type="dxa"/>
            <w:vAlign w:val="bottom"/>
          </w:tcPr>
          <w:p>
            <w:pPr>
              <w:ind w:left="40"/>
              <w:spacing w:after="0"/>
              <w:rPr>
                <w:sz w:val="20"/>
                <w:szCs w:val="20"/>
                <w:color w:val="auto"/>
              </w:rPr>
            </w:pPr>
            <w:r>
              <w:rPr>
                <w:rFonts w:ascii="Verdana" w:cs="Verdana" w:eastAsia="Verdana" w:hAnsi="Verdana"/>
                <w:sz w:val="14"/>
                <w:szCs w:val="14"/>
                <w:color w:val="auto"/>
              </w:rPr>
              <w:t>Avg. Daily</w:t>
            </w:r>
          </w:p>
        </w:tc>
      </w:tr>
      <w:tr>
        <w:trPr>
          <w:trHeight w:val="194"/>
        </w:trPr>
        <w:tc>
          <w:tcPr>
            <w:tcW w:w="2420" w:type="dxa"/>
            <w:vAlign w:val="bottom"/>
          </w:tcPr>
          <w:p>
            <w:pPr>
              <w:spacing w:after="0"/>
              <w:rPr>
                <w:sz w:val="16"/>
                <w:szCs w:val="16"/>
                <w:color w:val="auto"/>
              </w:rPr>
            </w:pPr>
          </w:p>
        </w:tc>
        <w:tc>
          <w:tcPr>
            <w:tcW w:w="860" w:type="dxa"/>
            <w:vAlign w:val="bottom"/>
          </w:tcPr>
          <w:p>
            <w:pPr>
              <w:jc w:val="center"/>
              <w:ind w:left="4"/>
              <w:spacing w:after="0"/>
              <w:rPr>
                <w:sz w:val="20"/>
                <w:szCs w:val="20"/>
                <w:color w:val="auto"/>
              </w:rPr>
            </w:pPr>
            <w:r>
              <w:rPr>
                <w:rFonts w:ascii="Verdana" w:cs="Verdana" w:eastAsia="Verdana" w:hAnsi="Verdana"/>
                <w:sz w:val="14"/>
                <w:szCs w:val="14"/>
                <w:color w:val="auto"/>
                <w:w w:val="94"/>
              </w:rPr>
              <w:t>Gross</w:t>
            </w:r>
          </w:p>
        </w:tc>
        <w:tc>
          <w:tcPr>
            <w:tcW w:w="860" w:type="dxa"/>
            <w:vAlign w:val="bottom"/>
          </w:tcPr>
          <w:p>
            <w:pPr>
              <w:jc w:val="center"/>
              <w:spacing w:after="0"/>
              <w:rPr>
                <w:sz w:val="20"/>
                <w:szCs w:val="20"/>
                <w:color w:val="auto"/>
              </w:rPr>
            </w:pPr>
            <w:r>
              <w:rPr>
                <w:rFonts w:ascii="Verdana" w:cs="Verdana" w:eastAsia="Verdana" w:hAnsi="Verdana"/>
                <w:sz w:val="14"/>
                <w:szCs w:val="14"/>
                <w:color w:val="auto"/>
                <w:w w:val="98"/>
              </w:rPr>
              <w:t>Net</w:t>
            </w: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jc w:val="right"/>
              <w:ind w:right="244"/>
              <w:spacing w:after="0"/>
              <w:rPr>
                <w:sz w:val="20"/>
                <w:szCs w:val="20"/>
                <w:color w:val="auto"/>
              </w:rPr>
            </w:pPr>
            <w:r>
              <w:rPr>
                <w:rFonts w:ascii="Verdana" w:cs="Verdana" w:eastAsia="Verdana" w:hAnsi="Verdana"/>
                <w:sz w:val="14"/>
                <w:szCs w:val="14"/>
                <w:color w:val="auto"/>
              </w:rPr>
              <w:t>%</w:t>
            </w:r>
          </w:p>
        </w:tc>
        <w:tc>
          <w:tcPr>
            <w:tcW w:w="8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Verdana" w:cs="Verdana" w:eastAsia="Verdana" w:hAnsi="Verdana"/>
                <w:sz w:val="14"/>
                <w:szCs w:val="14"/>
                <w:color w:val="auto"/>
                <w:w w:val="99"/>
              </w:rPr>
              <w:t>Production</w:t>
            </w:r>
          </w:p>
        </w:tc>
      </w:tr>
      <w:tr>
        <w:trPr>
          <w:trHeight w:val="229"/>
        </w:trPr>
        <w:tc>
          <w:tcPr>
            <w:tcW w:w="2420" w:type="dxa"/>
            <w:vAlign w:val="bottom"/>
            <w:tcBorders>
              <w:bottom w:val="single" w:sz="8" w:color="214E93"/>
            </w:tcBorders>
          </w:tcPr>
          <w:p>
            <w:pPr>
              <w:spacing w:after="0"/>
              <w:rPr>
                <w:sz w:val="19"/>
                <w:szCs w:val="19"/>
                <w:color w:val="auto"/>
              </w:rPr>
            </w:pPr>
          </w:p>
        </w:tc>
        <w:tc>
          <w:tcPr>
            <w:tcW w:w="86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auto"/>
                <w:w w:val="98"/>
              </w:rPr>
              <w:t>Acreage</w:t>
            </w:r>
          </w:p>
        </w:tc>
        <w:tc>
          <w:tcPr>
            <w:tcW w:w="86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auto"/>
                <w:w w:val="98"/>
              </w:rPr>
              <w:t>Acreage</w:t>
            </w:r>
          </w:p>
        </w:tc>
        <w:tc>
          <w:tcPr>
            <w:tcW w:w="58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auto"/>
                <w:w w:val="94"/>
              </w:rPr>
              <w:t>Gross</w:t>
            </w:r>
          </w:p>
        </w:tc>
        <w:tc>
          <w:tcPr>
            <w:tcW w:w="720" w:type="dxa"/>
            <w:vAlign w:val="bottom"/>
            <w:tcBorders>
              <w:bottom w:val="single" w:sz="8" w:color="214E93"/>
            </w:tcBorders>
          </w:tcPr>
          <w:p>
            <w:pPr>
              <w:ind w:left="280"/>
              <w:spacing w:after="0"/>
              <w:rPr>
                <w:sz w:val="20"/>
                <w:szCs w:val="20"/>
                <w:color w:val="auto"/>
              </w:rPr>
            </w:pPr>
            <w:r>
              <w:rPr>
                <w:rFonts w:ascii="Verdana" w:cs="Verdana" w:eastAsia="Verdana" w:hAnsi="Verdana"/>
                <w:sz w:val="14"/>
                <w:szCs w:val="14"/>
                <w:color w:val="auto"/>
              </w:rPr>
              <w:t>Net</w:t>
            </w:r>
          </w:p>
        </w:tc>
        <w:tc>
          <w:tcPr>
            <w:tcW w:w="80" w:type="dxa"/>
            <w:vAlign w:val="bottom"/>
            <w:tcBorders>
              <w:bottom w:val="single" w:sz="8" w:color="214E93"/>
            </w:tcBorders>
          </w:tcPr>
          <w:p>
            <w:pPr>
              <w:spacing w:after="0"/>
              <w:rPr>
                <w:sz w:val="19"/>
                <w:szCs w:val="19"/>
                <w:color w:val="auto"/>
              </w:rPr>
            </w:pPr>
          </w:p>
        </w:tc>
        <w:tc>
          <w:tcPr>
            <w:tcW w:w="860" w:type="dxa"/>
            <w:vAlign w:val="bottom"/>
            <w:tcBorders>
              <w:bottom w:val="single" w:sz="8" w:color="214E93"/>
            </w:tcBorders>
          </w:tcPr>
          <w:p>
            <w:pPr>
              <w:jc w:val="right"/>
              <w:ind w:right="149"/>
              <w:spacing w:after="0"/>
              <w:rPr>
                <w:sz w:val="20"/>
                <w:szCs w:val="20"/>
                <w:color w:val="auto"/>
              </w:rPr>
            </w:pPr>
            <w:r>
              <w:rPr>
                <w:rFonts w:ascii="Verdana" w:cs="Verdana" w:eastAsia="Verdana" w:hAnsi="Verdana"/>
                <w:sz w:val="14"/>
                <w:szCs w:val="14"/>
                <w:color w:val="auto"/>
              </w:rPr>
              <w:t>Gross</w:t>
            </w:r>
          </w:p>
        </w:tc>
        <w:tc>
          <w:tcPr>
            <w:tcW w:w="580" w:type="dxa"/>
            <w:vAlign w:val="bottom"/>
            <w:tcBorders>
              <w:bottom w:val="single" w:sz="8" w:color="214E93"/>
            </w:tcBorders>
          </w:tcPr>
          <w:p>
            <w:pPr>
              <w:jc w:val="center"/>
              <w:ind w:left="23"/>
              <w:spacing w:after="0"/>
              <w:rPr>
                <w:sz w:val="20"/>
                <w:szCs w:val="20"/>
                <w:color w:val="auto"/>
              </w:rPr>
            </w:pPr>
            <w:r>
              <w:rPr>
                <w:rFonts w:ascii="Verdana" w:cs="Verdana" w:eastAsia="Verdana" w:hAnsi="Verdana"/>
                <w:sz w:val="14"/>
                <w:szCs w:val="14"/>
                <w:color w:val="auto"/>
                <w:w w:val="98"/>
              </w:rPr>
              <w:t>Net</w:t>
            </w:r>
          </w:p>
        </w:tc>
        <w:tc>
          <w:tcPr>
            <w:tcW w:w="80" w:type="dxa"/>
            <w:vAlign w:val="bottom"/>
            <w:tcBorders>
              <w:bottom w:val="single" w:sz="8" w:color="214E93"/>
            </w:tcBorders>
          </w:tcPr>
          <w:p>
            <w:pPr>
              <w:spacing w:after="0"/>
              <w:rPr>
                <w:sz w:val="19"/>
                <w:szCs w:val="19"/>
                <w:color w:val="auto"/>
              </w:rPr>
            </w:pPr>
          </w:p>
        </w:tc>
        <w:tc>
          <w:tcPr>
            <w:tcW w:w="76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auto"/>
                <w:w w:val="91"/>
              </w:rPr>
              <w:t>MBOE</w:t>
            </w:r>
            <w:r>
              <w:rPr>
                <w:rFonts w:ascii="Verdana" w:cs="Verdana" w:eastAsia="Verdana" w:hAnsi="Verdana"/>
                <w:sz w:val="17"/>
                <w:szCs w:val="17"/>
                <w:color w:val="auto"/>
                <w:w w:val="91"/>
                <w:vertAlign w:val="superscript"/>
              </w:rPr>
              <w:t>(3)</w:t>
            </w:r>
          </w:p>
        </w:tc>
        <w:tc>
          <w:tcPr>
            <w:tcW w:w="880" w:type="dxa"/>
            <w:vAlign w:val="bottom"/>
            <w:tcBorders>
              <w:bottom w:val="single" w:sz="8" w:color="214E93"/>
            </w:tcBorders>
          </w:tcPr>
          <w:p>
            <w:pPr>
              <w:jc w:val="right"/>
              <w:spacing w:after="0"/>
              <w:rPr>
                <w:sz w:val="20"/>
                <w:szCs w:val="20"/>
                <w:color w:val="auto"/>
              </w:rPr>
            </w:pPr>
            <w:r>
              <w:rPr>
                <w:rFonts w:ascii="Verdana" w:cs="Verdana" w:eastAsia="Verdana" w:hAnsi="Verdana"/>
                <w:sz w:val="14"/>
                <w:szCs w:val="14"/>
                <w:color w:val="auto"/>
              </w:rPr>
              <w:t>Developed</w:t>
            </w:r>
          </w:p>
        </w:tc>
        <w:tc>
          <w:tcPr>
            <w:tcW w:w="80" w:type="dxa"/>
            <w:vAlign w:val="bottom"/>
            <w:tcBorders>
              <w:bottom w:val="single" w:sz="8" w:color="214E93"/>
            </w:tcBorders>
          </w:tcPr>
          <w:p>
            <w:pPr>
              <w:spacing w:after="0"/>
              <w:rPr>
                <w:sz w:val="19"/>
                <w:szCs w:val="19"/>
                <w:color w:val="auto"/>
              </w:rPr>
            </w:pPr>
          </w:p>
        </w:tc>
        <w:tc>
          <w:tcPr>
            <w:tcW w:w="800" w:type="dxa"/>
            <w:vAlign w:val="bottom"/>
            <w:tcBorders>
              <w:bottom w:val="single" w:sz="8" w:color="214E93"/>
            </w:tcBorders>
          </w:tcPr>
          <w:p>
            <w:pPr>
              <w:ind w:left="60"/>
              <w:spacing w:after="0"/>
              <w:rPr>
                <w:sz w:val="20"/>
                <w:szCs w:val="20"/>
                <w:color w:val="auto"/>
              </w:rPr>
            </w:pPr>
            <w:r>
              <w:rPr>
                <w:rFonts w:ascii="Verdana" w:cs="Verdana" w:eastAsia="Verdana" w:hAnsi="Verdana"/>
                <w:sz w:val="14"/>
                <w:szCs w:val="14"/>
                <w:color w:val="auto"/>
                <w:w w:val="96"/>
              </w:rPr>
              <w:t>(BOE/d)</w:t>
            </w:r>
            <w:r>
              <w:rPr>
                <w:rFonts w:ascii="Verdana" w:cs="Verdana" w:eastAsia="Verdana" w:hAnsi="Verdana"/>
                <w:sz w:val="17"/>
                <w:szCs w:val="17"/>
                <w:color w:val="auto"/>
                <w:w w:val="96"/>
                <w:vertAlign w:val="superscript"/>
              </w:rPr>
              <w:t>(3)</w:t>
            </w:r>
          </w:p>
        </w:tc>
      </w:tr>
      <w:tr>
        <w:trPr>
          <w:trHeight w:val="191"/>
        </w:trPr>
        <w:tc>
          <w:tcPr>
            <w:tcW w:w="2420" w:type="dxa"/>
            <w:vAlign w:val="bottom"/>
          </w:tcPr>
          <w:p>
            <w:pPr>
              <w:ind w:left="40"/>
              <w:spacing w:after="0" w:line="191" w:lineRule="exact"/>
              <w:rPr>
                <w:sz w:val="20"/>
                <w:szCs w:val="20"/>
                <w:color w:val="auto"/>
              </w:rPr>
            </w:pPr>
            <w:r>
              <w:rPr>
                <w:rFonts w:ascii="Verdana" w:cs="Verdana" w:eastAsia="Verdana" w:hAnsi="Verdana"/>
                <w:sz w:val="16"/>
                <w:szCs w:val="16"/>
                <w:color w:val="auto"/>
              </w:rPr>
              <w:t>Southeast New Mexico/West</w:t>
            </w: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1"/>
        </w:trPr>
        <w:tc>
          <w:tcPr>
            <w:tcW w:w="2420" w:type="dxa"/>
            <w:vAlign w:val="bottom"/>
          </w:tcPr>
          <w:p>
            <w:pPr>
              <w:ind w:left="40"/>
              <w:spacing w:after="0"/>
              <w:rPr>
                <w:sz w:val="20"/>
                <w:szCs w:val="20"/>
                <w:color w:val="auto"/>
              </w:rPr>
            </w:pPr>
            <w:r>
              <w:rPr>
                <w:rFonts w:ascii="Verdana" w:cs="Verdana" w:eastAsia="Verdana" w:hAnsi="Verdana"/>
                <w:sz w:val="16"/>
                <w:szCs w:val="16"/>
                <w:color w:val="auto"/>
              </w:rPr>
              <w:t>Texas:</w:t>
            </w: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61"/>
        </w:trPr>
        <w:tc>
          <w:tcPr>
            <w:tcW w:w="2420" w:type="dxa"/>
            <w:vAlign w:val="bottom"/>
          </w:tcPr>
          <w:p>
            <w:pPr>
              <w:ind w:left="160"/>
              <w:spacing w:after="0"/>
              <w:rPr>
                <w:sz w:val="20"/>
                <w:szCs w:val="20"/>
                <w:color w:val="auto"/>
              </w:rPr>
            </w:pPr>
            <w:r>
              <w:rPr>
                <w:rFonts w:ascii="Verdana" w:cs="Verdana" w:eastAsia="Verdana" w:hAnsi="Verdana"/>
                <w:sz w:val="16"/>
                <w:szCs w:val="16"/>
                <w:color w:val="auto"/>
              </w:rPr>
              <w:t>Delaware Basin</w:t>
            </w:r>
            <w:r>
              <w:rPr>
                <w:rFonts w:ascii="Verdana" w:cs="Verdana" w:eastAsia="Verdana" w:hAnsi="Verdana"/>
                <w:sz w:val="20"/>
                <w:szCs w:val="20"/>
                <w:color w:val="auto"/>
                <w:vertAlign w:val="superscript"/>
              </w:rPr>
              <w:t>(4)</w:t>
            </w:r>
          </w:p>
        </w:tc>
        <w:tc>
          <w:tcPr>
            <w:tcW w:w="860" w:type="dxa"/>
            <w:vAlign w:val="bottom"/>
          </w:tcPr>
          <w:p>
            <w:pPr>
              <w:jc w:val="center"/>
              <w:spacing w:after="0"/>
              <w:rPr>
                <w:sz w:val="20"/>
                <w:szCs w:val="20"/>
                <w:color w:val="auto"/>
              </w:rPr>
            </w:pPr>
            <w:r>
              <w:rPr>
                <w:rFonts w:ascii="Verdana" w:cs="Verdana" w:eastAsia="Verdana" w:hAnsi="Verdana"/>
                <w:sz w:val="16"/>
                <w:szCs w:val="16"/>
                <w:color w:val="214E93"/>
                <w:w w:val="98"/>
              </w:rPr>
              <w:t>354,600</w:t>
            </w:r>
          </w:p>
        </w:tc>
        <w:tc>
          <w:tcPr>
            <w:tcW w:w="860" w:type="dxa"/>
            <w:vAlign w:val="bottom"/>
          </w:tcPr>
          <w:p>
            <w:pPr>
              <w:jc w:val="center"/>
              <w:spacing w:after="0"/>
              <w:rPr>
                <w:sz w:val="20"/>
                <w:szCs w:val="20"/>
                <w:color w:val="auto"/>
              </w:rPr>
            </w:pPr>
            <w:r>
              <w:rPr>
                <w:rFonts w:ascii="Verdana" w:cs="Verdana" w:eastAsia="Verdana" w:hAnsi="Verdana"/>
                <w:sz w:val="16"/>
                <w:szCs w:val="16"/>
                <w:color w:val="214E93"/>
                <w:w w:val="95"/>
              </w:rPr>
              <w:t>212,500</w:t>
            </w:r>
          </w:p>
        </w:tc>
        <w:tc>
          <w:tcPr>
            <w:tcW w:w="580" w:type="dxa"/>
            <w:vAlign w:val="bottom"/>
          </w:tcPr>
          <w:p>
            <w:pPr>
              <w:jc w:val="center"/>
              <w:spacing w:after="0"/>
              <w:rPr>
                <w:sz w:val="20"/>
                <w:szCs w:val="20"/>
                <w:color w:val="auto"/>
              </w:rPr>
            </w:pPr>
            <w:r>
              <w:rPr>
                <w:rFonts w:ascii="Verdana" w:cs="Verdana" w:eastAsia="Verdana" w:hAnsi="Verdana"/>
                <w:sz w:val="16"/>
                <w:szCs w:val="16"/>
                <w:color w:val="214E93"/>
                <w:w w:val="98"/>
              </w:rPr>
              <w:t>2,179</w:t>
            </w:r>
          </w:p>
        </w:tc>
        <w:tc>
          <w:tcPr>
            <w:tcW w:w="720" w:type="dxa"/>
            <w:vAlign w:val="bottom"/>
          </w:tcPr>
          <w:p>
            <w:pPr>
              <w:jc w:val="center"/>
              <w:spacing w:after="0"/>
              <w:rPr>
                <w:sz w:val="20"/>
                <w:szCs w:val="20"/>
                <w:color w:val="auto"/>
              </w:rPr>
            </w:pPr>
            <w:r>
              <w:rPr>
                <w:rFonts w:ascii="Verdana" w:cs="Verdana" w:eastAsia="Verdana" w:hAnsi="Verdana"/>
                <w:sz w:val="16"/>
                <w:szCs w:val="16"/>
                <w:color w:val="214E93"/>
                <w:w w:val="98"/>
              </w:rPr>
              <w:t>1,137.1</w:t>
            </w:r>
          </w:p>
        </w:tc>
        <w:tc>
          <w:tcPr>
            <w:tcW w:w="940" w:type="dxa"/>
            <w:vAlign w:val="bottom"/>
            <w:gridSpan w:val="2"/>
          </w:tcPr>
          <w:p>
            <w:pPr>
              <w:jc w:val="right"/>
              <w:ind w:right="29"/>
              <w:spacing w:after="0"/>
              <w:rPr>
                <w:sz w:val="20"/>
                <w:szCs w:val="20"/>
                <w:color w:val="auto"/>
              </w:rPr>
            </w:pPr>
            <w:r>
              <w:rPr>
                <w:rFonts w:ascii="Verdana" w:cs="Verdana" w:eastAsia="Verdana" w:hAnsi="Verdana"/>
                <w:sz w:val="16"/>
                <w:szCs w:val="16"/>
                <w:color w:val="214E93"/>
              </w:rPr>
              <w:t>5,295</w:t>
            </w:r>
          </w:p>
        </w:tc>
        <w:tc>
          <w:tcPr>
            <w:tcW w:w="580" w:type="dxa"/>
            <w:vAlign w:val="bottom"/>
          </w:tcPr>
          <w:p>
            <w:pPr>
              <w:jc w:val="center"/>
              <w:ind w:left="3"/>
              <w:spacing w:after="0"/>
              <w:rPr>
                <w:sz w:val="20"/>
                <w:szCs w:val="20"/>
                <w:color w:val="auto"/>
              </w:rPr>
            </w:pPr>
            <w:r>
              <w:rPr>
                <w:rFonts w:ascii="Verdana" w:cs="Verdana" w:eastAsia="Verdana" w:hAnsi="Verdana"/>
                <w:sz w:val="16"/>
                <w:szCs w:val="16"/>
                <w:color w:val="214E93"/>
                <w:w w:val="98"/>
              </w:rPr>
              <w:t>1,802</w:t>
            </w:r>
          </w:p>
        </w:tc>
        <w:tc>
          <w:tcPr>
            <w:tcW w:w="840" w:type="dxa"/>
            <w:vAlign w:val="bottom"/>
            <w:gridSpan w:val="2"/>
          </w:tcPr>
          <w:p>
            <w:pPr>
              <w:jc w:val="center"/>
              <w:ind w:left="1"/>
              <w:spacing w:after="0"/>
              <w:rPr>
                <w:sz w:val="20"/>
                <w:szCs w:val="20"/>
                <w:color w:val="auto"/>
              </w:rPr>
            </w:pPr>
            <w:r>
              <w:rPr>
                <w:rFonts w:ascii="Verdana" w:cs="Verdana" w:eastAsia="Verdana" w:hAnsi="Verdana"/>
                <w:sz w:val="16"/>
                <w:szCs w:val="16"/>
                <w:color w:val="214E93"/>
                <w:w w:val="95"/>
              </w:rPr>
              <w:t>662,248</w:t>
            </w:r>
          </w:p>
        </w:tc>
        <w:tc>
          <w:tcPr>
            <w:tcW w:w="880" w:type="dxa"/>
            <w:vAlign w:val="bottom"/>
          </w:tcPr>
          <w:p>
            <w:pPr>
              <w:jc w:val="right"/>
              <w:ind w:right="4"/>
              <w:spacing w:after="0"/>
              <w:rPr>
                <w:sz w:val="20"/>
                <w:szCs w:val="20"/>
                <w:color w:val="auto"/>
              </w:rPr>
            </w:pPr>
            <w:r>
              <w:rPr>
                <w:rFonts w:ascii="Verdana" w:cs="Verdana" w:eastAsia="Verdana" w:hAnsi="Verdana"/>
                <w:sz w:val="16"/>
                <w:szCs w:val="16"/>
                <w:color w:val="214E93"/>
              </w:rPr>
              <w:t>60.9</w:t>
            </w:r>
          </w:p>
        </w:tc>
        <w:tc>
          <w:tcPr>
            <w:tcW w:w="880" w:type="dxa"/>
            <w:vAlign w:val="bottom"/>
            <w:gridSpan w:val="2"/>
          </w:tcPr>
          <w:p>
            <w:pPr>
              <w:jc w:val="right"/>
              <w:ind w:right="7"/>
              <w:spacing w:after="0"/>
              <w:rPr>
                <w:sz w:val="20"/>
                <w:szCs w:val="20"/>
                <w:color w:val="auto"/>
              </w:rPr>
            </w:pPr>
            <w:r>
              <w:rPr>
                <w:rFonts w:ascii="Verdana" w:cs="Verdana" w:eastAsia="Verdana" w:hAnsi="Verdana"/>
                <w:sz w:val="16"/>
                <w:szCs w:val="16"/>
                <w:color w:val="214E93"/>
              </w:rPr>
              <w:t>203,330</w:t>
            </w:r>
          </w:p>
        </w:tc>
      </w:tr>
      <w:tr>
        <w:trPr>
          <w:trHeight w:val="211"/>
        </w:trPr>
        <w:tc>
          <w:tcPr>
            <w:tcW w:w="2420" w:type="dxa"/>
            <w:vAlign w:val="bottom"/>
          </w:tcPr>
          <w:p>
            <w:pPr>
              <w:ind w:left="40"/>
              <w:spacing w:after="0"/>
              <w:rPr>
                <w:sz w:val="20"/>
                <w:szCs w:val="20"/>
                <w:color w:val="auto"/>
              </w:rPr>
            </w:pPr>
            <w:r>
              <w:rPr>
                <w:rFonts w:ascii="Verdana" w:cs="Verdana" w:eastAsia="Verdana" w:hAnsi="Verdana"/>
                <w:sz w:val="16"/>
                <w:szCs w:val="16"/>
                <w:color w:val="auto"/>
              </w:rPr>
              <w:t>South Texas:</w:t>
            </w: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61"/>
        </w:trPr>
        <w:tc>
          <w:tcPr>
            <w:tcW w:w="2420" w:type="dxa"/>
            <w:vAlign w:val="bottom"/>
          </w:tcPr>
          <w:p>
            <w:pPr>
              <w:ind w:left="160"/>
              <w:spacing w:after="0"/>
              <w:rPr>
                <w:sz w:val="20"/>
                <w:szCs w:val="20"/>
                <w:color w:val="auto"/>
              </w:rPr>
            </w:pPr>
            <w:r>
              <w:rPr>
                <w:rFonts w:ascii="Verdana" w:cs="Verdana" w:eastAsia="Verdana" w:hAnsi="Verdana"/>
                <w:sz w:val="16"/>
                <w:szCs w:val="16"/>
                <w:color w:val="auto"/>
              </w:rPr>
              <w:t>Eagle Ford</w:t>
            </w:r>
            <w:r>
              <w:rPr>
                <w:rFonts w:ascii="Verdana" w:cs="Verdana" w:eastAsia="Verdana" w:hAnsi="Verdana"/>
                <w:sz w:val="20"/>
                <w:szCs w:val="20"/>
                <w:color w:val="auto"/>
                <w:vertAlign w:val="superscript"/>
              </w:rPr>
              <w:t>(5)</w:t>
            </w:r>
          </w:p>
        </w:tc>
        <w:tc>
          <w:tcPr>
            <w:tcW w:w="860" w:type="dxa"/>
            <w:vAlign w:val="bottom"/>
          </w:tcPr>
          <w:p>
            <w:pPr>
              <w:jc w:val="center"/>
              <w:spacing w:after="0"/>
              <w:rPr>
                <w:sz w:val="20"/>
                <w:szCs w:val="20"/>
                <w:color w:val="auto"/>
              </w:rPr>
            </w:pPr>
            <w:r>
              <w:rPr>
                <w:rFonts w:ascii="Verdana" w:cs="Verdana" w:eastAsia="Verdana" w:hAnsi="Verdana"/>
                <w:sz w:val="16"/>
                <w:szCs w:val="16"/>
                <w:color w:val="214E93"/>
                <w:w w:val="99"/>
              </w:rPr>
              <w:t>—</w:t>
            </w:r>
          </w:p>
        </w:tc>
        <w:tc>
          <w:tcPr>
            <w:tcW w:w="860" w:type="dxa"/>
            <w:vAlign w:val="bottom"/>
          </w:tcPr>
          <w:p>
            <w:pPr>
              <w:jc w:val="center"/>
              <w:spacing w:after="0"/>
              <w:rPr>
                <w:sz w:val="20"/>
                <w:szCs w:val="20"/>
                <w:color w:val="auto"/>
              </w:rPr>
            </w:pPr>
            <w:r>
              <w:rPr>
                <w:rFonts w:ascii="Verdana" w:cs="Verdana" w:eastAsia="Verdana" w:hAnsi="Verdana"/>
                <w:sz w:val="16"/>
                <w:szCs w:val="16"/>
                <w:color w:val="214E93"/>
                <w:w w:val="99"/>
              </w:rPr>
              <w:t>—</w:t>
            </w:r>
          </w:p>
        </w:tc>
        <w:tc>
          <w:tcPr>
            <w:tcW w:w="580" w:type="dxa"/>
            <w:vAlign w:val="bottom"/>
          </w:tcPr>
          <w:p>
            <w:pPr>
              <w:jc w:val="center"/>
              <w:spacing w:after="0"/>
              <w:rPr>
                <w:sz w:val="20"/>
                <w:szCs w:val="20"/>
                <w:color w:val="auto"/>
              </w:rPr>
            </w:pPr>
            <w:r>
              <w:rPr>
                <w:rFonts w:ascii="Verdana" w:cs="Verdana" w:eastAsia="Verdana" w:hAnsi="Verdana"/>
                <w:sz w:val="16"/>
                <w:szCs w:val="16"/>
                <w:color w:val="214E93"/>
                <w:w w:val="86"/>
              </w:rPr>
              <w:t>—</w:t>
            </w:r>
          </w:p>
        </w:tc>
        <w:tc>
          <w:tcPr>
            <w:tcW w:w="720" w:type="dxa"/>
            <w:vAlign w:val="bottom"/>
          </w:tcPr>
          <w:p>
            <w:pPr>
              <w:jc w:val="center"/>
              <w:ind w:left="3"/>
              <w:spacing w:after="0"/>
              <w:rPr>
                <w:sz w:val="20"/>
                <w:szCs w:val="20"/>
                <w:color w:val="auto"/>
              </w:rPr>
            </w:pPr>
            <w:r>
              <w:rPr>
                <w:rFonts w:ascii="Verdana" w:cs="Verdana" w:eastAsia="Verdana" w:hAnsi="Verdana"/>
                <w:sz w:val="16"/>
                <w:szCs w:val="16"/>
                <w:color w:val="214E93"/>
                <w:w w:val="99"/>
              </w:rPr>
              <w:t>—</w:t>
            </w:r>
          </w:p>
        </w:tc>
        <w:tc>
          <w:tcPr>
            <w:tcW w:w="80" w:type="dxa"/>
            <w:vAlign w:val="bottom"/>
          </w:tcPr>
          <w:p>
            <w:pPr>
              <w:spacing w:after="0"/>
              <w:rPr>
                <w:sz w:val="22"/>
                <w:szCs w:val="22"/>
                <w:color w:val="auto"/>
              </w:rPr>
            </w:pPr>
          </w:p>
        </w:tc>
        <w:tc>
          <w:tcPr>
            <w:tcW w:w="860" w:type="dxa"/>
            <w:vAlign w:val="bottom"/>
          </w:tcPr>
          <w:p>
            <w:pPr>
              <w:jc w:val="right"/>
              <w:ind w:right="269"/>
              <w:spacing w:after="0"/>
              <w:rPr>
                <w:sz w:val="20"/>
                <w:szCs w:val="20"/>
                <w:color w:val="auto"/>
              </w:rPr>
            </w:pPr>
            <w:r>
              <w:rPr>
                <w:rFonts w:ascii="Verdana" w:cs="Verdana" w:eastAsia="Verdana" w:hAnsi="Verdana"/>
                <w:sz w:val="16"/>
                <w:szCs w:val="16"/>
                <w:color w:val="214E93"/>
              </w:rPr>
              <w:t>—</w:t>
            </w:r>
          </w:p>
        </w:tc>
        <w:tc>
          <w:tcPr>
            <w:tcW w:w="580" w:type="dxa"/>
            <w:vAlign w:val="bottom"/>
          </w:tcPr>
          <w:p>
            <w:pPr>
              <w:jc w:val="center"/>
              <w:ind w:left="23"/>
              <w:spacing w:after="0"/>
              <w:rPr>
                <w:sz w:val="20"/>
                <w:szCs w:val="20"/>
                <w:color w:val="auto"/>
              </w:rPr>
            </w:pPr>
            <w:r>
              <w:rPr>
                <w:rFonts w:ascii="Verdana" w:cs="Verdana" w:eastAsia="Verdana" w:hAnsi="Verdana"/>
                <w:sz w:val="16"/>
                <w:szCs w:val="16"/>
                <w:color w:val="214E93"/>
                <w:w w:val="99"/>
              </w:rPr>
              <w:t>—</w:t>
            </w:r>
          </w:p>
        </w:tc>
        <w:tc>
          <w:tcPr>
            <w:tcW w:w="8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Verdana" w:cs="Verdana" w:eastAsia="Verdana" w:hAnsi="Verdana"/>
                <w:sz w:val="16"/>
                <w:szCs w:val="16"/>
                <w:color w:val="214E93"/>
                <w:w w:val="99"/>
              </w:rPr>
              <w:t>—</w:t>
            </w:r>
          </w:p>
        </w:tc>
        <w:tc>
          <w:tcPr>
            <w:tcW w:w="880" w:type="dxa"/>
            <w:vAlign w:val="bottom"/>
          </w:tcPr>
          <w:p>
            <w:pPr>
              <w:jc w:val="right"/>
              <w:ind w:right="244"/>
              <w:spacing w:after="0"/>
              <w:rPr>
                <w:sz w:val="20"/>
                <w:szCs w:val="20"/>
                <w:color w:val="auto"/>
              </w:rPr>
            </w:pPr>
            <w:r>
              <w:rPr>
                <w:rFonts w:ascii="Verdana" w:cs="Verdana" w:eastAsia="Verdana" w:hAnsi="Verdana"/>
                <w:sz w:val="16"/>
                <w:szCs w:val="16"/>
                <w:color w:val="214E93"/>
              </w:rPr>
              <w:t>—</w:t>
            </w:r>
          </w:p>
        </w:tc>
        <w:tc>
          <w:tcPr>
            <w:tcW w:w="880" w:type="dxa"/>
            <w:vAlign w:val="bottom"/>
            <w:gridSpan w:val="2"/>
          </w:tcPr>
          <w:p>
            <w:pPr>
              <w:jc w:val="right"/>
              <w:ind w:right="7"/>
              <w:spacing w:after="0"/>
              <w:rPr>
                <w:sz w:val="20"/>
                <w:szCs w:val="20"/>
                <w:color w:val="auto"/>
              </w:rPr>
            </w:pPr>
            <w:r>
              <w:rPr>
                <w:rFonts w:ascii="Verdana" w:cs="Verdana" w:eastAsia="Verdana" w:hAnsi="Verdana"/>
                <w:sz w:val="16"/>
                <w:szCs w:val="16"/>
                <w:color w:val="214E93"/>
              </w:rPr>
              <w:t>105</w:t>
            </w:r>
          </w:p>
        </w:tc>
      </w:tr>
      <w:tr>
        <w:trPr>
          <w:trHeight w:val="211"/>
        </w:trPr>
        <w:tc>
          <w:tcPr>
            <w:tcW w:w="2420" w:type="dxa"/>
            <w:vAlign w:val="bottom"/>
          </w:tcPr>
          <w:p>
            <w:pPr>
              <w:ind w:left="40"/>
              <w:spacing w:after="0"/>
              <w:rPr>
                <w:sz w:val="20"/>
                <w:szCs w:val="20"/>
                <w:color w:val="auto"/>
              </w:rPr>
            </w:pPr>
            <w:r>
              <w:rPr>
                <w:rFonts w:ascii="Verdana" w:cs="Verdana" w:eastAsia="Verdana" w:hAnsi="Verdana"/>
                <w:sz w:val="16"/>
                <w:szCs w:val="16"/>
                <w:color w:val="auto"/>
              </w:rPr>
              <w:t>Northwest Louisiana</w:t>
            </w: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6"/>
        </w:trPr>
        <w:tc>
          <w:tcPr>
            <w:tcW w:w="2420" w:type="dxa"/>
            <w:vAlign w:val="bottom"/>
          </w:tcPr>
          <w:p>
            <w:pPr>
              <w:ind w:left="160"/>
              <w:spacing w:after="0"/>
              <w:rPr>
                <w:sz w:val="20"/>
                <w:szCs w:val="20"/>
                <w:color w:val="auto"/>
              </w:rPr>
            </w:pPr>
            <w:r>
              <w:rPr>
                <w:rFonts w:ascii="Verdana" w:cs="Verdana" w:eastAsia="Verdana" w:hAnsi="Verdana"/>
                <w:sz w:val="16"/>
                <w:szCs w:val="16"/>
                <w:color w:val="auto"/>
              </w:rPr>
              <w:t>Haynesville</w:t>
            </w:r>
          </w:p>
        </w:tc>
        <w:tc>
          <w:tcPr>
            <w:tcW w:w="860" w:type="dxa"/>
            <w:vAlign w:val="bottom"/>
          </w:tcPr>
          <w:p>
            <w:pPr>
              <w:jc w:val="center"/>
              <w:spacing w:after="0"/>
              <w:rPr>
                <w:sz w:val="20"/>
                <w:szCs w:val="20"/>
                <w:color w:val="auto"/>
              </w:rPr>
            </w:pPr>
            <w:r>
              <w:rPr>
                <w:rFonts w:ascii="Verdana" w:cs="Verdana" w:eastAsia="Verdana" w:hAnsi="Verdana"/>
                <w:sz w:val="16"/>
                <w:szCs w:val="16"/>
                <w:color w:val="214E93"/>
                <w:w w:val="98"/>
              </w:rPr>
              <w:t>16,200</w:t>
            </w:r>
          </w:p>
        </w:tc>
        <w:tc>
          <w:tcPr>
            <w:tcW w:w="860" w:type="dxa"/>
            <w:vAlign w:val="bottom"/>
          </w:tcPr>
          <w:p>
            <w:pPr>
              <w:jc w:val="right"/>
              <w:ind w:right="84"/>
              <w:spacing w:after="0"/>
              <w:rPr>
                <w:sz w:val="20"/>
                <w:szCs w:val="20"/>
                <w:color w:val="auto"/>
              </w:rPr>
            </w:pPr>
            <w:r>
              <w:rPr>
                <w:rFonts w:ascii="Verdana" w:cs="Verdana" w:eastAsia="Verdana" w:hAnsi="Verdana"/>
                <w:sz w:val="16"/>
                <w:szCs w:val="16"/>
                <w:color w:val="214E93"/>
              </w:rPr>
              <w:t>8,900</w:t>
            </w:r>
          </w:p>
        </w:tc>
        <w:tc>
          <w:tcPr>
            <w:tcW w:w="580" w:type="dxa"/>
            <w:vAlign w:val="bottom"/>
          </w:tcPr>
          <w:p>
            <w:pPr>
              <w:jc w:val="right"/>
              <w:ind w:right="45"/>
              <w:spacing w:after="0"/>
              <w:rPr>
                <w:sz w:val="20"/>
                <w:szCs w:val="20"/>
                <w:color w:val="auto"/>
              </w:rPr>
            </w:pPr>
            <w:r>
              <w:rPr>
                <w:rFonts w:ascii="Verdana" w:cs="Verdana" w:eastAsia="Verdana" w:hAnsi="Verdana"/>
                <w:sz w:val="16"/>
                <w:szCs w:val="16"/>
                <w:color w:val="214E93"/>
              </w:rPr>
              <w:t>279</w:t>
            </w:r>
          </w:p>
        </w:tc>
        <w:tc>
          <w:tcPr>
            <w:tcW w:w="720" w:type="dxa"/>
            <w:vAlign w:val="bottom"/>
          </w:tcPr>
          <w:p>
            <w:pPr>
              <w:ind w:left="280"/>
              <w:spacing w:after="0"/>
              <w:rPr>
                <w:sz w:val="20"/>
                <w:szCs w:val="20"/>
                <w:color w:val="auto"/>
              </w:rPr>
            </w:pPr>
            <w:r>
              <w:rPr>
                <w:rFonts w:ascii="Verdana" w:cs="Verdana" w:eastAsia="Verdana" w:hAnsi="Verdana"/>
                <w:sz w:val="16"/>
                <w:szCs w:val="16"/>
                <w:color w:val="214E93"/>
              </w:rPr>
              <w:t>18.5</w:t>
            </w:r>
          </w:p>
        </w:tc>
        <w:tc>
          <w:tcPr>
            <w:tcW w:w="940" w:type="dxa"/>
            <w:vAlign w:val="bottom"/>
            <w:gridSpan w:val="2"/>
          </w:tcPr>
          <w:p>
            <w:pPr>
              <w:jc w:val="right"/>
              <w:ind w:right="29"/>
              <w:spacing w:after="0"/>
              <w:rPr>
                <w:sz w:val="20"/>
                <w:szCs w:val="20"/>
                <w:color w:val="auto"/>
              </w:rPr>
            </w:pPr>
            <w:r>
              <w:rPr>
                <w:rFonts w:ascii="Verdana" w:cs="Verdana" w:eastAsia="Verdana" w:hAnsi="Verdana"/>
                <w:sz w:val="16"/>
                <w:szCs w:val="16"/>
                <w:color w:val="214E93"/>
              </w:rPr>
              <w:t>129</w:t>
            </w:r>
          </w:p>
        </w:tc>
        <w:tc>
          <w:tcPr>
            <w:tcW w:w="580" w:type="dxa"/>
            <w:vAlign w:val="bottom"/>
          </w:tcPr>
          <w:p>
            <w:pPr>
              <w:jc w:val="right"/>
              <w:ind w:right="3"/>
              <w:spacing w:after="0"/>
              <w:rPr>
                <w:sz w:val="20"/>
                <w:szCs w:val="20"/>
                <w:color w:val="auto"/>
              </w:rPr>
            </w:pPr>
            <w:r>
              <w:rPr>
                <w:rFonts w:ascii="Verdana" w:cs="Verdana" w:eastAsia="Verdana" w:hAnsi="Verdana"/>
                <w:sz w:val="16"/>
                <w:szCs w:val="16"/>
                <w:color w:val="214E93"/>
              </w:rPr>
              <w:t>13</w:t>
            </w:r>
          </w:p>
        </w:tc>
        <w:tc>
          <w:tcPr>
            <w:tcW w:w="840" w:type="dxa"/>
            <w:vAlign w:val="bottom"/>
            <w:gridSpan w:val="2"/>
          </w:tcPr>
          <w:p>
            <w:pPr>
              <w:jc w:val="right"/>
              <w:ind w:right="29"/>
              <w:spacing w:after="0"/>
              <w:rPr>
                <w:sz w:val="20"/>
                <w:szCs w:val="20"/>
                <w:color w:val="auto"/>
              </w:rPr>
            </w:pPr>
            <w:r>
              <w:rPr>
                <w:rFonts w:ascii="Verdana" w:cs="Verdana" w:eastAsia="Verdana" w:hAnsi="Verdana"/>
                <w:sz w:val="16"/>
                <w:szCs w:val="16"/>
                <w:color w:val="214E93"/>
              </w:rPr>
              <w:t>4,302</w:t>
            </w:r>
          </w:p>
        </w:tc>
        <w:tc>
          <w:tcPr>
            <w:tcW w:w="880" w:type="dxa"/>
            <w:vAlign w:val="bottom"/>
          </w:tcPr>
          <w:p>
            <w:pPr>
              <w:jc w:val="right"/>
              <w:ind w:right="4"/>
              <w:spacing w:after="0"/>
              <w:rPr>
                <w:sz w:val="20"/>
                <w:szCs w:val="20"/>
                <w:color w:val="auto"/>
              </w:rPr>
            </w:pPr>
            <w:r>
              <w:rPr>
                <w:rFonts w:ascii="Verdana" w:cs="Verdana" w:eastAsia="Verdana" w:hAnsi="Verdana"/>
                <w:sz w:val="16"/>
                <w:szCs w:val="16"/>
                <w:color w:val="214E93"/>
              </w:rPr>
              <w:t>100.0</w:t>
            </w:r>
          </w:p>
        </w:tc>
        <w:tc>
          <w:tcPr>
            <w:tcW w:w="880" w:type="dxa"/>
            <w:vAlign w:val="bottom"/>
            <w:gridSpan w:val="2"/>
          </w:tcPr>
          <w:p>
            <w:pPr>
              <w:jc w:val="right"/>
              <w:ind w:right="7"/>
              <w:spacing w:after="0"/>
              <w:rPr>
                <w:sz w:val="20"/>
                <w:szCs w:val="20"/>
                <w:color w:val="auto"/>
              </w:rPr>
            </w:pPr>
            <w:r>
              <w:rPr>
                <w:rFonts w:ascii="Verdana" w:cs="Verdana" w:eastAsia="Verdana" w:hAnsi="Verdana"/>
                <w:sz w:val="16"/>
                <w:szCs w:val="16"/>
                <w:color w:val="214E93"/>
              </w:rPr>
              <w:t>3,534</w:t>
            </w:r>
          </w:p>
        </w:tc>
      </w:tr>
      <w:tr>
        <w:trPr>
          <w:trHeight w:val="247"/>
        </w:trPr>
        <w:tc>
          <w:tcPr>
            <w:tcW w:w="2420" w:type="dxa"/>
            <w:vAlign w:val="bottom"/>
            <w:tcBorders>
              <w:bottom w:val="single" w:sz="8" w:color="auto"/>
            </w:tcBorders>
          </w:tcPr>
          <w:p>
            <w:pPr>
              <w:ind w:left="160"/>
              <w:spacing w:after="0"/>
              <w:rPr>
                <w:sz w:val="20"/>
                <w:szCs w:val="20"/>
                <w:color w:val="auto"/>
              </w:rPr>
            </w:pPr>
            <w:r>
              <w:rPr>
                <w:rFonts w:ascii="Verdana" w:cs="Verdana" w:eastAsia="Verdana" w:hAnsi="Verdana"/>
                <w:sz w:val="16"/>
                <w:szCs w:val="16"/>
                <w:color w:val="auto"/>
              </w:rPr>
              <w:t>Cotton Valley</w:t>
            </w:r>
            <w:r>
              <w:rPr>
                <w:rFonts w:ascii="Verdana" w:cs="Verdana" w:eastAsia="Verdana" w:hAnsi="Verdana"/>
                <w:sz w:val="20"/>
                <w:szCs w:val="20"/>
                <w:color w:val="auto"/>
                <w:vertAlign w:val="superscript"/>
              </w:rPr>
              <w:t>(6)</w:t>
            </w:r>
          </w:p>
        </w:tc>
        <w:tc>
          <w:tcPr>
            <w:tcW w:w="860" w:type="dxa"/>
            <w:vAlign w:val="bottom"/>
            <w:tcBorders>
              <w:bottom w:val="single" w:sz="8" w:color="auto"/>
            </w:tcBorders>
          </w:tcPr>
          <w:p>
            <w:pPr>
              <w:jc w:val="center"/>
              <w:spacing w:after="0"/>
              <w:rPr>
                <w:sz w:val="20"/>
                <w:szCs w:val="20"/>
                <w:color w:val="auto"/>
              </w:rPr>
            </w:pPr>
            <w:r>
              <w:rPr>
                <w:rFonts w:ascii="Verdana" w:cs="Verdana" w:eastAsia="Verdana" w:hAnsi="Verdana"/>
                <w:sz w:val="16"/>
                <w:szCs w:val="16"/>
                <w:color w:val="214E93"/>
                <w:w w:val="98"/>
              </w:rPr>
              <w:t>15,800</w:t>
            </w:r>
          </w:p>
        </w:tc>
        <w:tc>
          <w:tcPr>
            <w:tcW w:w="860" w:type="dxa"/>
            <w:vAlign w:val="bottom"/>
            <w:tcBorders>
              <w:bottom w:val="single" w:sz="8" w:color="auto"/>
            </w:tcBorders>
          </w:tcPr>
          <w:p>
            <w:pPr>
              <w:jc w:val="right"/>
              <w:ind w:right="84"/>
              <w:spacing w:after="0"/>
              <w:rPr>
                <w:sz w:val="20"/>
                <w:szCs w:val="20"/>
                <w:color w:val="auto"/>
              </w:rPr>
            </w:pPr>
            <w:r>
              <w:rPr>
                <w:rFonts w:ascii="Verdana" w:cs="Verdana" w:eastAsia="Verdana" w:hAnsi="Verdana"/>
                <w:sz w:val="16"/>
                <w:szCs w:val="16"/>
                <w:color w:val="214E93"/>
              </w:rPr>
              <w:t>14,800</w:t>
            </w:r>
          </w:p>
        </w:tc>
        <w:tc>
          <w:tcPr>
            <w:tcW w:w="580" w:type="dxa"/>
            <w:vAlign w:val="bottom"/>
            <w:tcBorders>
              <w:bottom w:val="single" w:sz="8" w:color="auto"/>
            </w:tcBorders>
          </w:tcPr>
          <w:p>
            <w:pPr>
              <w:jc w:val="right"/>
              <w:ind w:right="45"/>
              <w:spacing w:after="0"/>
              <w:rPr>
                <w:sz w:val="20"/>
                <w:szCs w:val="20"/>
                <w:color w:val="auto"/>
              </w:rPr>
            </w:pPr>
            <w:r>
              <w:rPr>
                <w:rFonts w:ascii="Verdana" w:cs="Verdana" w:eastAsia="Verdana" w:hAnsi="Verdana"/>
                <w:sz w:val="16"/>
                <w:szCs w:val="16"/>
                <w:color w:val="214E93"/>
              </w:rPr>
              <w:t>64</w:t>
            </w:r>
          </w:p>
        </w:tc>
        <w:tc>
          <w:tcPr>
            <w:tcW w:w="720" w:type="dxa"/>
            <w:vAlign w:val="bottom"/>
            <w:tcBorders>
              <w:bottom w:val="single" w:sz="8" w:color="auto"/>
            </w:tcBorders>
          </w:tcPr>
          <w:p>
            <w:pPr>
              <w:ind w:left="280"/>
              <w:spacing w:after="0"/>
              <w:rPr>
                <w:sz w:val="20"/>
                <w:szCs w:val="20"/>
                <w:color w:val="auto"/>
              </w:rPr>
            </w:pPr>
            <w:r>
              <w:rPr>
                <w:rFonts w:ascii="Verdana" w:cs="Verdana" w:eastAsia="Verdana" w:hAnsi="Verdana"/>
                <w:sz w:val="16"/>
                <w:szCs w:val="16"/>
                <w:color w:val="214E93"/>
              </w:rPr>
              <w:t>38.7</w:t>
            </w:r>
          </w:p>
        </w:tc>
        <w:tc>
          <w:tcPr>
            <w:tcW w:w="940" w:type="dxa"/>
            <w:vAlign w:val="bottom"/>
            <w:tcBorders>
              <w:bottom w:val="single" w:sz="8" w:color="auto"/>
            </w:tcBorders>
            <w:gridSpan w:val="2"/>
          </w:tcPr>
          <w:p>
            <w:pPr>
              <w:jc w:val="right"/>
              <w:ind w:right="29"/>
              <w:spacing w:after="0"/>
              <w:rPr>
                <w:sz w:val="20"/>
                <w:szCs w:val="20"/>
                <w:color w:val="auto"/>
              </w:rPr>
            </w:pPr>
            <w:r>
              <w:rPr>
                <w:rFonts w:ascii="Verdana" w:cs="Verdana" w:eastAsia="Verdana" w:hAnsi="Verdana"/>
                <w:sz w:val="16"/>
                <w:szCs w:val="16"/>
                <w:color w:val="214E93"/>
              </w:rPr>
              <w:t>144</w:t>
            </w:r>
          </w:p>
        </w:tc>
        <w:tc>
          <w:tcPr>
            <w:tcW w:w="580" w:type="dxa"/>
            <w:vAlign w:val="bottom"/>
            <w:tcBorders>
              <w:bottom w:val="single" w:sz="8" w:color="auto"/>
            </w:tcBorders>
          </w:tcPr>
          <w:p>
            <w:pPr>
              <w:jc w:val="right"/>
              <w:ind w:right="3"/>
              <w:spacing w:after="0"/>
              <w:rPr>
                <w:sz w:val="20"/>
                <w:szCs w:val="20"/>
                <w:color w:val="auto"/>
              </w:rPr>
            </w:pPr>
            <w:r>
              <w:rPr>
                <w:rFonts w:ascii="Verdana" w:cs="Verdana" w:eastAsia="Verdana" w:hAnsi="Verdana"/>
                <w:sz w:val="16"/>
                <w:szCs w:val="16"/>
                <w:color w:val="214E93"/>
              </w:rPr>
              <w:t>37</w:t>
            </w:r>
          </w:p>
        </w:tc>
        <w:tc>
          <w:tcPr>
            <w:tcW w:w="840" w:type="dxa"/>
            <w:vAlign w:val="bottom"/>
            <w:tcBorders>
              <w:bottom w:val="single" w:sz="8" w:color="auto"/>
            </w:tcBorders>
            <w:gridSpan w:val="2"/>
          </w:tcPr>
          <w:p>
            <w:pPr>
              <w:jc w:val="right"/>
              <w:ind w:right="29"/>
              <w:spacing w:after="0"/>
              <w:rPr>
                <w:sz w:val="20"/>
                <w:szCs w:val="20"/>
                <w:color w:val="auto"/>
              </w:rPr>
            </w:pPr>
            <w:r>
              <w:rPr>
                <w:rFonts w:ascii="Verdana" w:cs="Verdana" w:eastAsia="Verdana" w:hAnsi="Verdana"/>
                <w:sz w:val="16"/>
                <w:szCs w:val="16"/>
                <w:color w:val="214E93"/>
              </w:rPr>
              <w:t>497</w:t>
            </w:r>
          </w:p>
        </w:tc>
        <w:tc>
          <w:tcPr>
            <w:tcW w:w="880" w:type="dxa"/>
            <w:vAlign w:val="bottom"/>
          </w:tcPr>
          <w:p>
            <w:pPr>
              <w:jc w:val="right"/>
              <w:ind w:right="4"/>
              <w:spacing w:after="0"/>
              <w:rPr>
                <w:sz w:val="20"/>
                <w:szCs w:val="20"/>
                <w:color w:val="auto"/>
              </w:rPr>
            </w:pPr>
            <w:r>
              <w:rPr>
                <w:rFonts w:ascii="Verdana" w:cs="Verdana" w:eastAsia="Verdana" w:hAnsi="Verdana"/>
                <w:sz w:val="16"/>
                <w:szCs w:val="16"/>
                <w:color w:val="214E93"/>
              </w:rPr>
              <w:t>100.0</w:t>
            </w:r>
          </w:p>
        </w:tc>
        <w:tc>
          <w:tcPr>
            <w:tcW w:w="80" w:type="dxa"/>
            <w:vAlign w:val="bottom"/>
          </w:tcPr>
          <w:p>
            <w:pPr>
              <w:spacing w:after="0"/>
              <w:rPr>
                <w:sz w:val="21"/>
                <w:szCs w:val="21"/>
                <w:color w:val="auto"/>
              </w:rPr>
            </w:pPr>
          </w:p>
        </w:tc>
        <w:tc>
          <w:tcPr>
            <w:tcW w:w="800" w:type="dxa"/>
            <w:vAlign w:val="bottom"/>
            <w:tcBorders>
              <w:bottom w:val="single" w:sz="8" w:color="auto"/>
            </w:tcBorders>
          </w:tcPr>
          <w:p>
            <w:pPr>
              <w:jc w:val="right"/>
              <w:ind w:right="7"/>
              <w:spacing w:after="0"/>
              <w:rPr>
                <w:sz w:val="20"/>
                <w:szCs w:val="20"/>
                <w:color w:val="auto"/>
              </w:rPr>
            </w:pPr>
            <w:r>
              <w:rPr>
                <w:rFonts w:ascii="Verdana" w:cs="Verdana" w:eastAsia="Verdana" w:hAnsi="Verdana"/>
                <w:sz w:val="16"/>
                <w:szCs w:val="16"/>
                <w:color w:val="214E93"/>
              </w:rPr>
              <w:t>101</w:t>
            </w:r>
          </w:p>
        </w:tc>
      </w:tr>
      <w:tr>
        <w:trPr>
          <w:trHeight w:val="230"/>
        </w:trPr>
        <w:tc>
          <w:tcPr>
            <w:tcW w:w="2420" w:type="dxa"/>
            <w:vAlign w:val="bottom"/>
          </w:tcPr>
          <w:p>
            <w:pPr>
              <w:ind w:left="280"/>
              <w:spacing w:after="0" w:line="229" w:lineRule="exact"/>
              <w:rPr>
                <w:sz w:val="20"/>
                <w:szCs w:val="20"/>
                <w:color w:val="auto"/>
              </w:rPr>
            </w:pPr>
            <w:r>
              <w:rPr>
                <w:rFonts w:ascii="Verdana" w:cs="Verdana" w:eastAsia="Verdana" w:hAnsi="Verdana"/>
                <w:sz w:val="16"/>
                <w:szCs w:val="16"/>
                <w:color w:val="auto"/>
              </w:rPr>
              <w:t>Area Total</w:t>
            </w:r>
            <w:r>
              <w:rPr>
                <w:rFonts w:ascii="Verdana" w:cs="Verdana" w:eastAsia="Verdana" w:hAnsi="Verdana"/>
                <w:sz w:val="20"/>
                <w:szCs w:val="20"/>
                <w:color w:val="auto"/>
                <w:vertAlign w:val="superscript"/>
              </w:rPr>
              <w:t>(7)</w:t>
            </w:r>
          </w:p>
        </w:tc>
        <w:tc>
          <w:tcPr>
            <w:tcW w:w="860" w:type="dxa"/>
            <w:vAlign w:val="bottom"/>
          </w:tcPr>
          <w:p>
            <w:pPr>
              <w:jc w:val="center"/>
              <w:spacing w:after="0"/>
              <w:rPr>
                <w:sz w:val="20"/>
                <w:szCs w:val="20"/>
                <w:color w:val="auto"/>
              </w:rPr>
            </w:pPr>
            <w:r>
              <w:rPr>
                <w:rFonts w:ascii="Verdana" w:cs="Verdana" w:eastAsia="Verdana" w:hAnsi="Verdana"/>
                <w:sz w:val="16"/>
                <w:szCs w:val="16"/>
                <w:color w:val="214E93"/>
                <w:w w:val="98"/>
              </w:rPr>
              <w:t>18,500</w:t>
            </w:r>
          </w:p>
        </w:tc>
        <w:tc>
          <w:tcPr>
            <w:tcW w:w="860" w:type="dxa"/>
            <w:vAlign w:val="bottom"/>
          </w:tcPr>
          <w:p>
            <w:pPr>
              <w:jc w:val="right"/>
              <w:ind w:right="64"/>
              <w:spacing w:after="0"/>
              <w:rPr>
                <w:sz w:val="20"/>
                <w:szCs w:val="20"/>
                <w:color w:val="auto"/>
              </w:rPr>
            </w:pPr>
            <w:r>
              <w:rPr>
                <w:rFonts w:ascii="Verdana" w:cs="Verdana" w:eastAsia="Verdana" w:hAnsi="Verdana"/>
                <w:sz w:val="16"/>
                <w:szCs w:val="16"/>
                <w:color w:val="214E93"/>
              </w:rPr>
              <w:t>17,300</w:t>
            </w:r>
          </w:p>
        </w:tc>
        <w:tc>
          <w:tcPr>
            <w:tcW w:w="580" w:type="dxa"/>
            <w:vAlign w:val="bottom"/>
          </w:tcPr>
          <w:p>
            <w:pPr>
              <w:jc w:val="right"/>
              <w:ind w:right="45"/>
              <w:spacing w:after="0"/>
              <w:rPr>
                <w:sz w:val="20"/>
                <w:szCs w:val="20"/>
                <w:color w:val="auto"/>
              </w:rPr>
            </w:pPr>
            <w:r>
              <w:rPr>
                <w:rFonts w:ascii="Verdana" w:cs="Verdana" w:eastAsia="Verdana" w:hAnsi="Verdana"/>
                <w:sz w:val="16"/>
                <w:szCs w:val="16"/>
                <w:color w:val="214E93"/>
              </w:rPr>
              <w:t>343</w:t>
            </w:r>
          </w:p>
        </w:tc>
        <w:tc>
          <w:tcPr>
            <w:tcW w:w="720" w:type="dxa"/>
            <w:vAlign w:val="bottom"/>
          </w:tcPr>
          <w:p>
            <w:pPr>
              <w:ind w:left="280"/>
              <w:spacing w:after="0"/>
              <w:rPr>
                <w:sz w:val="20"/>
                <w:szCs w:val="20"/>
                <w:color w:val="auto"/>
              </w:rPr>
            </w:pPr>
            <w:r>
              <w:rPr>
                <w:rFonts w:ascii="Verdana" w:cs="Verdana" w:eastAsia="Verdana" w:hAnsi="Verdana"/>
                <w:sz w:val="16"/>
                <w:szCs w:val="16"/>
                <w:color w:val="214E93"/>
              </w:rPr>
              <w:t>57.2</w:t>
            </w:r>
          </w:p>
        </w:tc>
        <w:tc>
          <w:tcPr>
            <w:tcW w:w="940" w:type="dxa"/>
            <w:vAlign w:val="bottom"/>
            <w:gridSpan w:val="2"/>
          </w:tcPr>
          <w:p>
            <w:pPr>
              <w:jc w:val="right"/>
              <w:ind w:right="29"/>
              <w:spacing w:after="0"/>
              <w:rPr>
                <w:sz w:val="20"/>
                <w:szCs w:val="20"/>
                <w:color w:val="auto"/>
              </w:rPr>
            </w:pPr>
            <w:r>
              <w:rPr>
                <w:rFonts w:ascii="Verdana" w:cs="Verdana" w:eastAsia="Verdana" w:hAnsi="Verdana"/>
                <w:sz w:val="16"/>
                <w:szCs w:val="16"/>
                <w:color w:val="214E93"/>
              </w:rPr>
              <w:t>273</w:t>
            </w:r>
          </w:p>
        </w:tc>
        <w:tc>
          <w:tcPr>
            <w:tcW w:w="580" w:type="dxa"/>
            <w:vAlign w:val="bottom"/>
          </w:tcPr>
          <w:p>
            <w:pPr>
              <w:jc w:val="right"/>
              <w:ind w:right="3"/>
              <w:spacing w:after="0"/>
              <w:rPr>
                <w:sz w:val="20"/>
                <w:szCs w:val="20"/>
                <w:color w:val="auto"/>
              </w:rPr>
            </w:pPr>
            <w:r>
              <w:rPr>
                <w:rFonts w:ascii="Verdana" w:cs="Verdana" w:eastAsia="Verdana" w:hAnsi="Verdana"/>
                <w:sz w:val="16"/>
                <w:szCs w:val="16"/>
                <w:color w:val="214E93"/>
              </w:rPr>
              <w:t>50</w:t>
            </w:r>
          </w:p>
        </w:tc>
        <w:tc>
          <w:tcPr>
            <w:tcW w:w="840" w:type="dxa"/>
            <w:vAlign w:val="bottom"/>
            <w:gridSpan w:val="2"/>
          </w:tcPr>
          <w:p>
            <w:pPr>
              <w:jc w:val="right"/>
              <w:ind w:right="29"/>
              <w:spacing w:after="0"/>
              <w:rPr>
                <w:sz w:val="20"/>
                <w:szCs w:val="20"/>
                <w:color w:val="auto"/>
              </w:rPr>
            </w:pPr>
            <w:r>
              <w:rPr>
                <w:rFonts w:ascii="Verdana" w:cs="Verdana" w:eastAsia="Verdana" w:hAnsi="Verdana"/>
                <w:sz w:val="16"/>
                <w:szCs w:val="16"/>
                <w:color w:val="214E93"/>
              </w:rPr>
              <w:t>4,799</w:t>
            </w:r>
          </w:p>
        </w:tc>
        <w:tc>
          <w:tcPr>
            <w:tcW w:w="880" w:type="dxa"/>
            <w:vAlign w:val="bottom"/>
          </w:tcPr>
          <w:p>
            <w:pPr>
              <w:jc w:val="right"/>
              <w:ind w:right="4"/>
              <w:spacing w:after="0"/>
              <w:rPr>
                <w:sz w:val="20"/>
                <w:szCs w:val="20"/>
                <w:color w:val="auto"/>
              </w:rPr>
            </w:pPr>
            <w:r>
              <w:rPr>
                <w:rFonts w:ascii="Verdana" w:cs="Verdana" w:eastAsia="Verdana" w:hAnsi="Verdana"/>
                <w:sz w:val="16"/>
                <w:szCs w:val="16"/>
                <w:color w:val="214E93"/>
              </w:rPr>
              <w:t>100.0</w:t>
            </w:r>
          </w:p>
        </w:tc>
        <w:tc>
          <w:tcPr>
            <w:tcW w:w="880" w:type="dxa"/>
            <w:vAlign w:val="bottom"/>
            <w:gridSpan w:val="2"/>
          </w:tcPr>
          <w:p>
            <w:pPr>
              <w:jc w:val="right"/>
              <w:ind w:right="7"/>
              <w:spacing w:after="0"/>
              <w:rPr>
                <w:sz w:val="20"/>
                <w:szCs w:val="20"/>
                <w:color w:val="auto"/>
              </w:rPr>
            </w:pPr>
            <w:r>
              <w:rPr>
                <w:rFonts w:ascii="Verdana" w:cs="Verdana" w:eastAsia="Verdana" w:hAnsi="Verdana"/>
                <w:sz w:val="16"/>
                <w:szCs w:val="16"/>
                <w:color w:val="214E93"/>
              </w:rPr>
              <w:t>3,635</w:t>
            </w:r>
          </w:p>
        </w:tc>
      </w:tr>
      <w:tr>
        <w:trPr>
          <w:trHeight w:val="217"/>
        </w:trPr>
        <w:tc>
          <w:tcPr>
            <w:tcW w:w="2420" w:type="dxa"/>
            <w:vAlign w:val="bottom"/>
            <w:tcBorders>
              <w:bottom w:val="single" w:sz="8" w:color="214E93"/>
            </w:tcBorders>
          </w:tcPr>
          <w:p>
            <w:pPr>
              <w:ind w:left="280"/>
              <w:spacing w:after="0"/>
              <w:rPr>
                <w:sz w:val="20"/>
                <w:szCs w:val="20"/>
                <w:color w:val="auto"/>
              </w:rPr>
            </w:pPr>
            <w:r>
              <w:rPr>
                <w:rFonts w:ascii="Verdana" w:cs="Verdana" w:eastAsia="Verdana" w:hAnsi="Verdana"/>
                <w:sz w:val="16"/>
                <w:szCs w:val="16"/>
                <w:color w:val="auto"/>
              </w:rPr>
              <w:t>Total</w:t>
            </w:r>
          </w:p>
        </w:tc>
        <w:tc>
          <w:tcPr>
            <w:tcW w:w="860" w:type="dxa"/>
            <w:vAlign w:val="bottom"/>
            <w:tcBorders>
              <w:bottom w:val="single" w:sz="8" w:color="214E93"/>
            </w:tcBorders>
          </w:tcPr>
          <w:p>
            <w:pPr>
              <w:jc w:val="center"/>
              <w:spacing w:after="0"/>
              <w:rPr>
                <w:sz w:val="20"/>
                <w:szCs w:val="20"/>
                <w:color w:val="auto"/>
              </w:rPr>
            </w:pPr>
            <w:r>
              <w:rPr>
                <w:rFonts w:ascii="Verdana" w:cs="Verdana" w:eastAsia="Verdana" w:hAnsi="Verdana"/>
                <w:sz w:val="16"/>
                <w:szCs w:val="16"/>
                <w:color w:val="214E93"/>
                <w:w w:val="98"/>
              </w:rPr>
              <w:t>373,100</w:t>
            </w:r>
          </w:p>
        </w:tc>
        <w:tc>
          <w:tcPr>
            <w:tcW w:w="860" w:type="dxa"/>
            <w:vAlign w:val="bottom"/>
            <w:tcBorders>
              <w:bottom w:val="single" w:sz="8" w:color="214E93"/>
            </w:tcBorders>
          </w:tcPr>
          <w:p>
            <w:pPr>
              <w:jc w:val="center"/>
              <w:spacing w:after="0"/>
              <w:rPr>
                <w:sz w:val="20"/>
                <w:szCs w:val="20"/>
                <w:color w:val="auto"/>
              </w:rPr>
            </w:pPr>
            <w:r>
              <w:rPr>
                <w:rFonts w:ascii="Verdana" w:cs="Verdana" w:eastAsia="Verdana" w:hAnsi="Verdana"/>
                <w:sz w:val="16"/>
                <w:szCs w:val="16"/>
                <w:color w:val="214E93"/>
                <w:w w:val="95"/>
              </w:rPr>
              <w:t>229,800</w:t>
            </w:r>
          </w:p>
        </w:tc>
        <w:tc>
          <w:tcPr>
            <w:tcW w:w="580" w:type="dxa"/>
            <w:vAlign w:val="bottom"/>
            <w:tcBorders>
              <w:bottom w:val="single" w:sz="8" w:color="214E93"/>
            </w:tcBorders>
          </w:tcPr>
          <w:p>
            <w:pPr>
              <w:jc w:val="center"/>
              <w:spacing w:after="0"/>
              <w:rPr>
                <w:sz w:val="20"/>
                <w:szCs w:val="20"/>
                <w:color w:val="auto"/>
              </w:rPr>
            </w:pPr>
            <w:r>
              <w:rPr>
                <w:rFonts w:ascii="Verdana" w:cs="Verdana" w:eastAsia="Verdana" w:hAnsi="Verdana"/>
                <w:sz w:val="16"/>
                <w:szCs w:val="16"/>
                <w:color w:val="214E93"/>
                <w:w w:val="98"/>
              </w:rPr>
              <w:t>2,522</w:t>
            </w:r>
          </w:p>
        </w:tc>
        <w:tc>
          <w:tcPr>
            <w:tcW w:w="720" w:type="dxa"/>
            <w:vAlign w:val="bottom"/>
            <w:tcBorders>
              <w:bottom w:val="single" w:sz="8" w:color="214E93"/>
            </w:tcBorders>
          </w:tcPr>
          <w:p>
            <w:pPr>
              <w:jc w:val="center"/>
              <w:spacing w:after="0"/>
              <w:rPr>
                <w:sz w:val="20"/>
                <w:szCs w:val="20"/>
                <w:color w:val="auto"/>
              </w:rPr>
            </w:pPr>
            <w:r>
              <w:rPr>
                <w:rFonts w:ascii="Verdana" w:cs="Verdana" w:eastAsia="Verdana" w:hAnsi="Verdana"/>
                <w:sz w:val="16"/>
                <w:szCs w:val="16"/>
                <w:color w:val="214E93"/>
                <w:w w:val="98"/>
              </w:rPr>
              <w:t>1,194.3</w:t>
            </w:r>
          </w:p>
        </w:tc>
        <w:tc>
          <w:tcPr>
            <w:tcW w:w="940" w:type="dxa"/>
            <w:vAlign w:val="bottom"/>
            <w:tcBorders>
              <w:bottom w:val="single" w:sz="8" w:color="214E93"/>
            </w:tcBorders>
            <w:gridSpan w:val="2"/>
          </w:tcPr>
          <w:p>
            <w:pPr>
              <w:jc w:val="right"/>
              <w:ind w:right="29"/>
              <w:spacing w:after="0"/>
              <w:rPr>
                <w:sz w:val="20"/>
                <w:szCs w:val="20"/>
                <w:color w:val="auto"/>
              </w:rPr>
            </w:pPr>
            <w:r>
              <w:rPr>
                <w:rFonts w:ascii="Verdana" w:cs="Verdana" w:eastAsia="Verdana" w:hAnsi="Verdana"/>
                <w:sz w:val="16"/>
                <w:szCs w:val="16"/>
                <w:color w:val="214E93"/>
              </w:rPr>
              <w:t>5,568</w:t>
            </w:r>
          </w:p>
        </w:tc>
        <w:tc>
          <w:tcPr>
            <w:tcW w:w="580" w:type="dxa"/>
            <w:vAlign w:val="bottom"/>
            <w:tcBorders>
              <w:bottom w:val="single" w:sz="8" w:color="214E93"/>
            </w:tcBorders>
          </w:tcPr>
          <w:p>
            <w:pPr>
              <w:jc w:val="center"/>
              <w:ind w:left="3"/>
              <w:spacing w:after="0"/>
              <w:rPr>
                <w:sz w:val="20"/>
                <w:szCs w:val="20"/>
                <w:color w:val="auto"/>
              </w:rPr>
            </w:pPr>
            <w:r>
              <w:rPr>
                <w:rFonts w:ascii="Verdana" w:cs="Verdana" w:eastAsia="Verdana" w:hAnsi="Verdana"/>
                <w:sz w:val="16"/>
                <w:szCs w:val="16"/>
                <w:color w:val="214E93"/>
                <w:w w:val="98"/>
              </w:rPr>
              <w:t>1,852</w:t>
            </w:r>
          </w:p>
        </w:tc>
        <w:tc>
          <w:tcPr>
            <w:tcW w:w="840" w:type="dxa"/>
            <w:vAlign w:val="bottom"/>
            <w:tcBorders>
              <w:bottom w:val="single" w:sz="8" w:color="214E93"/>
            </w:tcBorders>
            <w:gridSpan w:val="2"/>
          </w:tcPr>
          <w:p>
            <w:pPr>
              <w:jc w:val="center"/>
              <w:ind w:left="1"/>
              <w:spacing w:after="0"/>
              <w:rPr>
                <w:sz w:val="20"/>
                <w:szCs w:val="20"/>
                <w:color w:val="auto"/>
              </w:rPr>
            </w:pPr>
            <w:r>
              <w:rPr>
                <w:rFonts w:ascii="Verdana" w:cs="Verdana" w:eastAsia="Verdana" w:hAnsi="Verdana"/>
                <w:sz w:val="16"/>
                <w:szCs w:val="16"/>
                <w:color w:val="214E93"/>
                <w:w w:val="95"/>
              </w:rPr>
              <w:t>667,047</w:t>
            </w:r>
          </w:p>
        </w:tc>
        <w:tc>
          <w:tcPr>
            <w:tcW w:w="880" w:type="dxa"/>
            <w:vAlign w:val="bottom"/>
          </w:tcPr>
          <w:p>
            <w:pPr>
              <w:jc w:val="right"/>
              <w:ind w:right="4"/>
              <w:spacing w:after="0"/>
              <w:rPr>
                <w:sz w:val="20"/>
                <w:szCs w:val="20"/>
                <w:color w:val="auto"/>
              </w:rPr>
            </w:pPr>
            <w:r>
              <w:rPr>
                <w:rFonts w:ascii="Verdana" w:cs="Verdana" w:eastAsia="Verdana" w:hAnsi="Verdana"/>
                <w:sz w:val="16"/>
                <w:szCs w:val="16"/>
                <w:color w:val="214E93"/>
              </w:rPr>
              <w:t>61.2</w:t>
            </w:r>
          </w:p>
        </w:tc>
        <w:tc>
          <w:tcPr>
            <w:tcW w:w="80" w:type="dxa"/>
            <w:vAlign w:val="bottom"/>
          </w:tcPr>
          <w:p>
            <w:pPr>
              <w:spacing w:after="0"/>
              <w:rPr>
                <w:sz w:val="18"/>
                <w:szCs w:val="18"/>
                <w:color w:val="auto"/>
              </w:rPr>
            </w:pPr>
          </w:p>
        </w:tc>
        <w:tc>
          <w:tcPr>
            <w:tcW w:w="800" w:type="dxa"/>
            <w:vAlign w:val="bottom"/>
            <w:tcBorders>
              <w:bottom w:val="single" w:sz="8" w:color="214E93"/>
            </w:tcBorders>
          </w:tcPr>
          <w:p>
            <w:pPr>
              <w:jc w:val="right"/>
              <w:ind w:right="7"/>
              <w:spacing w:after="0"/>
              <w:rPr>
                <w:sz w:val="20"/>
                <w:szCs w:val="20"/>
                <w:color w:val="auto"/>
              </w:rPr>
            </w:pPr>
            <w:r>
              <w:rPr>
                <w:rFonts w:ascii="Verdana" w:cs="Verdana" w:eastAsia="Verdana" w:hAnsi="Verdana"/>
                <w:sz w:val="16"/>
                <w:szCs w:val="16"/>
                <w:color w:val="214E93"/>
              </w:rPr>
              <w:t>207,070</w:t>
            </w:r>
          </w:p>
        </w:tc>
      </w:tr>
    </w:tbl>
    <w:p>
      <w:pPr>
        <w:spacing w:after="0" w:line="20" w:lineRule="exact"/>
        <w:rPr>
          <w:sz w:val="20"/>
          <w:szCs w:val="20"/>
          <w:color w:val="auto"/>
        </w:rPr>
      </w:pPr>
    </w:p>
    <w:p>
      <w:pPr>
        <w:spacing w:after="0" w:line="119" w:lineRule="exact"/>
        <w:rPr>
          <w:sz w:val="20"/>
          <w:szCs w:val="20"/>
          <w:color w:val="auto"/>
        </w:rPr>
      </w:pPr>
    </w:p>
    <w:p>
      <w:pPr>
        <w:ind w:left="1160" w:right="20" w:hanging="350"/>
        <w:spacing w:after="0" w:line="230" w:lineRule="auto"/>
        <w:tabs>
          <w:tab w:leader="none" w:pos="1160" w:val="left"/>
        </w:tabs>
        <w:numPr>
          <w:ilvl w:val="0"/>
          <w:numId w:val="22"/>
        </w:numPr>
        <w:rPr>
          <w:rFonts w:ascii="Calibri" w:cs="Calibri" w:eastAsia="Calibri" w:hAnsi="Calibri"/>
          <w:sz w:val="14"/>
          <w:szCs w:val="14"/>
          <w:color w:val="auto"/>
        </w:rPr>
      </w:pPr>
      <w:r>
        <w:rPr>
          <w:rFonts w:ascii="Calibri" w:cs="Calibri" w:eastAsia="Calibri" w:hAnsi="Calibri"/>
          <w:sz w:val="14"/>
          <w:szCs w:val="14"/>
          <w:color w:val="auto"/>
        </w:rPr>
        <w:t>Identified and engineered drilling locations. These locations have been identified for potential future drilling and were not producing at December 31, 2025. The total net engineered drilling locations are calculated by multiplying the gross engineered drilling locations in an operating area by our working interest participation in such locations. Individual horizontal drilling locations generally represent a variety of lateral lengths, from one mile to greater than two miles, based upon our current assumptions for a well that could be drilled at that location given our current acreage position. At December 31, 2025, approximately 76% of these identified drilling locations in the Delaware Basin were expected to be horizontal laterals with lateral lengths of approximately two miles or greater, and approximately 91% are expected to have lateral lengths of approximately 1.5 miles or greater. At December 31, 2025, these engineered drilling locations included 522 gross (255 net) operated and non-operated locations to which we have assigned proved undeveloped reserves, primarily in the Wolfcamp or Bone Spring plays, but also in the Brushy Canyon and Avalon formations, in the Delaware Basin. At December 31, 2025, we had assigned no proved undeveloped reserves to our leasehold in Northwest Louisiana.</w:t>
      </w:r>
    </w:p>
    <w:p>
      <w:pPr>
        <w:spacing w:after="0" w:line="92" w:lineRule="exact"/>
        <w:rPr>
          <w:rFonts w:ascii="Calibri" w:cs="Calibri" w:eastAsia="Calibri" w:hAnsi="Calibri"/>
          <w:sz w:val="14"/>
          <w:szCs w:val="14"/>
          <w:color w:val="auto"/>
        </w:rPr>
      </w:pPr>
    </w:p>
    <w:p>
      <w:pPr>
        <w:ind w:left="1160" w:right="240" w:hanging="350"/>
        <w:spacing w:after="0" w:line="228" w:lineRule="auto"/>
        <w:tabs>
          <w:tab w:leader="none" w:pos="1160" w:val="left"/>
        </w:tabs>
        <w:numPr>
          <w:ilvl w:val="0"/>
          <w:numId w:val="22"/>
        </w:numPr>
        <w:rPr>
          <w:rFonts w:ascii="Calibri" w:cs="Calibri" w:eastAsia="Calibri" w:hAnsi="Calibri"/>
          <w:sz w:val="14"/>
          <w:szCs w:val="14"/>
          <w:color w:val="auto"/>
        </w:rPr>
      </w:pPr>
      <w:r>
        <w:rPr>
          <w:rFonts w:ascii="Calibri" w:cs="Calibri" w:eastAsia="Calibri" w:hAnsi="Calibri"/>
          <w:sz w:val="14"/>
          <w:szCs w:val="14"/>
          <w:color w:val="auto"/>
        </w:rPr>
        <w:t>These estimates were prepared by our engineering staff and audited by Netherland, Sewell &amp; Associates, Inc., independent reservoir engineers. For additional information regarding our oil and natural gas reserves, see “—Estimated Proved Reserves” and Supplemental Oil and Natural Gas Disclosures included in the unaudited supplementary information in this Annual Report, which is incorporated herein by reference.</w:t>
      </w:r>
    </w:p>
    <w:p>
      <w:pPr>
        <w:spacing w:after="0" w:line="87" w:lineRule="exact"/>
        <w:rPr>
          <w:rFonts w:ascii="Calibri" w:cs="Calibri" w:eastAsia="Calibri" w:hAnsi="Calibri"/>
          <w:sz w:val="14"/>
          <w:szCs w:val="14"/>
          <w:color w:val="auto"/>
        </w:rPr>
      </w:pPr>
    </w:p>
    <w:p>
      <w:pPr>
        <w:ind w:left="1160" w:right="620" w:hanging="350"/>
        <w:spacing w:after="0" w:line="226" w:lineRule="auto"/>
        <w:tabs>
          <w:tab w:leader="none" w:pos="1160" w:val="left"/>
        </w:tabs>
        <w:numPr>
          <w:ilvl w:val="0"/>
          <w:numId w:val="22"/>
        </w:numPr>
        <w:rPr>
          <w:rFonts w:ascii="Calibri" w:cs="Calibri" w:eastAsia="Calibri" w:hAnsi="Calibri"/>
          <w:sz w:val="14"/>
          <w:szCs w:val="14"/>
          <w:color w:val="auto"/>
        </w:rPr>
      </w:pPr>
      <w:r>
        <w:rPr>
          <w:rFonts w:ascii="Calibri" w:cs="Calibri" w:eastAsia="Calibri" w:hAnsi="Calibri"/>
          <w:sz w:val="14"/>
          <w:szCs w:val="14"/>
          <w:color w:val="auto"/>
        </w:rPr>
        <w:t>Production volumes and proved reserves reported in two streams: oil and natural gas, including both dry and liquids-rich natural gas. Estimated using a conversion ratio of one Bbl of oil per six Mcf of natural gas.</w:t>
      </w:r>
    </w:p>
    <w:p>
      <w:pPr>
        <w:spacing w:after="0" w:line="87" w:lineRule="exact"/>
        <w:rPr>
          <w:rFonts w:ascii="Calibri" w:cs="Calibri" w:eastAsia="Calibri" w:hAnsi="Calibri"/>
          <w:sz w:val="14"/>
          <w:szCs w:val="14"/>
          <w:color w:val="auto"/>
        </w:rPr>
      </w:pPr>
    </w:p>
    <w:p>
      <w:pPr>
        <w:ind w:left="1160" w:right="60" w:hanging="350"/>
        <w:spacing w:after="0" w:line="226" w:lineRule="auto"/>
        <w:tabs>
          <w:tab w:leader="none" w:pos="1160" w:val="left"/>
        </w:tabs>
        <w:numPr>
          <w:ilvl w:val="0"/>
          <w:numId w:val="22"/>
        </w:numPr>
        <w:rPr>
          <w:rFonts w:ascii="Calibri" w:cs="Calibri" w:eastAsia="Calibri" w:hAnsi="Calibri"/>
          <w:sz w:val="14"/>
          <w:szCs w:val="14"/>
          <w:color w:val="auto"/>
        </w:rPr>
      </w:pPr>
      <w:r>
        <w:rPr>
          <w:rFonts w:ascii="Calibri" w:cs="Calibri" w:eastAsia="Calibri" w:hAnsi="Calibri"/>
          <w:sz w:val="14"/>
          <w:szCs w:val="14"/>
          <w:color w:val="auto"/>
        </w:rPr>
        <w:t>Includes potential future engineered drilling locations in the Wolfcamp, Bone Spring, Brushy Canyon, Yeso and Avalon plays on our acreage in the Delaware Basin at December 31, 2025.</w:t>
      </w:r>
    </w:p>
    <w:p>
      <w:pPr>
        <w:spacing w:after="0" w:line="73" w:lineRule="exact"/>
        <w:rPr>
          <w:rFonts w:ascii="Calibri" w:cs="Calibri" w:eastAsia="Calibri" w:hAnsi="Calibri"/>
          <w:sz w:val="14"/>
          <w:szCs w:val="14"/>
          <w:color w:val="auto"/>
        </w:rPr>
      </w:pPr>
    </w:p>
    <w:p>
      <w:pPr>
        <w:ind w:left="1160" w:hanging="350"/>
        <w:spacing w:after="0"/>
        <w:tabs>
          <w:tab w:leader="none" w:pos="1160" w:val="left"/>
        </w:tabs>
        <w:numPr>
          <w:ilvl w:val="0"/>
          <w:numId w:val="22"/>
        </w:numPr>
        <w:rPr>
          <w:rFonts w:ascii="Calibri" w:cs="Calibri" w:eastAsia="Calibri" w:hAnsi="Calibri"/>
          <w:sz w:val="14"/>
          <w:szCs w:val="14"/>
          <w:color w:val="auto"/>
        </w:rPr>
      </w:pPr>
      <w:r>
        <w:rPr>
          <w:rFonts w:ascii="Calibri" w:cs="Calibri" w:eastAsia="Calibri" w:hAnsi="Calibri"/>
          <w:sz w:val="14"/>
          <w:szCs w:val="14"/>
          <w:color w:val="auto"/>
        </w:rPr>
        <w:t>During the first quarter of 2025, the Company sold its remaining South Texas assets in the Eagle Ford shale.</w:t>
      </w:r>
    </w:p>
    <w:p>
      <w:pPr>
        <w:spacing w:after="0" w:line="73" w:lineRule="exact"/>
        <w:rPr>
          <w:rFonts w:ascii="Calibri" w:cs="Calibri" w:eastAsia="Calibri" w:hAnsi="Calibri"/>
          <w:sz w:val="14"/>
          <w:szCs w:val="14"/>
          <w:color w:val="auto"/>
        </w:rPr>
      </w:pPr>
    </w:p>
    <w:p>
      <w:pPr>
        <w:ind w:left="1160" w:hanging="350"/>
        <w:spacing w:after="0"/>
        <w:tabs>
          <w:tab w:leader="none" w:pos="1160" w:val="left"/>
        </w:tabs>
        <w:numPr>
          <w:ilvl w:val="0"/>
          <w:numId w:val="22"/>
        </w:numPr>
        <w:rPr>
          <w:rFonts w:ascii="Calibri" w:cs="Calibri" w:eastAsia="Calibri" w:hAnsi="Calibri"/>
          <w:sz w:val="14"/>
          <w:szCs w:val="14"/>
          <w:color w:val="auto"/>
        </w:rPr>
      </w:pPr>
      <w:r>
        <w:rPr>
          <w:rFonts w:ascii="Calibri" w:cs="Calibri" w:eastAsia="Calibri" w:hAnsi="Calibri"/>
          <w:sz w:val="14"/>
          <w:szCs w:val="14"/>
          <w:color w:val="auto"/>
        </w:rPr>
        <w:t>Includes the Cotton Valley formation and shallower zones.</w:t>
      </w:r>
    </w:p>
    <w:p>
      <w:pPr>
        <w:spacing w:after="0" w:line="86" w:lineRule="exact"/>
        <w:rPr>
          <w:rFonts w:ascii="Calibri" w:cs="Calibri" w:eastAsia="Calibri" w:hAnsi="Calibri"/>
          <w:sz w:val="14"/>
          <w:szCs w:val="14"/>
          <w:color w:val="auto"/>
        </w:rPr>
      </w:pPr>
    </w:p>
    <w:p>
      <w:pPr>
        <w:ind w:left="1160" w:right="100" w:hanging="350"/>
        <w:spacing w:after="0" w:line="228" w:lineRule="auto"/>
        <w:tabs>
          <w:tab w:leader="none" w:pos="1160" w:val="left"/>
        </w:tabs>
        <w:numPr>
          <w:ilvl w:val="0"/>
          <w:numId w:val="22"/>
        </w:numPr>
        <w:rPr>
          <w:rFonts w:ascii="Calibri" w:cs="Calibri" w:eastAsia="Calibri" w:hAnsi="Calibri"/>
          <w:sz w:val="14"/>
          <w:szCs w:val="14"/>
          <w:color w:val="auto"/>
        </w:rPr>
      </w:pPr>
      <w:r>
        <w:rPr>
          <w:rFonts w:ascii="Calibri" w:cs="Calibri" w:eastAsia="Calibri" w:hAnsi="Calibri"/>
          <w:sz w:val="14"/>
          <w:szCs w:val="14"/>
          <w:color w:val="auto"/>
        </w:rPr>
        <w:t>Some of the same leases cover the net acres shown for both the Haynesville formation and the shallower Cotton Valley formation. Therefore, the sum of the net acreage for both formations is not equal to the total net acreage for Northwest Louisiana. This total includes acreage that we are producing from or that we believe to be prospective for these formations.</w:t>
      </w:r>
    </w:p>
    <w:p>
      <w:pPr>
        <w:sectPr>
          <w:pgSz w:w="11880" w:h="15480" w:orient="portrait"/>
          <w:cols w:equalWidth="0" w:num="1">
            <w:col w:w="10240"/>
          </w:cols>
          <w:pgMar w:left="48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40"/>
          </w:cols>
          <w:pgMar w:left="480" w:top="498" w:right="1160" w:bottom="0" w:gutter="0" w:footer="0" w:header="0"/>
          <w:type w:val="continuous"/>
        </w:sectPr>
      </w:pPr>
    </w:p>
    <w:bookmarkStart w:id="22" w:name="page23"/>
    <w:bookmarkEnd w:id="22"/>
    <w:tbl>
      <w:tblPr>
        <w:tblLayout w:type="fixed"/>
        <w:tblInd w:w="7880" w:type="dxa"/>
        <w:tblCellMar>
          <w:top w:w="0" w:type="dxa"/>
          <w:left w:w="0" w:type="dxa"/>
          <w:bottom w:w="0" w:type="dxa"/>
          <w:right w:w="0" w:type="dxa"/>
        </w:tblCellMar>
      </w:tblPr>
      <w:tr>
        <w:trPr>
          <w:trHeight w:val="220"/>
        </w:trPr>
        <w:tc>
          <w:tcPr>
            <w:tcW w:w="194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00" w:type="dxa"/>
            <w:vAlign w:val="bottom"/>
          </w:tcPr>
          <w:p>
            <w:pPr>
              <w:jc w:val="right"/>
              <w:spacing w:after="0"/>
              <w:rPr>
                <w:sz w:val="20"/>
                <w:szCs w:val="20"/>
                <w:color w:val="auto"/>
              </w:rPr>
            </w:pPr>
            <w:r>
              <w:rPr>
                <w:rFonts w:ascii="Calibri" w:cs="Calibri" w:eastAsia="Calibri" w:hAnsi="Calibri"/>
                <w:sz w:val="18"/>
                <w:szCs w:val="18"/>
                <w:color w:val="auto"/>
              </w:rPr>
              <w:t>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740" w:firstLine="241"/>
        <w:spacing w:after="0" w:line="264" w:lineRule="auto"/>
        <w:rPr>
          <w:sz w:val="20"/>
          <w:szCs w:val="20"/>
          <w:color w:val="auto"/>
        </w:rPr>
      </w:pPr>
      <w:r>
        <w:rPr>
          <w:rFonts w:ascii="Calibri" w:cs="Calibri" w:eastAsia="Calibri" w:hAnsi="Calibri"/>
          <w:sz w:val="18"/>
          <w:szCs w:val="18"/>
          <w:color w:val="auto"/>
        </w:rPr>
        <w:t>We are active both as an operator and as a non-operating, co-working interest owner with various industry participants. At December 31, 2025, we operated a significant majority of our acreage in the Delaware Basin in Southeast New Mexico and West Texas. In those wells where we are not the operator, our working interests are often relatively small. At December 31, 2025, we also operated approximately 51% of our Northwest Louisiana acreage.</w:t>
      </w:r>
    </w:p>
    <w:p>
      <w:pPr>
        <w:spacing w:after="0" w:line="221" w:lineRule="exact"/>
        <w:rPr>
          <w:sz w:val="20"/>
          <w:szCs w:val="20"/>
          <w:color w:val="auto"/>
        </w:rPr>
      </w:pPr>
    </w:p>
    <w:p>
      <w:pPr>
        <w:jc w:val="both"/>
        <w:ind w:right="780" w:firstLine="241"/>
        <w:spacing w:after="0" w:line="285" w:lineRule="auto"/>
        <w:rPr>
          <w:sz w:val="20"/>
          <w:szCs w:val="20"/>
          <w:color w:val="auto"/>
        </w:rPr>
      </w:pPr>
      <w:r>
        <w:rPr>
          <w:rFonts w:ascii="Calibri" w:cs="Calibri" w:eastAsia="Calibri" w:hAnsi="Calibri"/>
          <w:sz w:val="17"/>
          <w:szCs w:val="17"/>
          <w:color w:val="auto"/>
        </w:rPr>
        <w:t>While we do not always have direct access to our operating partners’ drilling plans with respect to future well locations on non-operated properties, we do attempt to maintain ongoing communications with the technical staff of these operators in an effort to understand their drilling plans for purposes of our capital expenditure budget and our booking of related proved undeveloped well locations and reserves. We review these locations with Netherland, Sewell &amp; Associates, Inc., independent reservoir engineers, on a periodic basis to ensure their concurrence with our estimates of these drilling plans and our approach to booking these reserves.</w:t>
      </w:r>
    </w:p>
    <w:p>
      <w:pPr>
        <w:spacing w:after="0" w:line="190"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214E93"/>
        </w:rPr>
        <w:t>Southeast New Mexico and West Texas — Delaware Basin</w:t>
      </w:r>
    </w:p>
    <w:p>
      <w:pPr>
        <w:spacing w:after="0" w:line="208" w:lineRule="exact"/>
        <w:rPr>
          <w:sz w:val="20"/>
          <w:szCs w:val="20"/>
          <w:color w:val="auto"/>
        </w:rPr>
      </w:pPr>
    </w:p>
    <w:p>
      <w:pPr>
        <w:ind w:right="720" w:firstLine="241"/>
        <w:spacing w:after="0" w:line="267" w:lineRule="auto"/>
        <w:rPr>
          <w:sz w:val="20"/>
          <w:szCs w:val="20"/>
          <w:color w:val="auto"/>
        </w:rPr>
      </w:pPr>
      <w:r>
        <w:rPr>
          <w:rFonts w:ascii="Calibri" w:cs="Calibri" w:eastAsia="Calibri" w:hAnsi="Calibri"/>
          <w:sz w:val="18"/>
          <w:szCs w:val="18"/>
          <w:color w:val="auto"/>
        </w:rPr>
        <w:t>The greater Permian Basin in Southeast New Mexico and West Texas is a mature exploration and production region with extensive developments in a wide variety of petroleum systems resulting in stacked target horizons in many areas. Historically, the majority of development in this basin had focused on relatively conventional reservoir targets, but the combination of advanced formation evaluation, 3-D seismic technology, horizontal drilling and hydraulic fracturing technology has enhanced the development potential of this basin, particularly in the organic rich shales, or source rocks, of the Wolfcamp formation and in the low permeability sand and carbonate reservoirs of the Bone Spring, Brushy Canyon and Avalon formations.</w:t>
      </w:r>
    </w:p>
    <w:p>
      <w:pPr>
        <w:spacing w:after="0" w:line="217" w:lineRule="exact"/>
        <w:rPr>
          <w:sz w:val="20"/>
          <w:szCs w:val="20"/>
          <w:color w:val="auto"/>
        </w:rPr>
      </w:pPr>
    </w:p>
    <w:p>
      <w:pPr>
        <w:ind w:right="780" w:firstLine="241"/>
        <w:spacing w:after="0" w:line="266" w:lineRule="auto"/>
        <w:rPr>
          <w:sz w:val="20"/>
          <w:szCs w:val="20"/>
          <w:color w:val="auto"/>
        </w:rPr>
      </w:pPr>
      <w:r>
        <w:rPr>
          <w:rFonts w:ascii="Calibri" w:cs="Calibri" w:eastAsia="Calibri" w:hAnsi="Calibri"/>
          <w:sz w:val="18"/>
          <w:szCs w:val="18"/>
          <w:color w:val="auto"/>
        </w:rPr>
        <w:t>In the western part of the Permian Basin, also known as the Delaware Basin, there are multiple horizontal targets in a given area that exist within the several thousand feet of hydrocarbon bearing layers that make up the Bone Spring and Wolfcamp plays. Multiple horizontal drilling and completion targets are being identified and targeted by companies, including us, throughout the vertical section, including the Brushy Canyon, Avalon and Bone Spring (First, Second and Third Sand and Carbonate) and several intervals within the Wolfcamp shale, often identified as Wolfcamp A through D.</w:t>
      </w:r>
    </w:p>
    <w:p>
      <w:pPr>
        <w:spacing w:after="0" w:line="218" w:lineRule="exact"/>
        <w:rPr>
          <w:sz w:val="20"/>
          <w:szCs w:val="20"/>
          <w:color w:val="auto"/>
        </w:rPr>
      </w:pPr>
    </w:p>
    <w:p>
      <w:pPr>
        <w:ind w:right="700" w:firstLine="241"/>
        <w:spacing w:after="0" w:line="269" w:lineRule="auto"/>
        <w:rPr>
          <w:sz w:val="20"/>
          <w:szCs w:val="20"/>
          <w:color w:val="auto"/>
        </w:rPr>
      </w:pPr>
      <w:r>
        <w:rPr>
          <w:rFonts w:ascii="Calibri" w:cs="Calibri" w:eastAsia="Calibri" w:hAnsi="Calibri"/>
          <w:sz w:val="18"/>
          <w:szCs w:val="18"/>
          <w:color w:val="auto"/>
        </w:rPr>
        <w:t>At December 31, 2025, our total acreage position in Southeast New Mexico and West Texas was approximately 354,600 gross (212,500 net) acres, primarily in Lea and Eddy Counties, New Mexico and Loving, Ward and Winkler Counties, Texas. These acreage totals included approximately 75,200 gross (42,800 net) acres in our Ranger asset area in Lea County, 61,400 gross (26,300 net) acres in our Arrowhead asset area in Eddy County, 47,000 gross (26,600 net) acres in our Rustler Breaks asset area in Eddy County, 77,000 gross (59,000 net) acres in our Antelope Ridge asset area in Lea County, 2,900 gross (2,900 net) acres in our Stateline asset area in Eddy County, 57,000 gross (32,100 net) acres in our Twin Lakes asset area in Lea County and 33,500 gross (22,300 net) acres in our West Texas asset area in Loving, Ward and Winkler Counties at December 31, 2025. We consider the vast majority of our Delaware Basin acreage position to be prospective for oil and liquids-rich targets in the Bone Spring and Wolfcamp formations. Other potential targets on certain portions of our acreage include the Brushy Canyon and Avalon formations, as well as the Abo, Strawn, Devonian, Penn Shale, Atoka, Yeso and Morrow formations. At December 31, 2025, our acreage position in the Delaware Basin was approximately 81% held by existing production. Excluding the Twin Lakes asset area, our acreage position in the Delaware Basin was approximately 90% held by existing production at December 31, 2025.</w:t>
      </w:r>
    </w:p>
    <w:p>
      <w:pPr>
        <w:spacing w:after="0" w:line="216" w:lineRule="exact"/>
        <w:rPr>
          <w:sz w:val="20"/>
          <w:szCs w:val="20"/>
          <w:color w:val="auto"/>
        </w:rPr>
      </w:pPr>
    </w:p>
    <w:p>
      <w:pPr>
        <w:ind w:right="780" w:firstLine="241"/>
        <w:spacing w:after="0" w:line="268" w:lineRule="auto"/>
        <w:rPr>
          <w:sz w:val="20"/>
          <w:szCs w:val="20"/>
          <w:color w:val="auto"/>
        </w:rPr>
      </w:pPr>
      <w:r>
        <w:rPr>
          <w:rFonts w:ascii="Calibri" w:cs="Calibri" w:eastAsia="Calibri" w:hAnsi="Calibri"/>
          <w:sz w:val="18"/>
          <w:szCs w:val="18"/>
          <w:color w:val="auto"/>
        </w:rPr>
        <w:t>During the year ended December 31, 2025, we continued the delineation and development of our Delaware Basin acreage. We completed and began producing oil and natural gas from 258 gross (129.3 net) horizontal wells in the Delaware Basin, including 151 gross (121.2 net) operated horizontal wells and 107 gross (8.1 net) non-operated horizontal wells, throughout our various asset areas. At December 31, 2025, we had tested a number of different producing horizons at various locations across our acreage position, including the Brushy Canyon, two benches of the Avalon, two benches of the First Bone Spring, the Second Bone Spring Carbonate, three benches of the Second Bone Spring Sand, three benches of the Third Bone Spring Carbonate, two benches of the Third Bone Spring Sand, four benches of the Wolfcamp A, including the X, Y and Z sands and the more organic, lower section of the Wolfcamp A, three benches of the Wolfcamp B, the Wolfcamp D, the Strawn and the Morrow.</w:t>
      </w:r>
    </w:p>
    <w:p>
      <w:pPr>
        <w:spacing w:after="0" w:line="217" w:lineRule="exact"/>
        <w:rPr>
          <w:sz w:val="20"/>
          <w:szCs w:val="20"/>
          <w:color w:val="auto"/>
        </w:rPr>
      </w:pPr>
    </w:p>
    <w:p>
      <w:pPr>
        <w:ind w:right="840" w:firstLine="241"/>
        <w:spacing w:after="0" w:line="284" w:lineRule="auto"/>
        <w:rPr>
          <w:sz w:val="20"/>
          <w:szCs w:val="20"/>
          <w:color w:val="auto"/>
        </w:rPr>
      </w:pPr>
      <w:r>
        <w:rPr>
          <w:rFonts w:ascii="Calibri" w:cs="Calibri" w:eastAsia="Calibri" w:hAnsi="Calibri"/>
          <w:sz w:val="17"/>
          <w:szCs w:val="17"/>
          <w:color w:val="auto"/>
        </w:rPr>
        <w:t>At December 31, 2025, approximately 99% of our estimated total proved oil and natural gas reserves, or 662.2 million BOE, was attributable to the Delaware Basin, including approximately 376.0 million Bbl of oil and 1.72 Tcf of natural gas, a 9% increase, as compared to 606.2 million BOE for the year ended December 31, 2024. Our Delaware Basin proved reserves at December 31, 2025 and 2024 comprised approximately 100% of our proved oil reserves and 98% of our proved natural gas reserves.</w:t>
      </w:r>
    </w:p>
    <w:p>
      <w:pPr>
        <w:sectPr>
          <w:pgSz w:w="11880" w:h="15480" w:orient="portrait"/>
          <w:cols w:equalWidth="0" w:num="1">
            <w:col w:w="10240"/>
          </w:cols>
          <w:pgMar w:left="1160" w:top="498"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92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40"/>
          </w:cols>
          <w:pgMar w:left="1160" w:top="498" w:right="480" w:bottom="0" w:gutter="0" w:footer="0" w:header="0"/>
          <w:type w:val="continuous"/>
        </w:sectPr>
      </w:pPr>
    </w:p>
    <w:bookmarkStart w:id="23" w:name="page24"/>
    <w:bookmarkEnd w:id="23"/>
    <w:p>
      <w:pPr>
        <w:spacing w:after="0"/>
        <w:tabs>
          <w:tab w:leader="none" w:pos="740" w:val="left"/>
        </w:tabs>
        <w:rPr>
          <w:sz w:val="20"/>
          <w:szCs w:val="20"/>
          <w:color w:val="auto"/>
        </w:rPr>
      </w:pPr>
      <w:r>
        <w:rPr>
          <w:rFonts w:ascii="Calibri" w:cs="Calibri" w:eastAsia="Calibri" w:hAnsi="Calibri"/>
          <w:sz w:val="18"/>
          <w:szCs w:val="18"/>
          <w:color w:val="auto"/>
        </w:rPr>
        <w:t>10</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20" w:right="20" w:firstLine="241"/>
        <w:spacing w:after="0" w:line="269" w:lineRule="auto"/>
        <w:rPr>
          <w:sz w:val="20"/>
          <w:szCs w:val="20"/>
          <w:color w:val="auto"/>
        </w:rPr>
      </w:pPr>
      <w:r>
        <w:rPr>
          <w:rFonts w:ascii="Calibri" w:cs="Calibri" w:eastAsia="Calibri" w:hAnsi="Calibri"/>
          <w:sz w:val="18"/>
          <w:szCs w:val="18"/>
          <w:color w:val="auto"/>
        </w:rPr>
        <w:t>At December 31, 2025, we had identified 5,295 gross (1,802 net) engineered locations for potential future drilling on our Delaware Basin acreage, primarily in the Wolfcamp and Bone Spring plays, but also including the shallower Brushy Canyon, Yeso and Avalon formations. At December 31, 2025, these locations had a total net lateral length of approximately 19.1 million feet, or 3,801 miles, an increase of 4% as compared to the total net lateral length of approximately 18.3 million feet, or 3,680 miles, as of December 31, 2024. These locations include 2,492 gross (1,599 net) locations that we anticipate operating as we hold a working interest of at least 25% in each of these locations. Individual horizontal drilling locations represent a variety of lateral lengths, from one mile to greater than two miles based upon our current assumptions for a well that could be drilled at specified locations given our current acreage position. At December 31, 2025, approximately 76% of these identified drilling locations are expected to have horizontal lateral lengths of approximately two miles or greater and approximately 91% are expected to have horizontal lateral lengths of approximately 1.5 miles or greater. These engineered locations have been identified on a property-by-property basis and take into account criteria such as anticipated geologic conditions and reservoir properties, estimated rates of return, estimated recoveries from our Delaware Basin wells and other nearby wells based on available public data, drilling densities anticipated on our properties and properties of other operators, estimated drilling and completion costs, spacing and other rules established by regulatory authorities and surface considerations, among other criteria. Our engineered well locations, at December 31, 2025, do not yet include all portions of our acreage position. Our identified well locations presume that multiple intervals may be prospective at any one surface location. Although we believe that denser well spacing may be possible in certain asset areas or in certain formations, at December 31, 2025, the majority of our estimated locations were based on the assumption of 160-acre well spacing. As we explore and develop our Delaware Basin acreage further, we anticipate that we may identify additional locations for future drilling. At December 31, 2025, these potential future drilling locations included 522 gross (255 net) operated and non-operated locations in the Delaware Basin, primarily in the Wolfcamp and Bone Spring plays, but also in the Brushy Canyon and Avalon, to which we have assigned proved undeveloped reserves.</w:t>
      </w:r>
    </w:p>
    <w:p>
      <w:pPr>
        <w:spacing w:after="0" w:line="218" w:lineRule="exact"/>
        <w:rPr>
          <w:sz w:val="20"/>
          <w:szCs w:val="20"/>
          <w:color w:val="auto"/>
        </w:rPr>
      </w:pPr>
    </w:p>
    <w:p>
      <w:pPr>
        <w:ind w:left="720"/>
        <w:spacing w:after="0"/>
        <w:rPr>
          <w:sz w:val="20"/>
          <w:szCs w:val="20"/>
          <w:color w:val="auto"/>
        </w:rPr>
      </w:pPr>
      <w:r>
        <w:rPr>
          <w:rFonts w:ascii="Calibri" w:cs="Calibri" w:eastAsia="Calibri" w:hAnsi="Calibri"/>
          <w:sz w:val="19"/>
          <w:szCs w:val="19"/>
          <w:i w:val="1"/>
          <w:iCs w:val="1"/>
          <w:color w:val="214E93"/>
        </w:rPr>
        <w:t>Antelope Ridge Asset Area - Lea County, New Mexico</w:t>
      </w:r>
    </w:p>
    <w:p>
      <w:pPr>
        <w:spacing w:after="0" w:line="208" w:lineRule="exact"/>
        <w:rPr>
          <w:sz w:val="20"/>
          <w:szCs w:val="20"/>
          <w:color w:val="auto"/>
        </w:rPr>
      </w:pPr>
    </w:p>
    <w:p>
      <w:pPr>
        <w:ind w:left="720" w:right="20" w:firstLine="241"/>
        <w:spacing w:after="0" w:line="252" w:lineRule="auto"/>
        <w:rPr>
          <w:sz w:val="20"/>
          <w:szCs w:val="20"/>
          <w:color w:val="auto"/>
        </w:rPr>
      </w:pPr>
      <w:r>
        <w:rPr>
          <w:rFonts w:ascii="Calibri" w:cs="Calibri" w:eastAsia="Calibri" w:hAnsi="Calibri"/>
          <w:sz w:val="18"/>
          <w:szCs w:val="18"/>
          <w:color w:val="auto"/>
        </w:rPr>
        <w:t>In the Antelope Ridge asset area, we turned to sales 84 gross (73.2 net) operated wells and 27 gross (0.5 net) non-operated wells during 2025.</w:t>
      </w:r>
    </w:p>
    <w:p>
      <w:pPr>
        <w:spacing w:after="0" w:line="230" w:lineRule="exact"/>
        <w:rPr>
          <w:sz w:val="20"/>
          <w:szCs w:val="20"/>
          <w:color w:val="auto"/>
        </w:rPr>
      </w:pPr>
    </w:p>
    <w:p>
      <w:pPr>
        <w:ind w:left="720" w:firstLine="241"/>
        <w:spacing w:after="0" w:line="266" w:lineRule="auto"/>
        <w:rPr>
          <w:sz w:val="20"/>
          <w:szCs w:val="20"/>
          <w:color w:val="auto"/>
        </w:rPr>
      </w:pPr>
      <w:r>
        <w:rPr>
          <w:rFonts w:ascii="Calibri" w:cs="Calibri" w:eastAsia="Calibri" w:hAnsi="Calibri"/>
          <w:sz w:val="18"/>
          <w:szCs w:val="18"/>
          <w:color w:val="auto"/>
        </w:rPr>
        <w:t>In the second half of 2025, we turned to sales 17 gross (13.7 net) operated wells on our John Callahan unit in the Antelope Ridge asset area in Lea County, which is one of the largest developments in our history. These wells, which included four First Bone Spring, three Third Bone Spring, one Third Bone Spring Carbonate, three Wolfcamp A-XY, three Wolfcamp A and three Wolfcamp B completions, have produced in aggregate approximately 2.1 million BOE in approximately four months of production. These 17 wells had average completed lateral lengths of approximately 10,300 feet.</w:t>
      </w:r>
    </w:p>
    <w:p>
      <w:pPr>
        <w:spacing w:after="0" w:line="218" w:lineRule="exact"/>
        <w:rPr>
          <w:sz w:val="20"/>
          <w:szCs w:val="20"/>
          <w:color w:val="auto"/>
        </w:rPr>
      </w:pPr>
    </w:p>
    <w:p>
      <w:pPr>
        <w:ind w:left="720" w:right="40" w:firstLine="241"/>
        <w:spacing w:after="0" w:line="264" w:lineRule="auto"/>
        <w:rPr>
          <w:sz w:val="20"/>
          <w:szCs w:val="20"/>
          <w:color w:val="auto"/>
        </w:rPr>
      </w:pPr>
      <w:r>
        <w:rPr>
          <w:rFonts w:ascii="Calibri" w:cs="Calibri" w:eastAsia="Calibri" w:hAnsi="Calibri"/>
          <w:sz w:val="18"/>
          <w:szCs w:val="18"/>
          <w:color w:val="auto"/>
        </w:rPr>
        <w:t>We turned to sales an additional 67 gross (59.5 net) operated Antelope Ridge wells. These 67 wells, which included six First Bone Spring, six Second Bone Spring, 12 Third Bone Spring, eight Third Bone Spring Carbonate, 20 Wolfcamp A-XY, eight Wolfcamp A and seven Wolfcamp B completions, have produced in aggregate approximately 9.0 million BOE in an average of approximately seven months of production. These 67 wells had average completed lateral lengths of approximately 10,600 feet.</w:t>
      </w:r>
    </w:p>
    <w:p>
      <w:pPr>
        <w:spacing w:after="0" w:line="207" w:lineRule="exact"/>
        <w:rPr>
          <w:sz w:val="20"/>
          <w:szCs w:val="20"/>
          <w:color w:val="auto"/>
        </w:rPr>
      </w:pPr>
    </w:p>
    <w:p>
      <w:pPr>
        <w:ind w:left="720"/>
        <w:spacing w:after="0"/>
        <w:rPr>
          <w:sz w:val="20"/>
          <w:szCs w:val="20"/>
          <w:color w:val="auto"/>
        </w:rPr>
      </w:pPr>
      <w:r>
        <w:rPr>
          <w:rFonts w:ascii="Calibri" w:cs="Calibri" w:eastAsia="Calibri" w:hAnsi="Calibri"/>
          <w:sz w:val="19"/>
          <w:szCs w:val="19"/>
          <w:i w:val="1"/>
          <w:iCs w:val="1"/>
          <w:color w:val="214E93"/>
        </w:rPr>
        <w:t>Ranger and Twin Lakes Asset Areas - Lea County, New Mexico</w:t>
      </w:r>
    </w:p>
    <w:p>
      <w:pPr>
        <w:spacing w:after="0" w:line="208" w:lineRule="exact"/>
        <w:rPr>
          <w:sz w:val="20"/>
          <w:szCs w:val="20"/>
          <w:color w:val="auto"/>
        </w:rPr>
      </w:pPr>
    </w:p>
    <w:p>
      <w:pPr>
        <w:ind w:left="720" w:right="60" w:firstLine="241"/>
        <w:spacing w:after="0" w:line="252" w:lineRule="auto"/>
        <w:rPr>
          <w:sz w:val="20"/>
          <w:szCs w:val="20"/>
          <w:color w:val="auto"/>
        </w:rPr>
      </w:pPr>
      <w:r>
        <w:rPr>
          <w:rFonts w:ascii="Calibri" w:cs="Calibri" w:eastAsia="Calibri" w:hAnsi="Calibri"/>
          <w:sz w:val="18"/>
          <w:szCs w:val="18"/>
          <w:color w:val="auto"/>
        </w:rPr>
        <w:t>In the Ranger asset area, we turned to sales nine gross (7.5 net) operated wells and 22 gross (2.8 net) non-operated wells during 2025.</w:t>
      </w:r>
    </w:p>
    <w:p>
      <w:pPr>
        <w:spacing w:after="0" w:line="230" w:lineRule="exact"/>
        <w:rPr>
          <w:sz w:val="20"/>
          <w:szCs w:val="20"/>
          <w:color w:val="auto"/>
        </w:rPr>
      </w:pPr>
    </w:p>
    <w:p>
      <w:pPr>
        <w:ind w:left="720" w:right="240" w:firstLine="281"/>
        <w:spacing w:after="0" w:line="261" w:lineRule="auto"/>
        <w:rPr>
          <w:sz w:val="20"/>
          <w:szCs w:val="20"/>
          <w:color w:val="auto"/>
        </w:rPr>
      </w:pPr>
      <w:r>
        <w:rPr>
          <w:rFonts w:ascii="Calibri" w:cs="Calibri" w:eastAsia="Calibri" w:hAnsi="Calibri"/>
          <w:sz w:val="18"/>
          <w:szCs w:val="18"/>
          <w:color w:val="auto"/>
        </w:rPr>
        <w:t>In total, these nine Ranger operated wells, which included five Second Bone Spring and four Wolfcamp D completions, have produced in aggregate approximately 0.7 million BOE in an average of approximately five months of production. These nine wells had average completed lateral lengths of approximately 10,600 feet.</w:t>
      </w:r>
    </w:p>
    <w:p>
      <w:pPr>
        <w:spacing w:after="0" w:line="223" w:lineRule="exact"/>
        <w:rPr>
          <w:sz w:val="20"/>
          <w:szCs w:val="20"/>
          <w:color w:val="auto"/>
        </w:rPr>
      </w:pPr>
    </w:p>
    <w:p>
      <w:pPr>
        <w:ind w:left="720" w:right="160" w:firstLine="241"/>
        <w:spacing w:after="0" w:line="252" w:lineRule="auto"/>
        <w:rPr>
          <w:sz w:val="20"/>
          <w:szCs w:val="20"/>
          <w:color w:val="auto"/>
        </w:rPr>
      </w:pPr>
      <w:r>
        <w:rPr>
          <w:rFonts w:ascii="Calibri" w:cs="Calibri" w:eastAsia="Calibri" w:hAnsi="Calibri"/>
          <w:sz w:val="18"/>
          <w:szCs w:val="18"/>
          <w:color w:val="auto"/>
        </w:rPr>
        <w:t>In the Twin Lakes asset area, we turned to sales one gross (0.5 net) operated well, and we did not turn to sales or participate in any non-operated wells during 2025.</w:t>
      </w:r>
    </w:p>
    <w:p>
      <w:pPr>
        <w:sectPr>
          <w:pgSz w:w="11880" w:h="15480" w:orient="portrait"/>
          <w:cols w:equalWidth="0" w:num="1">
            <w:col w:w="10240"/>
          </w:cols>
          <w:pgMar w:left="440" w:top="4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40"/>
          </w:cols>
          <w:pgMar w:left="440" w:top="498" w:right="1200" w:bottom="0" w:gutter="0" w:footer="0" w:header="0"/>
          <w:type w:val="continuous"/>
        </w:sectPr>
      </w:pPr>
    </w:p>
    <w:bookmarkStart w:id="24" w:name="page25"/>
    <w:bookmarkEnd w:id="24"/>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11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Arrowhead Asset Area - Eddy County, New Mexico</w:t>
      </w:r>
    </w:p>
    <w:p>
      <w:pPr>
        <w:spacing w:after="0" w:line="208" w:lineRule="exact"/>
        <w:rPr>
          <w:sz w:val="20"/>
          <w:szCs w:val="20"/>
          <w:color w:val="auto"/>
        </w:rPr>
      </w:pPr>
    </w:p>
    <w:p>
      <w:pPr>
        <w:ind w:right="940" w:firstLine="241"/>
        <w:spacing w:after="0" w:line="283" w:lineRule="auto"/>
        <w:rPr>
          <w:sz w:val="20"/>
          <w:szCs w:val="20"/>
          <w:color w:val="auto"/>
        </w:rPr>
      </w:pPr>
      <w:r>
        <w:rPr>
          <w:rFonts w:ascii="Calibri" w:cs="Calibri" w:eastAsia="Calibri" w:hAnsi="Calibri"/>
          <w:sz w:val="17"/>
          <w:szCs w:val="17"/>
          <w:color w:val="auto"/>
        </w:rPr>
        <w:t>We turned to sales 22 gross (12.0 net) operated wells in the Arrowhead asset area during 2025. These wells, which included 14 Second Bone Spring and eight Wolfcamp A-XY completions, have produced in aggregate approximately 5.5 million BOE in approximately seven months of production. These 22 wells had average completed lateral lengths of approximately 10,000 feet.</w:t>
      </w:r>
    </w:p>
    <w:p>
      <w:pPr>
        <w:spacing w:after="0" w:line="188" w:lineRule="exact"/>
        <w:rPr>
          <w:sz w:val="20"/>
          <w:szCs w:val="20"/>
          <w:color w:val="auto"/>
        </w:rPr>
      </w:pPr>
    </w:p>
    <w:p>
      <w:pPr>
        <w:ind w:left="240"/>
        <w:spacing w:after="0"/>
        <w:rPr>
          <w:sz w:val="20"/>
          <w:szCs w:val="20"/>
          <w:color w:val="auto"/>
        </w:rPr>
      </w:pPr>
      <w:r>
        <w:rPr>
          <w:rFonts w:ascii="Calibri" w:cs="Calibri" w:eastAsia="Calibri" w:hAnsi="Calibri"/>
          <w:sz w:val="18"/>
          <w:szCs w:val="18"/>
          <w:color w:val="auto"/>
        </w:rPr>
        <w:t>We also turned to sales 21 gross (2.4 net) non-operated wells in the Arrowhead asset area during 2025.</w:t>
      </w:r>
    </w:p>
    <w:p>
      <w:pPr>
        <w:spacing w:after="0" w:line="227"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Rustler Breaks Asset Area - Eddy County, New Mexico</w:t>
      </w:r>
    </w:p>
    <w:p>
      <w:pPr>
        <w:spacing w:after="0" w:line="208" w:lineRule="exact"/>
        <w:rPr>
          <w:sz w:val="20"/>
          <w:szCs w:val="20"/>
          <w:color w:val="auto"/>
        </w:rPr>
      </w:pPr>
    </w:p>
    <w:p>
      <w:pPr>
        <w:ind w:right="740" w:firstLine="241"/>
        <w:spacing w:after="0" w:line="266" w:lineRule="auto"/>
        <w:rPr>
          <w:sz w:val="20"/>
          <w:szCs w:val="20"/>
          <w:color w:val="auto"/>
        </w:rPr>
      </w:pPr>
      <w:r>
        <w:rPr>
          <w:rFonts w:ascii="Calibri" w:cs="Calibri" w:eastAsia="Calibri" w:hAnsi="Calibri"/>
          <w:sz w:val="18"/>
          <w:szCs w:val="18"/>
          <w:color w:val="auto"/>
        </w:rPr>
        <w:t>We turned to sales 26 gross (19.3 net) operated wells in the Rustler Breaks asset area during 2025. In total, these 26 Rustler Breaks wells, which included seven First Bone Spring, five Second Bone Spring, four Third Bone Spring, six Third Bone Spring Carbonate, three Wolfcamp A-XY and one Wolfcamp B completions, have produced in aggregate approximately 4.3 million BOE in an average of approximately six months of production. These 26 wells had average completed lateral lengths of approximately 10,100 feet.</w:t>
      </w:r>
    </w:p>
    <w:p>
      <w:pPr>
        <w:spacing w:after="0" w:line="201" w:lineRule="exact"/>
        <w:rPr>
          <w:sz w:val="20"/>
          <w:szCs w:val="20"/>
          <w:color w:val="auto"/>
        </w:rPr>
      </w:pPr>
    </w:p>
    <w:p>
      <w:pPr>
        <w:ind w:left="240"/>
        <w:spacing w:after="0"/>
        <w:rPr>
          <w:sz w:val="20"/>
          <w:szCs w:val="20"/>
          <w:color w:val="auto"/>
        </w:rPr>
      </w:pPr>
      <w:r>
        <w:rPr>
          <w:rFonts w:ascii="Calibri" w:cs="Calibri" w:eastAsia="Calibri" w:hAnsi="Calibri"/>
          <w:sz w:val="18"/>
          <w:szCs w:val="18"/>
          <w:color w:val="auto"/>
        </w:rPr>
        <w:t>We also turned to sales 36 gross (2.2 net) non-operated wells in the Rustler Breaks asset area during 2025.</w:t>
      </w:r>
    </w:p>
    <w:p>
      <w:pPr>
        <w:spacing w:after="0" w:line="227"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Stateline Asset Area - Eddy County, New Mexico</w:t>
      </w:r>
    </w:p>
    <w:p>
      <w:pPr>
        <w:spacing w:after="0" w:line="208" w:lineRule="exact"/>
        <w:rPr>
          <w:sz w:val="20"/>
          <w:szCs w:val="20"/>
          <w:color w:val="auto"/>
        </w:rPr>
      </w:pPr>
    </w:p>
    <w:p>
      <w:pPr>
        <w:ind w:right="860" w:firstLine="241"/>
        <w:spacing w:after="0" w:line="252" w:lineRule="auto"/>
        <w:rPr>
          <w:sz w:val="20"/>
          <w:szCs w:val="20"/>
          <w:color w:val="auto"/>
        </w:rPr>
      </w:pPr>
      <w:r>
        <w:rPr>
          <w:rFonts w:ascii="Calibri" w:cs="Calibri" w:eastAsia="Calibri" w:hAnsi="Calibri"/>
          <w:sz w:val="18"/>
          <w:szCs w:val="18"/>
          <w:color w:val="auto"/>
        </w:rPr>
        <w:t>We did not conduct any operated or non-operated drilling and completion activities on our leasehold properties in the Stateline asset area during 2025.</w:t>
      </w:r>
    </w:p>
    <w:p>
      <w:pPr>
        <w:spacing w:after="0" w:line="216"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West Texas Asset Area - Loving, Ward and Winkler Counties, Texas</w:t>
      </w:r>
    </w:p>
    <w:p>
      <w:pPr>
        <w:spacing w:after="0" w:line="208" w:lineRule="exact"/>
        <w:rPr>
          <w:sz w:val="20"/>
          <w:szCs w:val="20"/>
          <w:color w:val="auto"/>
        </w:rPr>
      </w:pPr>
    </w:p>
    <w:p>
      <w:pPr>
        <w:ind w:right="760" w:firstLine="241"/>
        <w:spacing w:after="0" w:line="264" w:lineRule="auto"/>
        <w:rPr>
          <w:sz w:val="20"/>
          <w:szCs w:val="20"/>
          <w:color w:val="auto"/>
        </w:rPr>
      </w:pPr>
      <w:r>
        <w:rPr>
          <w:rFonts w:ascii="Calibri" w:cs="Calibri" w:eastAsia="Calibri" w:hAnsi="Calibri"/>
          <w:sz w:val="18"/>
          <w:szCs w:val="18"/>
          <w:color w:val="auto"/>
        </w:rPr>
        <w:t>We turned to sales nine gross (8.7 net) operated wells in the West Texas asset area during 2025. In total, these nine West Texas wells, which included two Third Bone Spring, one Wolfcamp A and six Wolfcamp B completions, have produced in aggregate approximately 0.4 million BOE in approximately three months of production. These nine wells had average completed lateral lengths of approximately 10,100 feet.</w:t>
      </w:r>
    </w:p>
    <w:p>
      <w:pPr>
        <w:spacing w:after="0" w:line="204" w:lineRule="exact"/>
        <w:rPr>
          <w:sz w:val="20"/>
          <w:szCs w:val="20"/>
          <w:color w:val="auto"/>
        </w:rPr>
      </w:pPr>
    </w:p>
    <w:p>
      <w:pPr>
        <w:ind w:left="240"/>
        <w:spacing w:after="0"/>
        <w:rPr>
          <w:sz w:val="20"/>
          <w:szCs w:val="20"/>
          <w:color w:val="auto"/>
        </w:rPr>
      </w:pPr>
      <w:r>
        <w:rPr>
          <w:rFonts w:ascii="Calibri" w:cs="Calibri" w:eastAsia="Calibri" w:hAnsi="Calibri"/>
          <w:sz w:val="18"/>
          <w:szCs w:val="18"/>
          <w:color w:val="auto"/>
        </w:rPr>
        <w:t>We also turned to sales one gross (0.2 net) non-operated well in the West Texas asset area during 2025.</w:t>
      </w:r>
    </w:p>
    <w:p>
      <w:pPr>
        <w:spacing w:after="0" w:line="227"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214E93"/>
        </w:rPr>
        <w:t>South Texas — Eagle Ford Shale and Other Formations</w:t>
      </w:r>
    </w:p>
    <w:p>
      <w:pPr>
        <w:spacing w:after="0" w:line="191" w:lineRule="exact"/>
        <w:rPr>
          <w:sz w:val="20"/>
          <w:szCs w:val="20"/>
          <w:color w:val="auto"/>
        </w:rPr>
      </w:pPr>
    </w:p>
    <w:p>
      <w:pPr>
        <w:ind w:left="240"/>
        <w:spacing w:after="0"/>
        <w:rPr>
          <w:sz w:val="20"/>
          <w:szCs w:val="20"/>
          <w:color w:val="auto"/>
        </w:rPr>
      </w:pPr>
      <w:r>
        <w:rPr>
          <w:rFonts w:ascii="Calibri" w:cs="Calibri" w:eastAsia="Calibri" w:hAnsi="Calibri"/>
          <w:sz w:val="18"/>
          <w:szCs w:val="18"/>
          <w:color w:val="auto"/>
        </w:rPr>
        <w:t>During the first quarter of 2025, the Company sold its remaining South Texas assets in the Eagle Ford shale for $22.2 million.</w:t>
      </w:r>
    </w:p>
    <w:p>
      <w:pPr>
        <w:spacing w:after="0" w:line="227"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Northwest Louisiana — Haynesville Shale, Cotton Valley and Other Formations</w:t>
      </w:r>
    </w:p>
    <w:p>
      <w:pPr>
        <w:spacing w:after="0" w:line="208" w:lineRule="exact"/>
        <w:rPr>
          <w:sz w:val="20"/>
          <w:szCs w:val="20"/>
          <w:color w:val="auto"/>
        </w:rPr>
      </w:pPr>
    </w:p>
    <w:p>
      <w:pPr>
        <w:ind w:right="780" w:firstLine="241"/>
        <w:spacing w:after="0" w:line="261" w:lineRule="auto"/>
        <w:rPr>
          <w:sz w:val="20"/>
          <w:szCs w:val="20"/>
          <w:color w:val="auto"/>
        </w:rPr>
      </w:pPr>
      <w:r>
        <w:rPr>
          <w:rFonts w:ascii="Calibri" w:cs="Calibri" w:eastAsia="Calibri" w:hAnsi="Calibri"/>
          <w:sz w:val="18"/>
          <w:szCs w:val="18"/>
          <w:color w:val="auto"/>
        </w:rPr>
        <w:t>We did not conduct any operated drilling and completion activities on our leasehold properties in Northwest Louisiana during 2025, although we did participate in the drilling and completion of 12 gross (0.1 net) non-operated Haynesville shale wells that were turned to sales in 2025.</w:t>
      </w:r>
    </w:p>
    <w:p>
      <w:pPr>
        <w:spacing w:after="0" w:line="223" w:lineRule="exact"/>
        <w:rPr>
          <w:sz w:val="20"/>
          <w:szCs w:val="20"/>
          <w:color w:val="auto"/>
        </w:rPr>
      </w:pPr>
    </w:p>
    <w:p>
      <w:pPr>
        <w:ind w:right="720" w:firstLine="241"/>
        <w:spacing w:after="0" w:line="285" w:lineRule="auto"/>
        <w:rPr>
          <w:sz w:val="20"/>
          <w:szCs w:val="20"/>
          <w:color w:val="auto"/>
        </w:rPr>
      </w:pPr>
      <w:r>
        <w:rPr>
          <w:rFonts w:ascii="Calibri" w:cs="Calibri" w:eastAsia="Calibri" w:hAnsi="Calibri"/>
          <w:sz w:val="17"/>
          <w:szCs w:val="17"/>
          <w:color w:val="auto"/>
        </w:rPr>
        <w:t>At December 31, 2025, we held approximately 18,500 gross (17,300 net) acres in Northwest Louisiana, including 16,200 gross (8,900 net) acres in the Haynesville shale play and 15,800 gross (14,800 net) acres in the Cotton Valley play. We operate substantially all of our Cotton Valley and shallower production on our leasehold interests in Northwest Louisiana, as well as all of our Haynesville production on the acreage outside of what we believe to be the core area of the Haynesville shale play. We operate approximately 8% of the 11,600 gross (4,700 net) acres that we consider to be in the core area of the Haynesville shale play. All of our leasehold in the Haynesville and Cotton Valley plays in Northwest Louisiana was held by existing production at December 31, 2025.</w:t>
      </w:r>
    </w:p>
    <w:p>
      <w:pPr>
        <w:spacing w:after="0" w:line="205" w:lineRule="exact"/>
        <w:rPr>
          <w:sz w:val="20"/>
          <w:szCs w:val="20"/>
          <w:color w:val="auto"/>
        </w:rPr>
      </w:pPr>
    </w:p>
    <w:p>
      <w:pPr>
        <w:ind w:right="720" w:firstLine="241"/>
        <w:spacing w:after="0" w:line="285" w:lineRule="auto"/>
        <w:rPr>
          <w:sz w:val="20"/>
          <w:szCs w:val="20"/>
          <w:color w:val="auto"/>
        </w:rPr>
      </w:pPr>
      <w:r>
        <w:rPr>
          <w:rFonts w:ascii="Calibri" w:cs="Calibri" w:eastAsia="Calibri" w:hAnsi="Calibri"/>
          <w:sz w:val="17"/>
          <w:szCs w:val="17"/>
          <w:color w:val="auto"/>
        </w:rPr>
        <w:t>For the year ended December 31, 2025, approximately 2% of our average daily oil equivalent production, or 3,635 BOE per day, including one Bbl of oil per day and 21.8 MMcf of natural gas per day, was attributable to our leasehold interests in Northwest Louisiana, while for the year ended December 31, 2024, approximately 2% of our average daily oil equivalent production, or 3,492 BOE per day, including three Bbl of oil per day and 21.0 MMcf of natural gas per day, was attributable to our properties in Northwest Louisiana. For the year ended December 31, 2025, approximately 4% of our daily natural gas production, or 21.8 MMcf of natural gas per day, was attributable to our leasehold interests in Northwest Louisiana, while for the year ended December 31, 2024, approximately 5% of our daily natural gas production, or 21.0 MMcf of natural gas per day, was attributable to these properties. At</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92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1160" w:top="498" w:right="440" w:bottom="0" w:gutter="0" w:footer="0" w:header="0"/>
          <w:type w:val="continuous"/>
        </w:sectPr>
      </w:pPr>
    </w:p>
    <w:bookmarkStart w:id="25" w:name="page26"/>
    <w:bookmarkEnd w:id="25"/>
    <w:p>
      <w:pPr>
        <w:spacing w:after="0"/>
        <w:tabs>
          <w:tab w:leader="none" w:pos="740" w:val="left"/>
        </w:tabs>
        <w:rPr>
          <w:sz w:val="20"/>
          <w:szCs w:val="20"/>
          <w:color w:val="auto"/>
        </w:rPr>
      </w:pPr>
      <w:r>
        <w:rPr>
          <w:rFonts w:ascii="Calibri" w:cs="Calibri" w:eastAsia="Calibri" w:hAnsi="Calibri"/>
          <w:sz w:val="18"/>
          <w:szCs w:val="18"/>
          <w:color w:val="auto"/>
        </w:rPr>
        <w:t>12</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20" w:right="300"/>
        <w:spacing w:after="0" w:line="252" w:lineRule="auto"/>
        <w:rPr>
          <w:sz w:val="20"/>
          <w:szCs w:val="20"/>
          <w:color w:val="auto"/>
        </w:rPr>
      </w:pPr>
      <w:r>
        <w:rPr>
          <w:rFonts w:ascii="Calibri" w:cs="Calibri" w:eastAsia="Calibri" w:hAnsi="Calibri"/>
          <w:sz w:val="18"/>
          <w:szCs w:val="18"/>
          <w:color w:val="auto"/>
        </w:rPr>
        <w:t>December 31, 2025, less than 1% of our estimated total proved reserves, or 4.8 million BOE, was attributable to our properties in Northwest Louisiana.</w:t>
      </w:r>
    </w:p>
    <w:p>
      <w:pPr>
        <w:spacing w:after="0" w:line="228" w:lineRule="exact"/>
        <w:rPr>
          <w:sz w:val="20"/>
          <w:szCs w:val="20"/>
          <w:color w:val="auto"/>
        </w:rPr>
      </w:pPr>
    </w:p>
    <w:p>
      <w:pPr>
        <w:ind w:left="720"/>
        <w:spacing w:after="0"/>
        <w:rPr>
          <w:sz w:val="20"/>
          <w:szCs w:val="20"/>
          <w:color w:val="auto"/>
        </w:rPr>
      </w:pPr>
      <w:r>
        <w:rPr>
          <w:rFonts w:ascii="Verdana" w:cs="Verdana" w:eastAsia="Verdana" w:hAnsi="Verdana"/>
          <w:sz w:val="20"/>
          <w:szCs w:val="20"/>
          <w:color w:val="214E93"/>
        </w:rPr>
        <w:t>MIDSTREAM SEGMENT</w:t>
      </w:r>
    </w:p>
    <w:p>
      <w:pPr>
        <w:spacing w:after="0" w:line="209" w:lineRule="exact"/>
        <w:rPr>
          <w:sz w:val="20"/>
          <w:szCs w:val="20"/>
          <w:color w:val="auto"/>
        </w:rPr>
      </w:pPr>
    </w:p>
    <w:p>
      <w:pPr>
        <w:jc w:val="both"/>
        <w:ind w:left="720" w:right="620" w:firstLine="241"/>
        <w:spacing w:after="0" w:line="261" w:lineRule="auto"/>
        <w:rPr>
          <w:sz w:val="20"/>
          <w:szCs w:val="20"/>
          <w:color w:val="auto"/>
        </w:rPr>
      </w:pPr>
      <w:r>
        <w:rPr>
          <w:rFonts w:ascii="Calibri" w:cs="Calibri" w:eastAsia="Calibri" w:hAnsi="Calibri"/>
          <w:sz w:val="18"/>
          <w:szCs w:val="18"/>
          <w:color w:val="auto"/>
        </w:rPr>
        <w:t>Our midstream segment conducts midstream operations in support of, and provides flow assurance for, our exploration, development and production operations and provides natural gas processing, oil transportation services, oil, natural gas and produced water gathering services and produced water disposal services to third parties.</w:t>
      </w:r>
    </w:p>
    <w:p>
      <w:pPr>
        <w:spacing w:after="0" w:line="209" w:lineRule="exact"/>
        <w:rPr>
          <w:sz w:val="20"/>
          <w:szCs w:val="20"/>
          <w:color w:val="auto"/>
        </w:rPr>
      </w:pPr>
    </w:p>
    <w:p>
      <w:pPr>
        <w:ind w:left="720"/>
        <w:spacing w:after="0"/>
        <w:rPr>
          <w:sz w:val="20"/>
          <w:szCs w:val="20"/>
          <w:color w:val="auto"/>
        </w:rPr>
      </w:pPr>
      <w:r>
        <w:rPr>
          <w:rFonts w:ascii="Calibri" w:cs="Calibri" w:eastAsia="Calibri" w:hAnsi="Calibri"/>
          <w:sz w:val="19"/>
          <w:szCs w:val="19"/>
          <w:b w:val="1"/>
          <w:bCs w:val="1"/>
          <w:color w:val="214E93"/>
        </w:rPr>
        <w:t>Southeast New Mexico and West Texas — Delaware Basin</w:t>
      </w:r>
    </w:p>
    <w:p>
      <w:pPr>
        <w:spacing w:after="0" w:line="208" w:lineRule="exact"/>
        <w:rPr>
          <w:sz w:val="20"/>
          <w:szCs w:val="20"/>
          <w:color w:val="auto"/>
        </w:rPr>
      </w:pPr>
    </w:p>
    <w:p>
      <w:pPr>
        <w:ind w:left="720" w:firstLine="241"/>
        <w:spacing w:after="0" w:line="269" w:lineRule="auto"/>
        <w:rPr>
          <w:sz w:val="20"/>
          <w:szCs w:val="20"/>
          <w:color w:val="auto"/>
        </w:rPr>
      </w:pPr>
      <w:r>
        <w:rPr>
          <w:rFonts w:ascii="Calibri" w:cs="Calibri" w:eastAsia="Calibri" w:hAnsi="Calibri"/>
          <w:sz w:val="18"/>
          <w:szCs w:val="18"/>
          <w:color w:val="auto"/>
        </w:rPr>
        <w:t>On February 17, 2017, we announced the formation of San Mateo, a strategic joint venture with Five Point. The midstream assets that were contributed to San Mateo included (i) San Mateo’s Black River cryogenic natural gas processing plant in Eddy County, New Mexico (the “Black River Processing Plant”) (before its expansions); (ii) one salt water disposal well and a related commercial salt water disposal facility in the Rustler Breaks asset area; (iii) three salt water disposal wells and related commercial salt water disposal facilities in the West Texas asset area; and (iv) substantially all related oil, natural gas and produced water gathering systems and pipelines in both the Rustler Breaks asset area and in Loving County, Texas (collectively, the “Delaware Midstream Assets”). We received $171.5 million in connection with the formation of San Mateo and earned all of the potential $73.5 million in performance incentives through January 31, 2023. In connection with the formation of San Mateo, we dedicated to San Mateo current and certain future leasehold interests in the Rustler Breaks asset area and the Wolf portion of the West Texas asset area pursuant to 15-year, fixed fee oil, natural gas and produced water gathering and produced water disposal agreements. In addition, we dedicated current and certain future leasehold interests in the Rustler Breaks asset area to San Mateo pursuant to a 15-year, fixed fee natural gas processing agreement.</w:t>
      </w:r>
    </w:p>
    <w:p>
      <w:pPr>
        <w:spacing w:after="0" w:line="216" w:lineRule="exact"/>
        <w:rPr>
          <w:sz w:val="20"/>
          <w:szCs w:val="20"/>
          <w:color w:val="auto"/>
        </w:rPr>
      </w:pPr>
    </w:p>
    <w:p>
      <w:pPr>
        <w:ind w:left="720" w:right="20" w:firstLine="241"/>
        <w:spacing w:after="0" w:line="268" w:lineRule="auto"/>
        <w:rPr>
          <w:sz w:val="20"/>
          <w:szCs w:val="20"/>
          <w:color w:val="auto"/>
        </w:rPr>
      </w:pPr>
      <w:r>
        <w:rPr>
          <w:rFonts w:ascii="Calibri" w:cs="Calibri" w:eastAsia="Calibri" w:hAnsi="Calibri"/>
          <w:sz w:val="18"/>
          <w:szCs w:val="18"/>
          <w:color w:val="auto"/>
        </w:rPr>
        <w:t>On February 25, 2019, we announced the formation of San Mateo Midstream II, LLC (“San Mateo II”), a strategic joint venture with Five Point designed to expand our midstream operations in the Delaware Basin, specifically in Eddy County, New Mexico. In addition, Five Point committed to pay $125.0 million of the first $150.0 million of capital expenditures incurred by San Mateo II to develop facilities in the Greater Stebbins Area and the Stateline asset area. The $150.0 million threshold for capital expenditures was reached during 2020 and additional capital expenditures are the responsibility of the Company and Five Point based on each company’s proportionate interest in San Mateo. In addition, we earned $108.2 million in performance incentives through September 30, 2024. In connection with the formation of San Mateo II, we dedicated to San Mateo II acreage in the Greater Stebbins Area and the Stateline asset area pursuant to 15-year, fixed-fee oil transportation, oil, natural gas and produced water gathering, natural gas processing and produced water disposal agreements.</w:t>
      </w:r>
    </w:p>
    <w:p>
      <w:pPr>
        <w:spacing w:after="0" w:line="219" w:lineRule="exact"/>
        <w:rPr>
          <w:sz w:val="20"/>
          <w:szCs w:val="20"/>
          <w:color w:val="auto"/>
        </w:rPr>
      </w:pPr>
    </w:p>
    <w:p>
      <w:pPr>
        <w:jc w:val="both"/>
        <w:ind w:left="720" w:firstLine="241"/>
        <w:spacing w:after="0" w:line="266" w:lineRule="auto"/>
        <w:rPr>
          <w:sz w:val="20"/>
          <w:szCs w:val="20"/>
          <w:color w:val="auto"/>
        </w:rPr>
      </w:pPr>
      <w:r>
        <w:rPr>
          <w:rFonts w:ascii="Calibri" w:cs="Calibri" w:eastAsia="Calibri" w:hAnsi="Calibri"/>
          <w:sz w:val="18"/>
          <w:szCs w:val="18"/>
          <w:color w:val="auto"/>
        </w:rPr>
        <w:t>Effective October 1, 2020, San Mateo II merged with and into San Mateo. The Company and Five Point own 51% and 49% of San Mateo, respectively. San Mateo provides firm service to us, while also being a midstream service provider to other customers in and around our Stateline, West Texas and Rustler Breaks asset areas and the Greater Stebbins Area. We retain operational control of San Mateo and continue to operate the Delaware Midstream Assets, the expanded Black River Processing Plant and the other midstream facilities that have been developed in the Greater Stebbins Area and the Stateline asset area.</w:t>
      </w:r>
    </w:p>
    <w:p>
      <w:pPr>
        <w:spacing w:after="0" w:line="218" w:lineRule="exact"/>
        <w:rPr>
          <w:sz w:val="20"/>
          <w:szCs w:val="20"/>
          <w:color w:val="auto"/>
        </w:rPr>
      </w:pPr>
    </w:p>
    <w:p>
      <w:pPr>
        <w:ind w:left="720" w:right="40" w:firstLine="241"/>
        <w:spacing w:after="0" w:line="252" w:lineRule="auto"/>
        <w:rPr>
          <w:sz w:val="20"/>
          <w:szCs w:val="20"/>
          <w:color w:val="auto"/>
        </w:rPr>
      </w:pPr>
      <w:r>
        <w:rPr>
          <w:rFonts w:ascii="Calibri" w:cs="Calibri" w:eastAsia="Calibri" w:hAnsi="Calibri"/>
          <w:sz w:val="18"/>
          <w:szCs w:val="18"/>
          <w:color w:val="auto"/>
        </w:rPr>
        <w:t>On June 30, 2022, we acquired Pronto, including the Marlan Processing Plant (prior to expansion), three compressor stations and approximately 45 miles of natural gas gathering pipelines in Lea and Eddy Counties, New Mexico.</w:t>
      </w:r>
    </w:p>
    <w:p>
      <w:pPr>
        <w:spacing w:after="0" w:line="230" w:lineRule="exact"/>
        <w:rPr>
          <w:sz w:val="20"/>
          <w:szCs w:val="20"/>
          <w:color w:val="auto"/>
        </w:rPr>
      </w:pPr>
    </w:p>
    <w:p>
      <w:pPr>
        <w:ind w:left="720" w:right="1060" w:firstLine="241"/>
        <w:spacing w:after="0" w:line="281" w:lineRule="auto"/>
        <w:rPr>
          <w:sz w:val="20"/>
          <w:szCs w:val="20"/>
          <w:color w:val="auto"/>
        </w:rPr>
      </w:pPr>
      <w:r>
        <w:rPr>
          <w:rFonts w:ascii="Calibri" w:cs="Calibri" w:eastAsia="Calibri" w:hAnsi="Calibri"/>
          <w:sz w:val="17"/>
          <w:szCs w:val="17"/>
          <w:color w:val="auto"/>
        </w:rPr>
        <w:t>On April 13, 2023, we completed the Advance Acquisition, which included one commercial salt water disposal well, approximately 28 miles of water gathering assets and approximately 17 miles of natural gas gathering pipelines.</w:t>
      </w:r>
    </w:p>
    <w:p>
      <w:pPr>
        <w:spacing w:after="0" w:line="206" w:lineRule="exact"/>
        <w:rPr>
          <w:sz w:val="20"/>
          <w:szCs w:val="20"/>
          <w:color w:val="auto"/>
        </w:rPr>
      </w:pPr>
    </w:p>
    <w:p>
      <w:pPr>
        <w:ind w:left="720" w:right="600" w:firstLine="241"/>
        <w:spacing w:after="0" w:line="252" w:lineRule="auto"/>
        <w:rPr>
          <w:sz w:val="20"/>
          <w:szCs w:val="20"/>
          <w:color w:val="auto"/>
        </w:rPr>
      </w:pPr>
      <w:r>
        <w:rPr>
          <w:rFonts w:ascii="Calibri" w:cs="Calibri" w:eastAsia="Calibri" w:hAnsi="Calibri"/>
          <w:sz w:val="18"/>
          <w:szCs w:val="18"/>
          <w:color w:val="auto"/>
        </w:rPr>
        <w:t>On September 18, 2024, we completed the Ameredev Acquisition, which included approximately 180 miles of natural gas gathering, water gathering and oil transportation and gathering pipeline assets.</w:t>
      </w:r>
    </w:p>
    <w:p>
      <w:pPr>
        <w:spacing w:after="0" w:line="230" w:lineRule="exact"/>
        <w:rPr>
          <w:sz w:val="20"/>
          <w:szCs w:val="20"/>
          <w:color w:val="auto"/>
        </w:rPr>
      </w:pPr>
    </w:p>
    <w:p>
      <w:pPr>
        <w:ind w:left="720" w:right="140" w:firstLine="241"/>
        <w:spacing w:after="0" w:line="284" w:lineRule="auto"/>
        <w:rPr>
          <w:sz w:val="20"/>
          <w:szCs w:val="20"/>
          <w:color w:val="auto"/>
        </w:rPr>
      </w:pPr>
      <w:r>
        <w:rPr>
          <w:rFonts w:ascii="Calibri" w:cs="Calibri" w:eastAsia="Calibri" w:hAnsi="Calibri"/>
          <w:sz w:val="17"/>
          <w:szCs w:val="17"/>
          <w:color w:val="auto"/>
        </w:rPr>
        <w:t>On December 18, 2024, we completed a transaction with Five Point in which we contributed Pronto, a wholly-owned subsidiary of the Company, to San Mateo, and Five Point made a cash contribution to San Mateo of $171.5 million (the “Pronto Transaction”). In connection with the Pronto Transaction, we received a special distribution from San Mateo of approximately $219.8 million. In addition, we have the potential to earn up to $75.0 million in incentive payments from Five Point over a five-year period, of which</w:t>
      </w:r>
    </w:p>
    <w:p>
      <w:pPr>
        <w:sectPr>
          <w:pgSz w:w="11880" w:h="15480" w:orient="portrait"/>
          <w:cols w:equalWidth="0" w:num="1">
            <w:col w:w="10280"/>
          </w:cols>
          <w:pgMar w:left="44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440" w:top="498" w:right="1160" w:bottom="0" w:gutter="0" w:footer="0" w:header="0"/>
          <w:type w:val="continuous"/>
        </w:sectPr>
      </w:pPr>
    </w:p>
    <w:bookmarkStart w:id="26" w:name="page27"/>
    <w:bookmarkEnd w:id="26"/>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13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860"/>
        <w:spacing w:after="0" w:line="252" w:lineRule="auto"/>
        <w:rPr>
          <w:sz w:val="20"/>
          <w:szCs w:val="20"/>
          <w:color w:val="auto"/>
        </w:rPr>
      </w:pPr>
      <w:r>
        <w:rPr>
          <w:rFonts w:ascii="Calibri" w:cs="Calibri" w:eastAsia="Calibri" w:hAnsi="Calibri"/>
          <w:sz w:val="18"/>
          <w:szCs w:val="18"/>
          <w:color w:val="auto"/>
        </w:rPr>
        <w:t>$13.0 million and $1.3 million was paid by Five Point during the years ended December 31, 2025 and 2024, respectively. San Mateo continues to be owned 51% by us and 49% by Five Point.</w:t>
      </w:r>
    </w:p>
    <w:p>
      <w:pPr>
        <w:spacing w:after="0" w:line="230" w:lineRule="exact"/>
        <w:rPr>
          <w:sz w:val="20"/>
          <w:szCs w:val="20"/>
          <w:color w:val="auto"/>
        </w:rPr>
      </w:pPr>
    </w:p>
    <w:p>
      <w:pPr>
        <w:ind w:right="780" w:firstLine="241"/>
        <w:spacing w:after="0" w:line="267" w:lineRule="auto"/>
        <w:rPr>
          <w:sz w:val="20"/>
          <w:szCs w:val="20"/>
          <w:color w:val="auto"/>
        </w:rPr>
      </w:pPr>
      <w:r>
        <w:rPr>
          <w:rFonts w:ascii="Calibri" w:cs="Calibri" w:eastAsia="Calibri" w:hAnsi="Calibri"/>
          <w:sz w:val="18"/>
          <w:szCs w:val="18"/>
          <w:color w:val="auto"/>
        </w:rPr>
        <w:t>In connection with the Pronto Transaction, Matador dedicated to San Mateo its current and certain future leasehold interests in the Ranger and Antelope Ridge asset areas pursuant to 15-year, fixed fee natural gas gathering, compression, treating and processing agreements whereby San Mateo will gather, compress, treat and process natural gas produced from our operated wells in northern Lea County, New Mexico. In addition, San Mateo entered into certain agreements with Northwind Midstream Partners LLC (“Northwind”), previously an affiliate of Five Point, whereby Northwind will treat certain sour gas gathered and delivered by San Mateo in northern Lea County, New Mexico. Under these agreements, Northwind will redeliver the treated sweet gas from San Mateo and other third-party customers to San Mateo for processing.</w:t>
      </w:r>
    </w:p>
    <w:p>
      <w:pPr>
        <w:spacing w:after="0" w:line="207"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Natural Gas Gathering and Processing Assets</w:t>
      </w:r>
    </w:p>
    <w:p>
      <w:pPr>
        <w:spacing w:after="0" w:line="208" w:lineRule="exact"/>
        <w:rPr>
          <w:sz w:val="20"/>
          <w:szCs w:val="20"/>
          <w:color w:val="auto"/>
        </w:rPr>
      </w:pPr>
    </w:p>
    <w:p>
      <w:pPr>
        <w:ind w:right="840" w:firstLine="241"/>
        <w:spacing w:after="0" w:line="285" w:lineRule="auto"/>
        <w:rPr>
          <w:sz w:val="20"/>
          <w:szCs w:val="20"/>
          <w:color w:val="auto"/>
        </w:rPr>
      </w:pPr>
      <w:r>
        <w:rPr>
          <w:rFonts w:ascii="Calibri" w:cs="Calibri" w:eastAsia="Calibri" w:hAnsi="Calibri"/>
          <w:sz w:val="17"/>
          <w:szCs w:val="17"/>
          <w:color w:val="auto"/>
        </w:rPr>
        <w:t>The Black River Processing Plant and associated gathering system (the “Black River Gathering System”) were originally built to support our ongoing and future development efforts in the Rustler Breaks asset area and to provide us with firm takeaway and processing services for our Rustler Breaks natural gas production. We had previously completed the installation and testing of a 12-inch natural gas trunk line and associated gathering lines running throughout the length of our Rustler Breaks acreage position, and these natural gas gathering lines are being used to gather almost all of our operated natural gas production at Rustler Breaks.</w:t>
      </w:r>
    </w:p>
    <w:p>
      <w:pPr>
        <w:spacing w:after="0" w:line="203" w:lineRule="exact"/>
        <w:rPr>
          <w:sz w:val="20"/>
          <w:szCs w:val="20"/>
          <w:color w:val="auto"/>
        </w:rPr>
      </w:pPr>
    </w:p>
    <w:p>
      <w:pPr>
        <w:ind w:right="740" w:firstLine="241"/>
        <w:spacing w:after="0" w:line="267" w:lineRule="auto"/>
        <w:rPr>
          <w:sz w:val="20"/>
          <w:szCs w:val="20"/>
          <w:color w:val="auto"/>
        </w:rPr>
      </w:pPr>
      <w:r>
        <w:rPr>
          <w:rFonts w:ascii="Calibri" w:cs="Calibri" w:eastAsia="Calibri" w:hAnsi="Calibri"/>
          <w:sz w:val="18"/>
          <w:szCs w:val="18"/>
          <w:color w:val="auto"/>
        </w:rPr>
        <w:t>In 2020, San Mateo completed the construction and successful start-up of the expansion of the Black River Processing Plant to add an incremental designed inlet capacity of 200 MMcf of natural gas per day to the existing designed inlet capacity of 260 MMcf of natural gas per day, bringing the total designed inlet capacity to 460 MMcf of natural gas per day. The expanded Black River Processing Plant supports our exploration and development activities in the Delaware Basin and, at December 31, 2025, was also gathering and processing natural gas from the Stateline asset area and from the Greater Stebbins Area. The Black River Processing Plant also processes natural gas from our Rustler Breaks asset area and provides natural gas processing services for other San Mateo customers in the area.</w:t>
      </w:r>
    </w:p>
    <w:p>
      <w:pPr>
        <w:spacing w:after="0" w:line="220" w:lineRule="exact"/>
        <w:rPr>
          <w:sz w:val="20"/>
          <w:szCs w:val="20"/>
          <w:color w:val="auto"/>
        </w:rPr>
      </w:pPr>
    </w:p>
    <w:p>
      <w:pPr>
        <w:ind w:right="980" w:firstLine="241"/>
        <w:spacing w:after="0" w:line="261" w:lineRule="auto"/>
        <w:rPr>
          <w:sz w:val="20"/>
          <w:szCs w:val="20"/>
          <w:color w:val="auto"/>
        </w:rPr>
      </w:pPr>
      <w:r>
        <w:rPr>
          <w:rFonts w:ascii="Calibri" w:cs="Calibri" w:eastAsia="Calibri" w:hAnsi="Calibri"/>
          <w:sz w:val="18"/>
          <w:szCs w:val="18"/>
          <w:color w:val="auto"/>
        </w:rPr>
        <w:t>In March 2024, we completed our natural gas pipeline connections between Pronto and the Black River Gathering System and between Pronto and Matador’s acreage obtained in the Advance Acquisition. These connector pipelines provide further flow assurance and options for Matador and third-party customer natural gas.</w:t>
      </w:r>
    </w:p>
    <w:p>
      <w:pPr>
        <w:spacing w:after="0" w:line="223" w:lineRule="exact"/>
        <w:rPr>
          <w:sz w:val="20"/>
          <w:szCs w:val="20"/>
          <w:color w:val="auto"/>
        </w:rPr>
      </w:pPr>
    </w:p>
    <w:p>
      <w:pPr>
        <w:ind w:right="800" w:firstLine="241"/>
        <w:spacing w:after="0" w:line="266" w:lineRule="auto"/>
        <w:rPr>
          <w:sz w:val="20"/>
          <w:szCs w:val="20"/>
          <w:color w:val="auto"/>
        </w:rPr>
      </w:pPr>
      <w:r>
        <w:rPr>
          <w:rFonts w:ascii="Calibri" w:cs="Calibri" w:eastAsia="Calibri" w:hAnsi="Calibri"/>
          <w:sz w:val="18"/>
          <w:szCs w:val="18"/>
          <w:color w:val="auto"/>
        </w:rPr>
        <w:t>Subsequent to the Pronto Transaction, San Mateo now owns and operates the expanded Marlan Processing Plant, which has a designed inlet capacity of 260 MMcf of natural gas per day, and operates Pronto’s six compressor stations and approximately 150 miles of natural gas gathering pipelines in Lea and Eddy Counties, New Mexico. The expanded Marlan Processing Plant came online in the second quarter of 2025 and increased San Mateo’s total natural gas cryogenic processing capacity to 720 MMcf of natural gas per day.</w:t>
      </w:r>
    </w:p>
    <w:p>
      <w:pPr>
        <w:spacing w:after="0" w:line="218" w:lineRule="exact"/>
        <w:rPr>
          <w:sz w:val="20"/>
          <w:szCs w:val="20"/>
          <w:color w:val="auto"/>
        </w:rPr>
      </w:pPr>
    </w:p>
    <w:p>
      <w:pPr>
        <w:ind w:right="860" w:firstLine="241"/>
        <w:spacing w:after="0" w:line="266" w:lineRule="auto"/>
        <w:rPr>
          <w:sz w:val="20"/>
          <w:szCs w:val="20"/>
          <w:color w:val="auto"/>
        </w:rPr>
      </w:pPr>
      <w:r>
        <w:rPr>
          <w:rFonts w:ascii="Calibri" w:cs="Calibri" w:eastAsia="Calibri" w:hAnsi="Calibri"/>
          <w:sz w:val="18"/>
          <w:szCs w:val="18"/>
          <w:color w:val="auto"/>
        </w:rPr>
        <w:t>At December 31, 2025, San Mateo had approximately 43 miles of large diameter natural gas gathering pipelines between the Black River Processing Plant and the Stateline asset area (approximately 24 miles) and the Greater Stebbins Area (approximately 19 miles). At December 31, 2025, San Mateo was gathering or transporting almost all our operated natural gas production via pipeline in the Stateline asset area, the Greater Stebbins Area, the Rustler Breaks asset area and the Wolf portion of our West Texas asset area.</w:t>
      </w:r>
    </w:p>
    <w:p>
      <w:pPr>
        <w:spacing w:after="0" w:line="218" w:lineRule="exact"/>
        <w:rPr>
          <w:sz w:val="20"/>
          <w:szCs w:val="20"/>
          <w:color w:val="auto"/>
        </w:rPr>
      </w:pPr>
    </w:p>
    <w:p>
      <w:pPr>
        <w:ind w:right="740" w:firstLine="241"/>
        <w:spacing w:after="0" w:line="267" w:lineRule="auto"/>
        <w:rPr>
          <w:sz w:val="20"/>
          <w:szCs w:val="20"/>
          <w:color w:val="auto"/>
        </w:rPr>
      </w:pPr>
      <w:r>
        <w:rPr>
          <w:rFonts w:ascii="Calibri" w:cs="Calibri" w:eastAsia="Calibri" w:hAnsi="Calibri"/>
          <w:sz w:val="18"/>
          <w:szCs w:val="18"/>
          <w:color w:val="auto"/>
        </w:rPr>
        <w:t>In addition, at December 31, 2025, San Mateo had NGL pipeline connections at the Black River Processing Plant to the NGL pipelines owned by EPIC Y-Grade Pipeline LP and Enterprise Products Partners L.P. These NGL connections provide several significant benefits to us and other San Mateo customers compared to transporting NGLs by truck. San Mateo’s customers receive (i) firm NGL takeaway out of the Delaware Basin, (ii) increased NGL recoveries, (iii) improved pricing realizations through lower transportation and fractionation costs, (iv) increased optionality through San Mateo’s ability to operate the Black River Processing Plant in ethane recovery mode, if desired, and (v) a reliable alternative to pipe rather than to truck NGLs during severe weather events and otherwise.</w:t>
      </w:r>
    </w:p>
    <w:p>
      <w:pPr>
        <w:spacing w:after="0" w:line="220" w:lineRule="exact"/>
        <w:rPr>
          <w:sz w:val="20"/>
          <w:szCs w:val="20"/>
          <w:color w:val="auto"/>
        </w:rPr>
      </w:pPr>
    </w:p>
    <w:p>
      <w:pPr>
        <w:ind w:right="720" w:firstLine="241"/>
        <w:spacing w:after="0" w:line="281" w:lineRule="auto"/>
        <w:rPr>
          <w:sz w:val="20"/>
          <w:szCs w:val="20"/>
          <w:color w:val="auto"/>
        </w:rPr>
      </w:pPr>
      <w:r>
        <w:rPr>
          <w:rFonts w:ascii="Calibri" w:cs="Calibri" w:eastAsia="Calibri" w:hAnsi="Calibri"/>
          <w:sz w:val="17"/>
          <w:szCs w:val="17"/>
          <w:color w:val="auto"/>
        </w:rPr>
        <w:t>In the Wolf portion of the West Texas asset area in Loving County, Texas, San Mateo gathers our natural gas production with the natural gas gathering system we retained following the sale of our wholly-owned subsidiary that owned certain natural gas gathering</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92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1160" w:top="498" w:right="440" w:bottom="0" w:gutter="0" w:footer="0" w:header="0"/>
          <w:type w:val="continuous"/>
        </w:sectPr>
      </w:pPr>
    </w:p>
    <w:bookmarkStart w:id="27" w:name="page28"/>
    <w:bookmarkEnd w:id="27"/>
    <w:p>
      <w:pPr>
        <w:spacing w:after="0"/>
        <w:tabs>
          <w:tab w:leader="none" w:pos="740" w:val="left"/>
        </w:tabs>
        <w:rPr>
          <w:sz w:val="20"/>
          <w:szCs w:val="20"/>
          <w:color w:val="auto"/>
        </w:rPr>
      </w:pPr>
      <w:r>
        <w:rPr>
          <w:rFonts w:ascii="Calibri" w:cs="Calibri" w:eastAsia="Calibri" w:hAnsi="Calibri"/>
          <w:sz w:val="18"/>
          <w:szCs w:val="18"/>
          <w:color w:val="auto"/>
        </w:rPr>
        <w:t>14</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20" w:right="60"/>
        <w:spacing w:after="0" w:line="252" w:lineRule="auto"/>
        <w:rPr>
          <w:sz w:val="20"/>
          <w:szCs w:val="20"/>
          <w:color w:val="auto"/>
        </w:rPr>
      </w:pPr>
      <w:r>
        <w:rPr>
          <w:rFonts w:ascii="Calibri" w:cs="Calibri" w:eastAsia="Calibri" w:hAnsi="Calibri"/>
          <w:sz w:val="18"/>
          <w:szCs w:val="18"/>
          <w:color w:val="auto"/>
        </w:rPr>
        <w:t>and processing assets in the West Texas asset area, including a cryogenic natural gas processing plant and approximately six miles of high-pressure gathering pipelines.</w:t>
      </w:r>
    </w:p>
    <w:p>
      <w:pPr>
        <w:spacing w:after="0" w:line="230" w:lineRule="exact"/>
        <w:rPr>
          <w:sz w:val="20"/>
          <w:szCs w:val="20"/>
          <w:color w:val="auto"/>
        </w:rPr>
      </w:pPr>
    </w:p>
    <w:p>
      <w:pPr>
        <w:ind w:left="720" w:right="20" w:firstLine="241"/>
        <w:spacing w:after="0" w:line="267" w:lineRule="auto"/>
        <w:rPr>
          <w:sz w:val="20"/>
          <w:szCs w:val="20"/>
          <w:color w:val="auto"/>
        </w:rPr>
      </w:pPr>
      <w:r>
        <w:rPr>
          <w:rFonts w:ascii="Calibri" w:cs="Calibri" w:eastAsia="Calibri" w:hAnsi="Calibri"/>
          <w:sz w:val="18"/>
          <w:szCs w:val="18"/>
          <w:color w:val="auto"/>
        </w:rPr>
        <w:t>At December 31, 2025, San Mateo’s natural gas gathering systems included natural gas gathering pipelines and related compression and treating systems. During the year ended December 31, 2025, San Mateo gathered an average of approximately 517 MMcf of natural gas per day, an increase of 21% as compared to 426 MMcf of natural gas per day gathered during the year ended December 31, 2024. In addition, during the year ended December 31, 2025, San Mateo processed approximately 502 MMcf of natural gas per day at the Black River Processing Plant, an increase of 25%, as compared to 403 MMcf of natural gas per day processed during the year ended December 31, 2024.</w:t>
      </w:r>
    </w:p>
    <w:p>
      <w:pPr>
        <w:spacing w:after="0" w:line="203" w:lineRule="exact"/>
        <w:rPr>
          <w:sz w:val="20"/>
          <w:szCs w:val="20"/>
          <w:color w:val="auto"/>
        </w:rPr>
      </w:pPr>
    </w:p>
    <w:p>
      <w:pPr>
        <w:ind w:left="720"/>
        <w:spacing w:after="0"/>
        <w:rPr>
          <w:sz w:val="20"/>
          <w:szCs w:val="20"/>
          <w:color w:val="auto"/>
        </w:rPr>
      </w:pPr>
      <w:r>
        <w:rPr>
          <w:rFonts w:ascii="Calibri" w:cs="Calibri" w:eastAsia="Calibri" w:hAnsi="Calibri"/>
          <w:sz w:val="19"/>
          <w:szCs w:val="19"/>
          <w:i w:val="1"/>
          <w:iCs w:val="1"/>
          <w:color w:val="214E93"/>
        </w:rPr>
        <w:t>Crude Oil Gathering and Transportation Assets</w:t>
      </w:r>
    </w:p>
    <w:p>
      <w:pPr>
        <w:spacing w:after="0" w:line="208" w:lineRule="exact"/>
        <w:rPr>
          <w:sz w:val="20"/>
          <w:szCs w:val="20"/>
          <w:color w:val="auto"/>
        </w:rPr>
      </w:pPr>
    </w:p>
    <w:p>
      <w:pPr>
        <w:ind w:left="720" w:firstLine="241"/>
        <w:spacing w:after="0" w:line="264" w:lineRule="auto"/>
        <w:rPr>
          <w:sz w:val="20"/>
          <w:szCs w:val="20"/>
          <w:color w:val="auto"/>
        </w:rPr>
      </w:pPr>
      <w:r>
        <w:rPr>
          <w:rFonts w:ascii="Calibri" w:cs="Calibri" w:eastAsia="Calibri" w:hAnsi="Calibri"/>
          <w:sz w:val="18"/>
          <w:szCs w:val="18"/>
          <w:color w:val="auto"/>
        </w:rPr>
        <w:t>San Mateo and Plains have entered into a strategic relationship to gather and transport crude oil for upstream producers in Eddy County, New Mexico and have agreed to work together through a joint tariff arrangement and related transactions to offer producers located within a joint development area crude oil transportation services from the wellhead to Midland, Texas with access to other end markets.</w:t>
      </w:r>
    </w:p>
    <w:p>
      <w:pPr>
        <w:spacing w:after="0" w:line="221" w:lineRule="exact"/>
        <w:rPr>
          <w:sz w:val="20"/>
          <w:szCs w:val="20"/>
          <w:color w:val="auto"/>
        </w:rPr>
      </w:pPr>
    </w:p>
    <w:p>
      <w:pPr>
        <w:ind w:left="720" w:right="60" w:firstLine="241"/>
        <w:spacing w:after="0" w:line="267" w:lineRule="auto"/>
        <w:rPr>
          <w:sz w:val="20"/>
          <w:szCs w:val="20"/>
          <w:color w:val="auto"/>
        </w:rPr>
      </w:pPr>
      <w:r>
        <w:rPr>
          <w:rFonts w:ascii="Calibri" w:cs="Calibri" w:eastAsia="Calibri" w:hAnsi="Calibri"/>
          <w:sz w:val="18"/>
          <w:szCs w:val="18"/>
          <w:color w:val="auto"/>
        </w:rPr>
        <w:t>At December 31, 2025, San Mateo had (i) a crude oil gathering and transportation system in the Greater Stebbins Area that was connected to the existing interconnect in the Rustler Breaks asset area totaling approximately 80 miles of various diameter crude oil pipelines and (ii) a crude oil gathering system in the Stateline asset area. With these oil gathering and transportation systems (collectively with the crude oil gathering and transportation system in the Rustler Breaks asset area and the crude oil gathering system in the West Texas asset area, the “San Mateo Oil Pipeline Systems”) in service, at December 31, 2025, we estimated almost all of our oil production from the Stateline, West Texas and Rustler Breaks asset areas and the Greater Stebbins Area was transported by pipeline.</w:t>
      </w:r>
    </w:p>
    <w:p>
      <w:pPr>
        <w:spacing w:after="0" w:line="220" w:lineRule="exact"/>
        <w:rPr>
          <w:sz w:val="20"/>
          <w:szCs w:val="20"/>
          <w:color w:val="auto"/>
        </w:rPr>
      </w:pPr>
    </w:p>
    <w:p>
      <w:pPr>
        <w:ind w:left="720" w:right="80" w:firstLine="241"/>
        <w:spacing w:after="0" w:line="284" w:lineRule="auto"/>
        <w:rPr>
          <w:sz w:val="20"/>
          <w:szCs w:val="20"/>
          <w:color w:val="auto"/>
        </w:rPr>
      </w:pPr>
      <w:r>
        <w:rPr>
          <w:rFonts w:ascii="Calibri" w:cs="Calibri" w:eastAsia="Calibri" w:hAnsi="Calibri"/>
          <w:sz w:val="17"/>
          <w:szCs w:val="17"/>
          <w:color w:val="auto"/>
        </w:rPr>
        <w:t>At December 31, 2025, the San Mateo Oil Pipeline Systems included crude oil gathering and transportation pipelines from points of origin in Eddy County, New Mexico and Loving County, Texas to interconnects with Plains and two trucking facilities. During the year ended December 31, 2025, the San Mateo Oil Pipeline Systems had throughput of approximately 52,900 Bbl of oil per day, an increase of 1%, as compared to throughput of approximately 52,600 Bbl of oil per day during the year ended December 31, 2024.</w:t>
      </w:r>
    </w:p>
    <w:p>
      <w:pPr>
        <w:spacing w:after="0" w:line="191" w:lineRule="exact"/>
        <w:rPr>
          <w:sz w:val="20"/>
          <w:szCs w:val="20"/>
          <w:color w:val="auto"/>
        </w:rPr>
      </w:pPr>
    </w:p>
    <w:p>
      <w:pPr>
        <w:ind w:left="720"/>
        <w:spacing w:after="0"/>
        <w:rPr>
          <w:sz w:val="20"/>
          <w:szCs w:val="20"/>
          <w:color w:val="auto"/>
        </w:rPr>
      </w:pPr>
      <w:r>
        <w:rPr>
          <w:rFonts w:ascii="Calibri" w:cs="Calibri" w:eastAsia="Calibri" w:hAnsi="Calibri"/>
          <w:sz w:val="19"/>
          <w:szCs w:val="19"/>
          <w:i w:val="1"/>
          <w:iCs w:val="1"/>
          <w:color w:val="214E93"/>
        </w:rPr>
        <w:t>Produced Water Gathering and Disposal Assets</w:t>
      </w:r>
    </w:p>
    <w:p>
      <w:pPr>
        <w:spacing w:after="0" w:line="208" w:lineRule="exact"/>
        <w:rPr>
          <w:sz w:val="20"/>
          <w:szCs w:val="20"/>
          <w:color w:val="auto"/>
        </w:rPr>
      </w:pPr>
    </w:p>
    <w:p>
      <w:pPr>
        <w:ind w:left="720" w:right="20" w:firstLine="241"/>
        <w:spacing w:after="0" w:line="285" w:lineRule="auto"/>
        <w:rPr>
          <w:sz w:val="20"/>
          <w:szCs w:val="20"/>
          <w:color w:val="auto"/>
        </w:rPr>
      </w:pPr>
      <w:r>
        <w:rPr>
          <w:rFonts w:ascii="Calibri" w:cs="Calibri" w:eastAsia="Calibri" w:hAnsi="Calibri"/>
          <w:sz w:val="17"/>
          <w:szCs w:val="17"/>
          <w:color w:val="auto"/>
        </w:rPr>
        <w:t>At December 31, 2025, San Mateo had four commercial salt water disposal wells and associated facilities in the Greater Stebbins Area, nine commercial salt water disposal wells and associated facilities in the Rustler Breaks asset area, three commercial salt water disposal wells and associated facilities in the West Texas asset area and produced water gathering systems in the Stateline, Rustler Breaks and West Texas asset areas and the Greater Stebbins Area. At December 31, 2025, San Mateo had designed disposal capacity of approximately 475,000 Bbl of produced water per day. In addition, at December 31, 2025, Matador had three commercial salt water disposal wells and associated facilities with a designed inlet capacity of 87,500 Bbl of produced water per day.</w:t>
      </w:r>
    </w:p>
    <w:p>
      <w:pPr>
        <w:spacing w:after="0" w:line="205" w:lineRule="exact"/>
        <w:rPr>
          <w:sz w:val="20"/>
          <w:szCs w:val="20"/>
          <w:color w:val="auto"/>
        </w:rPr>
      </w:pPr>
    </w:p>
    <w:p>
      <w:pPr>
        <w:ind w:left="720" w:firstLine="241"/>
        <w:spacing w:after="0" w:line="261" w:lineRule="auto"/>
        <w:rPr>
          <w:sz w:val="20"/>
          <w:szCs w:val="20"/>
          <w:color w:val="auto"/>
        </w:rPr>
      </w:pPr>
      <w:r>
        <w:rPr>
          <w:rFonts w:ascii="Calibri" w:cs="Calibri" w:eastAsia="Calibri" w:hAnsi="Calibri"/>
          <w:sz w:val="18"/>
          <w:szCs w:val="18"/>
          <w:color w:val="auto"/>
        </w:rPr>
        <w:t>During the year ended December 31, 2025, San Mateo handled approximately 418,000 Bbl of produced water per day, a decrease of 10%, as compared to approximately 462,400 Bbl of produced water per day handled during the year ended December 31, 2024, primarily due to lower volumes from Matador and third-party customers.</w:t>
      </w:r>
    </w:p>
    <w:p>
      <w:pPr>
        <w:spacing w:after="0" w:line="209" w:lineRule="exact"/>
        <w:rPr>
          <w:sz w:val="20"/>
          <w:szCs w:val="20"/>
          <w:color w:val="auto"/>
        </w:rPr>
      </w:pPr>
    </w:p>
    <w:p>
      <w:pPr>
        <w:ind w:left="720"/>
        <w:spacing w:after="0"/>
        <w:rPr>
          <w:sz w:val="20"/>
          <w:szCs w:val="20"/>
          <w:color w:val="auto"/>
        </w:rPr>
      </w:pPr>
      <w:r>
        <w:rPr>
          <w:rFonts w:ascii="Calibri" w:cs="Calibri" w:eastAsia="Calibri" w:hAnsi="Calibri"/>
          <w:sz w:val="19"/>
          <w:szCs w:val="19"/>
          <w:b w:val="1"/>
          <w:bCs w:val="1"/>
          <w:color w:val="214E93"/>
        </w:rPr>
        <w:t>Northwest Louisiana</w:t>
      </w:r>
    </w:p>
    <w:p>
      <w:pPr>
        <w:spacing w:after="0" w:line="208" w:lineRule="exact"/>
        <w:rPr>
          <w:sz w:val="20"/>
          <w:szCs w:val="20"/>
          <w:color w:val="auto"/>
        </w:rPr>
      </w:pPr>
    </w:p>
    <w:p>
      <w:pPr>
        <w:ind w:left="720" w:right="380" w:firstLine="241"/>
        <w:spacing w:after="0" w:line="252" w:lineRule="auto"/>
        <w:rPr>
          <w:sz w:val="20"/>
          <w:szCs w:val="20"/>
          <w:color w:val="auto"/>
        </w:rPr>
      </w:pPr>
      <w:r>
        <w:rPr>
          <w:rFonts w:ascii="Calibri" w:cs="Calibri" w:eastAsia="Calibri" w:hAnsi="Calibri"/>
          <w:sz w:val="18"/>
          <w:szCs w:val="18"/>
          <w:color w:val="auto"/>
        </w:rPr>
        <w:t>In Northwest Louisiana, we have midstream assets that gather natural gas from most of our operated leases. Our midstream assets in Northwest Louisiana are not part of San Mateo as of December 31, 2025.</w:t>
      </w:r>
    </w:p>
    <w:p>
      <w:pPr>
        <w:sectPr>
          <w:pgSz w:w="11880" w:h="15480" w:orient="portrait"/>
          <w:cols w:equalWidth="0" w:num="1">
            <w:col w:w="10280"/>
          </w:cols>
          <w:pgMar w:left="44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440" w:top="498" w:right="1160" w:bottom="0" w:gutter="0" w:footer="0" w:header="0"/>
          <w:type w:val="continuous"/>
        </w:sectPr>
      </w:pPr>
    </w:p>
    <w:bookmarkStart w:id="28" w:name="page29"/>
    <w:bookmarkEnd w:id="28"/>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15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Verdana" w:cs="Verdana" w:eastAsia="Verdana" w:hAnsi="Verdana"/>
          <w:sz w:val="20"/>
          <w:szCs w:val="20"/>
          <w:color w:val="214E93"/>
        </w:rPr>
        <w:t>OPERATING SUMMARY</w:t>
      </w:r>
    </w:p>
    <w:p>
      <w:pPr>
        <w:spacing w:after="0" w:line="209" w:lineRule="exact"/>
        <w:rPr>
          <w:sz w:val="20"/>
          <w:szCs w:val="20"/>
          <w:color w:val="auto"/>
        </w:rPr>
      </w:pPr>
    </w:p>
    <w:p>
      <w:pPr>
        <w:ind w:right="720" w:firstLine="241"/>
        <w:spacing w:after="0" w:line="252" w:lineRule="auto"/>
        <w:rPr>
          <w:sz w:val="20"/>
          <w:szCs w:val="20"/>
          <w:color w:val="auto"/>
        </w:rPr>
      </w:pPr>
      <w:r>
        <w:rPr>
          <w:rFonts w:ascii="Calibri" w:cs="Calibri" w:eastAsia="Calibri" w:hAnsi="Calibri"/>
          <w:sz w:val="18"/>
          <w:szCs w:val="18"/>
          <w:color w:val="auto"/>
        </w:rPr>
        <w:t>The following table sets forth certain unaudited production and operating data for the years ended December 31, 2025, 2024 and 2023.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40" w:type="dxa"/>
            <w:vAlign w:val="bottom"/>
          </w:tcPr>
          <w:p>
            <w:pPr>
              <w:spacing w:after="0"/>
              <w:rPr>
                <w:sz w:val="16"/>
                <w:szCs w:val="16"/>
                <w:color w:val="auto"/>
              </w:rPr>
            </w:pPr>
          </w:p>
        </w:tc>
        <w:tc>
          <w:tcPr>
            <w:tcW w:w="200" w:type="dxa"/>
            <w:vAlign w:val="bottom"/>
            <w:tcBorders>
              <w:bottom w:val="single" w:sz="8" w:color="214E93"/>
            </w:tcBorders>
          </w:tcPr>
          <w:p>
            <w:pPr>
              <w:spacing w:after="0"/>
              <w:rPr>
                <w:sz w:val="16"/>
                <w:szCs w:val="16"/>
                <w:color w:val="auto"/>
              </w:rPr>
            </w:pPr>
          </w:p>
        </w:tc>
        <w:tc>
          <w:tcPr>
            <w:tcW w:w="2920" w:type="dxa"/>
            <w:vAlign w:val="bottom"/>
            <w:tcBorders>
              <w:bottom w:val="single" w:sz="8" w:color="214E93"/>
            </w:tcBorders>
            <w:gridSpan w:val="5"/>
          </w:tcPr>
          <w:p>
            <w:pPr>
              <w:jc w:val="right"/>
              <w:ind w:right="562"/>
              <w:spacing w:after="0"/>
              <w:rPr>
                <w:sz w:val="20"/>
                <w:szCs w:val="20"/>
                <w:color w:val="auto"/>
              </w:rPr>
            </w:pPr>
            <w:r>
              <w:rPr>
                <w:rFonts w:ascii="Verdana" w:cs="Verdana" w:eastAsia="Verdana" w:hAnsi="Verdana"/>
                <w:sz w:val="14"/>
                <w:szCs w:val="14"/>
                <w:color w:val="auto"/>
              </w:rPr>
              <w:t>Year Ended December 31,</w:t>
            </w:r>
          </w:p>
        </w:tc>
      </w:tr>
      <w:tr>
        <w:trPr>
          <w:trHeight w:val="201"/>
        </w:trPr>
        <w:tc>
          <w:tcPr>
            <w:tcW w:w="6440" w:type="dxa"/>
            <w:vAlign w:val="bottom"/>
            <w:tcBorders>
              <w:bottom w:val="single" w:sz="8" w:color="214E93"/>
            </w:tcBorders>
          </w:tcPr>
          <w:p>
            <w:pPr>
              <w:spacing w:after="0"/>
              <w:rPr>
                <w:sz w:val="17"/>
                <w:szCs w:val="17"/>
                <w:color w:val="auto"/>
              </w:rPr>
            </w:pPr>
          </w:p>
        </w:tc>
        <w:tc>
          <w:tcPr>
            <w:tcW w:w="200" w:type="dxa"/>
            <w:vAlign w:val="bottom"/>
            <w:tcBorders>
              <w:bottom w:val="single" w:sz="8" w:color="214E93"/>
            </w:tcBorders>
          </w:tcPr>
          <w:p>
            <w:pPr>
              <w:spacing w:after="0"/>
              <w:rPr>
                <w:sz w:val="17"/>
                <w:szCs w:val="17"/>
                <w:color w:val="auto"/>
              </w:rPr>
            </w:pPr>
          </w:p>
        </w:tc>
        <w:tc>
          <w:tcPr>
            <w:tcW w:w="820" w:type="dxa"/>
            <w:vAlign w:val="bottom"/>
            <w:tcBorders>
              <w:bottom w:val="single" w:sz="8" w:color="214E93"/>
            </w:tcBorders>
          </w:tcPr>
          <w:p>
            <w:pPr>
              <w:jc w:val="right"/>
              <w:ind w:right="263"/>
              <w:spacing w:after="0"/>
              <w:rPr>
                <w:sz w:val="20"/>
                <w:szCs w:val="20"/>
                <w:color w:val="auto"/>
              </w:rPr>
            </w:pPr>
            <w:r>
              <w:rPr>
                <w:rFonts w:ascii="Verdana" w:cs="Verdana" w:eastAsia="Verdana" w:hAnsi="Verdana"/>
                <w:sz w:val="14"/>
                <w:szCs w:val="14"/>
                <w:color w:val="auto"/>
              </w:rPr>
              <w:t>2025</w:t>
            </w:r>
          </w:p>
        </w:tc>
        <w:tc>
          <w:tcPr>
            <w:tcW w:w="240" w:type="dxa"/>
            <w:vAlign w:val="bottom"/>
            <w:tcBorders>
              <w:bottom w:val="single" w:sz="8" w:color="214E93"/>
            </w:tcBorders>
          </w:tcPr>
          <w:p>
            <w:pPr>
              <w:spacing w:after="0"/>
              <w:rPr>
                <w:sz w:val="17"/>
                <w:szCs w:val="17"/>
                <w:color w:val="auto"/>
              </w:rPr>
            </w:pPr>
          </w:p>
        </w:tc>
        <w:tc>
          <w:tcPr>
            <w:tcW w:w="820" w:type="dxa"/>
            <w:vAlign w:val="bottom"/>
            <w:tcBorders>
              <w:bottom w:val="single" w:sz="8" w:color="214E93"/>
            </w:tcBorders>
          </w:tcPr>
          <w:p>
            <w:pPr>
              <w:jc w:val="right"/>
              <w:ind w:right="262"/>
              <w:spacing w:after="0"/>
              <w:rPr>
                <w:sz w:val="20"/>
                <w:szCs w:val="20"/>
                <w:color w:val="auto"/>
              </w:rPr>
            </w:pPr>
            <w:r>
              <w:rPr>
                <w:rFonts w:ascii="Verdana" w:cs="Verdana" w:eastAsia="Verdana" w:hAnsi="Verdana"/>
                <w:sz w:val="14"/>
                <w:szCs w:val="14"/>
                <w:color w:val="auto"/>
              </w:rPr>
              <w:t>2024</w:t>
            </w:r>
          </w:p>
        </w:tc>
        <w:tc>
          <w:tcPr>
            <w:tcW w:w="260" w:type="dxa"/>
            <w:vAlign w:val="bottom"/>
            <w:tcBorders>
              <w:bottom w:val="single" w:sz="8" w:color="214E93"/>
            </w:tcBorders>
          </w:tcPr>
          <w:p>
            <w:pPr>
              <w:spacing w:after="0"/>
              <w:rPr>
                <w:sz w:val="17"/>
                <w:szCs w:val="17"/>
                <w:color w:val="auto"/>
              </w:rPr>
            </w:pPr>
          </w:p>
        </w:tc>
        <w:tc>
          <w:tcPr>
            <w:tcW w:w="780" w:type="dxa"/>
            <w:vAlign w:val="bottom"/>
            <w:tcBorders>
              <w:bottom w:val="single" w:sz="8" w:color="214E93"/>
            </w:tcBorders>
          </w:tcPr>
          <w:p>
            <w:pPr>
              <w:jc w:val="right"/>
              <w:ind w:right="242"/>
              <w:spacing w:after="0"/>
              <w:rPr>
                <w:sz w:val="20"/>
                <w:szCs w:val="20"/>
                <w:color w:val="auto"/>
              </w:rPr>
            </w:pPr>
            <w:r>
              <w:rPr>
                <w:rFonts w:ascii="Verdana" w:cs="Verdana" w:eastAsia="Verdana" w:hAnsi="Verdana"/>
                <w:sz w:val="14"/>
                <w:szCs w:val="14"/>
                <w:color w:val="auto"/>
              </w:rPr>
              <w:t>2023</w:t>
            </w:r>
          </w:p>
        </w:tc>
      </w:tr>
      <w:tr>
        <w:trPr>
          <w:trHeight w:val="230"/>
        </w:trPr>
        <w:tc>
          <w:tcPr>
            <w:tcW w:w="6440" w:type="dxa"/>
            <w:vAlign w:val="bottom"/>
          </w:tcPr>
          <w:p>
            <w:pPr>
              <w:ind w:left="40"/>
              <w:spacing w:after="0" w:line="231" w:lineRule="exact"/>
              <w:rPr>
                <w:sz w:val="20"/>
                <w:szCs w:val="20"/>
                <w:color w:val="auto"/>
              </w:rPr>
            </w:pPr>
            <w:r>
              <w:rPr>
                <w:rFonts w:ascii="Calibri" w:cs="Calibri" w:eastAsia="Calibri" w:hAnsi="Calibri"/>
                <w:sz w:val="19"/>
                <w:szCs w:val="19"/>
                <w:b w:val="1"/>
                <w:bCs w:val="1"/>
                <w:color w:val="214E93"/>
              </w:rPr>
              <w:t>Unaudited Production Data:</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60"/>
        </w:trPr>
        <w:tc>
          <w:tcPr>
            <w:tcW w:w="6440" w:type="dxa"/>
            <w:vAlign w:val="bottom"/>
          </w:tcPr>
          <w:p>
            <w:pPr>
              <w:ind w:left="40"/>
              <w:spacing w:after="0"/>
              <w:rPr>
                <w:sz w:val="20"/>
                <w:szCs w:val="20"/>
                <w:color w:val="auto"/>
              </w:rPr>
            </w:pPr>
            <w:r>
              <w:rPr>
                <w:rFonts w:ascii="Verdana" w:cs="Verdana" w:eastAsia="Verdana" w:hAnsi="Verdana"/>
                <w:sz w:val="16"/>
                <w:szCs w:val="16"/>
                <w:color w:val="auto"/>
              </w:rPr>
              <w:t>Net Production Volumes:</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36"/>
        </w:trPr>
        <w:tc>
          <w:tcPr>
            <w:tcW w:w="6440" w:type="dxa"/>
            <w:vAlign w:val="bottom"/>
          </w:tcPr>
          <w:p>
            <w:pPr>
              <w:ind w:left="160"/>
              <w:spacing w:after="0"/>
              <w:rPr>
                <w:sz w:val="20"/>
                <w:szCs w:val="20"/>
                <w:color w:val="auto"/>
              </w:rPr>
            </w:pPr>
            <w:r>
              <w:rPr>
                <w:rFonts w:ascii="Verdana" w:cs="Verdana" w:eastAsia="Verdana" w:hAnsi="Verdana"/>
                <w:sz w:val="16"/>
                <w:szCs w:val="16"/>
                <w:color w:val="auto"/>
              </w:rPr>
              <w:t>Oil (MBbl)</w:t>
            </w:r>
          </w:p>
        </w:tc>
        <w:tc>
          <w:tcPr>
            <w:tcW w:w="200" w:type="dxa"/>
            <w:vAlign w:val="bottom"/>
          </w:tcPr>
          <w:p>
            <w:pPr>
              <w:spacing w:after="0"/>
              <w:rPr>
                <w:sz w:val="20"/>
                <w:szCs w:val="20"/>
                <w:color w:val="auto"/>
              </w:rPr>
            </w:pPr>
          </w:p>
        </w:tc>
        <w:tc>
          <w:tcPr>
            <w:tcW w:w="820" w:type="dxa"/>
            <w:vAlign w:val="bottom"/>
          </w:tcPr>
          <w:p>
            <w:pPr>
              <w:jc w:val="right"/>
              <w:ind w:right="23"/>
              <w:spacing w:after="0"/>
              <w:rPr>
                <w:sz w:val="20"/>
                <w:szCs w:val="20"/>
                <w:color w:val="auto"/>
              </w:rPr>
            </w:pPr>
            <w:r>
              <w:rPr>
                <w:rFonts w:ascii="Verdana" w:cs="Verdana" w:eastAsia="Verdana" w:hAnsi="Verdana"/>
                <w:sz w:val="16"/>
                <w:szCs w:val="16"/>
                <w:color w:val="214E93"/>
              </w:rPr>
              <w:t>43,699</w:t>
            </w:r>
          </w:p>
        </w:tc>
        <w:tc>
          <w:tcPr>
            <w:tcW w:w="240" w:type="dxa"/>
            <w:vAlign w:val="bottom"/>
          </w:tcPr>
          <w:p>
            <w:pPr>
              <w:spacing w:after="0"/>
              <w:rPr>
                <w:sz w:val="20"/>
                <w:szCs w:val="20"/>
                <w:color w:val="auto"/>
              </w:rPr>
            </w:pPr>
          </w:p>
        </w:tc>
        <w:tc>
          <w:tcPr>
            <w:tcW w:w="820" w:type="dxa"/>
            <w:vAlign w:val="bottom"/>
          </w:tcPr>
          <w:p>
            <w:pPr>
              <w:jc w:val="right"/>
              <w:ind w:right="22"/>
              <w:spacing w:after="0"/>
              <w:rPr>
                <w:sz w:val="20"/>
                <w:szCs w:val="20"/>
                <w:color w:val="auto"/>
              </w:rPr>
            </w:pPr>
            <w:r>
              <w:rPr>
                <w:rFonts w:ascii="Verdana" w:cs="Verdana" w:eastAsia="Verdana" w:hAnsi="Verdana"/>
                <w:sz w:val="16"/>
                <w:szCs w:val="16"/>
                <w:color w:val="auto"/>
              </w:rPr>
              <w:t>36,530</w:t>
            </w:r>
          </w:p>
        </w:tc>
        <w:tc>
          <w:tcPr>
            <w:tcW w:w="260" w:type="dxa"/>
            <w:vAlign w:val="bottom"/>
          </w:tcPr>
          <w:p>
            <w:pPr>
              <w:spacing w:after="0"/>
              <w:rPr>
                <w:sz w:val="20"/>
                <w:szCs w:val="20"/>
                <w:color w:val="auto"/>
              </w:rPr>
            </w:pPr>
          </w:p>
        </w:tc>
        <w:tc>
          <w:tcPr>
            <w:tcW w:w="780" w:type="dxa"/>
            <w:vAlign w:val="bottom"/>
          </w:tcPr>
          <w:p>
            <w:pPr>
              <w:jc w:val="right"/>
              <w:ind w:right="2"/>
              <w:spacing w:after="0"/>
              <w:rPr>
                <w:sz w:val="20"/>
                <w:szCs w:val="20"/>
                <w:color w:val="auto"/>
              </w:rPr>
            </w:pPr>
            <w:r>
              <w:rPr>
                <w:rFonts w:ascii="Verdana" w:cs="Verdana" w:eastAsia="Verdana" w:hAnsi="Verdana"/>
                <w:sz w:val="16"/>
                <w:szCs w:val="16"/>
                <w:color w:val="auto"/>
              </w:rPr>
              <w:t>27,542</w:t>
            </w:r>
          </w:p>
        </w:tc>
      </w:tr>
      <w:tr>
        <w:trPr>
          <w:trHeight w:val="236"/>
        </w:trPr>
        <w:tc>
          <w:tcPr>
            <w:tcW w:w="6440" w:type="dxa"/>
            <w:vAlign w:val="bottom"/>
          </w:tcPr>
          <w:p>
            <w:pPr>
              <w:ind w:left="160"/>
              <w:spacing w:after="0"/>
              <w:rPr>
                <w:sz w:val="20"/>
                <w:szCs w:val="20"/>
                <w:color w:val="auto"/>
              </w:rPr>
            </w:pPr>
            <w:r>
              <w:rPr>
                <w:rFonts w:ascii="Verdana" w:cs="Verdana" w:eastAsia="Verdana" w:hAnsi="Verdana"/>
                <w:sz w:val="16"/>
                <w:szCs w:val="16"/>
                <w:color w:val="auto"/>
              </w:rPr>
              <w:t>Natural gas (Bcf)</w:t>
            </w:r>
          </w:p>
        </w:tc>
        <w:tc>
          <w:tcPr>
            <w:tcW w:w="200" w:type="dxa"/>
            <w:vAlign w:val="bottom"/>
          </w:tcPr>
          <w:p>
            <w:pPr>
              <w:spacing w:after="0"/>
              <w:rPr>
                <w:sz w:val="20"/>
                <w:szCs w:val="20"/>
                <w:color w:val="auto"/>
              </w:rPr>
            </w:pPr>
          </w:p>
        </w:tc>
        <w:tc>
          <w:tcPr>
            <w:tcW w:w="820" w:type="dxa"/>
            <w:vAlign w:val="bottom"/>
          </w:tcPr>
          <w:p>
            <w:pPr>
              <w:jc w:val="right"/>
              <w:ind w:right="23"/>
              <w:spacing w:after="0"/>
              <w:rPr>
                <w:sz w:val="20"/>
                <w:szCs w:val="20"/>
                <w:color w:val="auto"/>
              </w:rPr>
            </w:pPr>
            <w:r>
              <w:rPr>
                <w:rFonts w:ascii="Verdana" w:cs="Verdana" w:eastAsia="Verdana" w:hAnsi="Verdana"/>
                <w:sz w:val="16"/>
                <w:szCs w:val="16"/>
                <w:color w:val="214E93"/>
              </w:rPr>
              <w:t>191.3</w:t>
            </w:r>
          </w:p>
        </w:tc>
        <w:tc>
          <w:tcPr>
            <w:tcW w:w="240" w:type="dxa"/>
            <w:vAlign w:val="bottom"/>
          </w:tcPr>
          <w:p>
            <w:pPr>
              <w:spacing w:after="0"/>
              <w:rPr>
                <w:sz w:val="20"/>
                <w:szCs w:val="20"/>
                <w:color w:val="auto"/>
              </w:rPr>
            </w:pPr>
          </w:p>
        </w:tc>
        <w:tc>
          <w:tcPr>
            <w:tcW w:w="820" w:type="dxa"/>
            <w:vAlign w:val="bottom"/>
          </w:tcPr>
          <w:p>
            <w:pPr>
              <w:jc w:val="right"/>
              <w:ind w:right="22"/>
              <w:spacing w:after="0"/>
              <w:rPr>
                <w:sz w:val="20"/>
                <w:szCs w:val="20"/>
                <w:color w:val="auto"/>
              </w:rPr>
            </w:pPr>
            <w:r>
              <w:rPr>
                <w:rFonts w:ascii="Verdana" w:cs="Verdana" w:eastAsia="Verdana" w:hAnsi="Verdana"/>
                <w:sz w:val="16"/>
                <w:szCs w:val="16"/>
                <w:color w:val="auto"/>
              </w:rPr>
              <w:t>155.8</w:t>
            </w:r>
          </w:p>
        </w:tc>
        <w:tc>
          <w:tcPr>
            <w:tcW w:w="260" w:type="dxa"/>
            <w:vAlign w:val="bottom"/>
          </w:tcPr>
          <w:p>
            <w:pPr>
              <w:spacing w:after="0"/>
              <w:rPr>
                <w:sz w:val="20"/>
                <w:szCs w:val="20"/>
                <w:color w:val="auto"/>
              </w:rPr>
            </w:pPr>
          </w:p>
        </w:tc>
        <w:tc>
          <w:tcPr>
            <w:tcW w:w="780" w:type="dxa"/>
            <w:vAlign w:val="bottom"/>
          </w:tcPr>
          <w:p>
            <w:pPr>
              <w:jc w:val="right"/>
              <w:ind w:right="2"/>
              <w:spacing w:after="0"/>
              <w:rPr>
                <w:sz w:val="20"/>
                <w:szCs w:val="20"/>
                <w:color w:val="auto"/>
              </w:rPr>
            </w:pPr>
            <w:r>
              <w:rPr>
                <w:rFonts w:ascii="Verdana" w:cs="Verdana" w:eastAsia="Verdana" w:hAnsi="Verdana"/>
                <w:sz w:val="16"/>
                <w:szCs w:val="16"/>
                <w:color w:val="auto"/>
              </w:rPr>
              <w:t>123.4</w:t>
            </w:r>
          </w:p>
        </w:tc>
      </w:tr>
      <w:tr>
        <w:trPr>
          <w:trHeight w:val="261"/>
        </w:trPr>
        <w:tc>
          <w:tcPr>
            <w:tcW w:w="6440" w:type="dxa"/>
            <w:vAlign w:val="bottom"/>
          </w:tcPr>
          <w:p>
            <w:pPr>
              <w:ind w:left="280"/>
              <w:spacing w:after="0"/>
              <w:rPr>
                <w:sz w:val="20"/>
                <w:szCs w:val="20"/>
                <w:color w:val="auto"/>
              </w:rPr>
            </w:pPr>
            <w:r>
              <w:rPr>
                <w:rFonts w:ascii="Verdana" w:cs="Verdana" w:eastAsia="Verdana" w:hAnsi="Verdana"/>
                <w:sz w:val="16"/>
                <w:szCs w:val="16"/>
                <w:color w:val="auto"/>
              </w:rPr>
              <w:t>Total oil equivalent (MBOE)</w:t>
            </w:r>
            <w:r>
              <w:rPr>
                <w:rFonts w:ascii="Verdana" w:cs="Verdana" w:eastAsia="Verdana" w:hAnsi="Verdana"/>
                <w:sz w:val="20"/>
                <w:szCs w:val="20"/>
                <w:color w:val="auto"/>
                <w:vertAlign w:val="superscript"/>
              </w:rPr>
              <w:t>(1)</w:t>
            </w:r>
          </w:p>
        </w:tc>
        <w:tc>
          <w:tcPr>
            <w:tcW w:w="200" w:type="dxa"/>
            <w:vAlign w:val="bottom"/>
          </w:tcPr>
          <w:p>
            <w:pPr>
              <w:spacing w:after="0"/>
              <w:rPr>
                <w:sz w:val="22"/>
                <w:szCs w:val="22"/>
                <w:color w:val="auto"/>
              </w:rPr>
            </w:pPr>
          </w:p>
        </w:tc>
        <w:tc>
          <w:tcPr>
            <w:tcW w:w="820" w:type="dxa"/>
            <w:vAlign w:val="bottom"/>
          </w:tcPr>
          <w:p>
            <w:pPr>
              <w:jc w:val="right"/>
              <w:ind w:right="23"/>
              <w:spacing w:after="0"/>
              <w:rPr>
                <w:sz w:val="20"/>
                <w:szCs w:val="20"/>
                <w:color w:val="auto"/>
              </w:rPr>
            </w:pPr>
            <w:r>
              <w:rPr>
                <w:rFonts w:ascii="Verdana" w:cs="Verdana" w:eastAsia="Verdana" w:hAnsi="Verdana"/>
                <w:sz w:val="16"/>
                <w:szCs w:val="16"/>
                <w:color w:val="214E93"/>
              </w:rPr>
              <w:t>75,581</w:t>
            </w:r>
          </w:p>
        </w:tc>
        <w:tc>
          <w:tcPr>
            <w:tcW w:w="240" w:type="dxa"/>
            <w:vAlign w:val="bottom"/>
          </w:tcPr>
          <w:p>
            <w:pPr>
              <w:spacing w:after="0"/>
              <w:rPr>
                <w:sz w:val="22"/>
                <w:szCs w:val="22"/>
                <w:color w:val="auto"/>
              </w:rPr>
            </w:pPr>
          </w:p>
        </w:tc>
        <w:tc>
          <w:tcPr>
            <w:tcW w:w="820" w:type="dxa"/>
            <w:vAlign w:val="bottom"/>
          </w:tcPr>
          <w:p>
            <w:pPr>
              <w:jc w:val="right"/>
              <w:ind w:right="22"/>
              <w:spacing w:after="0"/>
              <w:rPr>
                <w:sz w:val="20"/>
                <w:szCs w:val="20"/>
                <w:color w:val="auto"/>
              </w:rPr>
            </w:pPr>
            <w:r>
              <w:rPr>
                <w:rFonts w:ascii="Verdana" w:cs="Verdana" w:eastAsia="Verdana" w:hAnsi="Verdana"/>
                <w:sz w:val="16"/>
                <w:szCs w:val="16"/>
                <w:color w:val="auto"/>
              </w:rPr>
              <w:t>62,495</w:t>
            </w:r>
          </w:p>
        </w:tc>
        <w:tc>
          <w:tcPr>
            <w:tcW w:w="260" w:type="dxa"/>
            <w:vAlign w:val="bottom"/>
          </w:tcPr>
          <w:p>
            <w:pPr>
              <w:spacing w:after="0"/>
              <w:rPr>
                <w:sz w:val="22"/>
                <w:szCs w:val="22"/>
                <w:color w:val="auto"/>
              </w:rPr>
            </w:pPr>
          </w:p>
        </w:tc>
        <w:tc>
          <w:tcPr>
            <w:tcW w:w="780" w:type="dxa"/>
            <w:vAlign w:val="bottom"/>
          </w:tcPr>
          <w:p>
            <w:pPr>
              <w:jc w:val="right"/>
              <w:ind w:right="2"/>
              <w:spacing w:after="0"/>
              <w:rPr>
                <w:sz w:val="20"/>
                <w:szCs w:val="20"/>
                <w:color w:val="auto"/>
              </w:rPr>
            </w:pPr>
            <w:r>
              <w:rPr>
                <w:rFonts w:ascii="Verdana" w:cs="Verdana" w:eastAsia="Verdana" w:hAnsi="Verdana"/>
                <w:sz w:val="16"/>
                <w:szCs w:val="16"/>
                <w:color w:val="auto"/>
              </w:rPr>
              <w:t>48,112</w:t>
            </w:r>
          </w:p>
        </w:tc>
      </w:tr>
      <w:tr>
        <w:trPr>
          <w:trHeight w:val="236"/>
        </w:trPr>
        <w:tc>
          <w:tcPr>
            <w:tcW w:w="6440" w:type="dxa"/>
            <w:vAlign w:val="bottom"/>
          </w:tcPr>
          <w:p>
            <w:pPr>
              <w:ind w:left="280"/>
              <w:spacing w:after="0" w:line="236" w:lineRule="exact"/>
              <w:rPr>
                <w:sz w:val="20"/>
                <w:szCs w:val="20"/>
                <w:color w:val="auto"/>
              </w:rPr>
            </w:pPr>
            <w:r>
              <w:rPr>
                <w:rFonts w:ascii="Verdana" w:cs="Verdana" w:eastAsia="Verdana" w:hAnsi="Verdana"/>
                <w:sz w:val="16"/>
                <w:szCs w:val="16"/>
                <w:color w:val="auto"/>
              </w:rPr>
              <w:t>Average daily production (BOE/d)</w:t>
            </w:r>
            <w:r>
              <w:rPr>
                <w:rFonts w:ascii="Verdana" w:cs="Verdana" w:eastAsia="Verdana" w:hAnsi="Verdana"/>
                <w:sz w:val="20"/>
                <w:szCs w:val="20"/>
                <w:color w:val="auto"/>
                <w:vertAlign w:val="superscript"/>
              </w:rPr>
              <w:t>(1)</w:t>
            </w:r>
          </w:p>
        </w:tc>
        <w:tc>
          <w:tcPr>
            <w:tcW w:w="200" w:type="dxa"/>
            <w:vAlign w:val="bottom"/>
          </w:tcPr>
          <w:p>
            <w:pPr>
              <w:spacing w:after="0"/>
              <w:rPr>
                <w:sz w:val="20"/>
                <w:szCs w:val="20"/>
                <w:color w:val="auto"/>
              </w:rPr>
            </w:pPr>
          </w:p>
        </w:tc>
        <w:tc>
          <w:tcPr>
            <w:tcW w:w="820" w:type="dxa"/>
            <w:vAlign w:val="bottom"/>
          </w:tcPr>
          <w:p>
            <w:pPr>
              <w:jc w:val="right"/>
              <w:ind w:right="23"/>
              <w:spacing w:after="0"/>
              <w:rPr>
                <w:sz w:val="20"/>
                <w:szCs w:val="20"/>
                <w:color w:val="auto"/>
              </w:rPr>
            </w:pPr>
            <w:r>
              <w:rPr>
                <w:rFonts w:ascii="Verdana" w:cs="Verdana" w:eastAsia="Verdana" w:hAnsi="Verdana"/>
                <w:sz w:val="16"/>
                <w:szCs w:val="16"/>
                <w:color w:val="214E93"/>
              </w:rPr>
              <w:t>207,070</w:t>
            </w:r>
          </w:p>
        </w:tc>
        <w:tc>
          <w:tcPr>
            <w:tcW w:w="240" w:type="dxa"/>
            <w:vAlign w:val="bottom"/>
          </w:tcPr>
          <w:p>
            <w:pPr>
              <w:spacing w:after="0"/>
              <w:rPr>
                <w:sz w:val="20"/>
                <w:szCs w:val="20"/>
                <w:color w:val="auto"/>
              </w:rPr>
            </w:pPr>
          </w:p>
        </w:tc>
        <w:tc>
          <w:tcPr>
            <w:tcW w:w="820" w:type="dxa"/>
            <w:vAlign w:val="bottom"/>
          </w:tcPr>
          <w:p>
            <w:pPr>
              <w:jc w:val="right"/>
              <w:ind w:right="22"/>
              <w:spacing w:after="0"/>
              <w:rPr>
                <w:sz w:val="20"/>
                <w:szCs w:val="20"/>
                <w:color w:val="auto"/>
              </w:rPr>
            </w:pPr>
            <w:r>
              <w:rPr>
                <w:rFonts w:ascii="Verdana" w:cs="Verdana" w:eastAsia="Verdana" w:hAnsi="Verdana"/>
                <w:sz w:val="16"/>
                <w:szCs w:val="16"/>
                <w:color w:val="auto"/>
              </w:rPr>
              <w:t>170,751</w:t>
            </w:r>
          </w:p>
        </w:tc>
        <w:tc>
          <w:tcPr>
            <w:tcW w:w="260" w:type="dxa"/>
            <w:vAlign w:val="bottom"/>
          </w:tcPr>
          <w:p>
            <w:pPr>
              <w:spacing w:after="0"/>
              <w:rPr>
                <w:sz w:val="20"/>
                <w:szCs w:val="20"/>
                <w:color w:val="auto"/>
              </w:rPr>
            </w:pPr>
          </w:p>
        </w:tc>
        <w:tc>
          <w:tcPr>
            <w:tcW w:w="780" w:type="dxa"/>
            <w:vAlign w:val="bottom"/>
          </w:tcPr>
          <w:p>
            <w:pPr>
              <w:jc w:val="right"/>
              <w:ind w:right="2"/>
              <w:spacing w:after="0"/>
              <w:rPr>
                <w:sz w:val="20"/>
                <w:szCs w:val="20"/>
                <w:color w:val="auto"/>
              </w:rPr>
            </w:pPr>
            <w:r>
              <w:rPr>
                <w:rFonts w:ascii="Verdana" w:cs="Verdana" w:eastAsia="Verdana" w:hAnsi="Verdana"/>
                <w:sz w:val="16"/>
                <w:szCs w:val="16"/>
                <w:color w:val="auto"/>
              </w:rPr>
              <w:t>131,813</w:t>
            </w:r>
          </w:p>
        </w:tc>
      </w:tr>
      <w:tr>
        <w:trPr>
          <w:trHeight w:val="211"/>
        </w:trPr>
        <w:tc>
          <w:tcPr>
            <w:tcW w:w="6440" w:type="dxa"/>
            <w:vAlign w:val="bottom"/>
          </w:tcPr>
          <w:p>
            <w:pPr>
              <w:ind w:left="40"/>
              <w:spacing w:after="0"/>
              <w:rPr>
                <w:sz w:val="20"/>
                <w:szCs w:val="20"/>
                <w:color w:val="auto"/>
              </w:rPr>
            </w:pPr>
            <w:r>
              <w:rPr>
                <w:rFonts w:ascii="Verdana" w:cs="Verdana" w:eastAsia="Verdana" w:hAnsi="Verdana"/>
                <w:sz w:val="16"/>
                <w:szCs w:val="16"/>
                <w:color w:val="auto"/>
              </w:rPr>
              <w:t>Average Sales Prices: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6"/>
        </w:trPr>
        <w:tc>
          <w:tcPr>
            <w:tcW w:w="6440" w:type="dxa"/>
            <w:vAlign w:val="bottom"/>
          </w:tcPr>
          <w:p>
            <w:pPr>
              <w:ind w:left="160"/>
              <w:spacing w:after="0"/>
              <w:rPr>
                <w:sz w:val="20"/>
                <w:szCs w:val="20"/>
                <w:color w:val="auto"/>
              </w:rPr>
            </w:pPr>
            <w:r>
              <w:rPr>
                <w:rFonts w:ascii="Verdana" w:cs="Verdana" w:eastAsia="Verdana" w:hAnsi="Verdana"/>
                <w:sz w:val="16"/>
                <w:szCs w:val="16"/>
                <w:color w:val="auto"/>
              </w:rPr>
              <w:t>Oil, without realized derivatives (per Bbl)</w:t>
            </w:r>
          </w:p>
        </w:tc>
        <w:tc>
          <w:tcPr>
            <w:tcW w:w="20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820" w:type="dxa"/>
            <w:vAlign w:val="bottom"/>
          </w:tcPr>
          <w:p>
            <w:pPr>
              <w:jc w:val="right"/>
              <w:ind w:right="23"/>
              <w:spacing w:after="0"/>
              <w:rPr>
                <w:sz w:val="20"/>
                <w:szCs w:val="20"/>
                <w:color w:val="auto"/>
              </w:rPr>
            </w:pPr>
            <w:r>
              <w:rPr>
                <w:rFonts w:ascii="Verdana" w:cs="Verdana" w:eastAsia="Verdana" w:hAnsi="Verdana"/>
                <w:sz w:val="16"/>
                <w:szCs w:val="16"/>
                <w:color w:val="214E93"/>
              </w:rPr>
              <w:t>64.99</w:t>
            </w:r>
          </w:p>
        </w:tc>
        <w:tc>
          <w:tcPr>
            <w:tcW w:w="240" w:type="dxa"/>
            <w:vAlign w:val="bottom"/>
          </w:tcPr>
          <w:p>
            <w:pPr>
              <w:jc w:val="right"/>
              <w:spacing w:after="0"/>
              <w:rPr>
                <w:sz w:val="20"/>
                <w:szCs w:val="20"/>
                <w:color w:val="auto"/>
              </w:rPr>
            </w:pPr>
            <w:r>
              <w:rPr>
                <w:rFonts w:ascii="Verdana" w:cs="Verdana" w:eastAsia="Verdana" w:hAnsi="Verdana"/>
                <w:sz w:val="16"/>
                <w:szCs w:val="16"/>
                <w:color w:val="auto"/>
              </w:rPr>
              <w:t>$</w:t>
            </w:r>
          </w:p>
        </w:tc>
        <w:tc>
          <w:tcPr>
            <w:tcW w:w="820" w:type="dxa"/>
            <w:vAlign w:val="bottom"/>
          </w:tcPr>
          <w:p>
            <w:pPr>
              <w:jc w:val="right"/>
              <w:ind w:right="22"/>
              <w:spacing w:after="0"/>
              <w:rPr>
                <w:sz w:val="20"/>
                <w:szCs w:val="20"/>
                <w:color w:val="auto"/>
              </w:rPr>
            </w:pPr>
            <w:r>
              <w:rPr>
                <w:rFonts w:ascii="Verdana" w:cs="Verdana" w:eastAsia="Verdana" w:hAnsi="Verdana"/>
                <w:sz w:val="16"/>
                <w:szCs w:val="16"/>
                <w:color w:val="auto"/>
              </w:rPr>
              <w:t>75.89</w:t>
            </w:r>
          </w:p>
        </w:tc>
        <w:tc>
          <w:tcPr>
            <w:tcW w:w="260" w:type="dxa"/>
            <w:vAlign w:val="bottom"/>
          </w:tcPr>
          <w:p>
            <w:pPr>
              <w:jc w:val="right"/>
              <w:spacing w:after="0"/>
              <w:rPr>
                <w:sz w:val="20"/>
                <w:szCs w:val="20"/>
                <w:color w:val="auto"/>
              </w:rPr>
            </w:pPr>
            <w:r>
              <w:rPr>
                <w:rFonts w:ascii="Verdana" w:cs="Verdana" w:eastAsia="Verdana" w:hAnsi="Verdana"/>
                <w:sz w:val="16"/>
                <w:szCs w:val="16"/>
                <w:color w:val="auto"/>
              </w:rPr>
              <w:t>$</w:t>
            </w:r>
          </w:p>
        </w:tc>
        <w:tc>
          <w:tcPr>
            <w:tcW w:w="780" w:type="dxa"/>
            <w:vAlign w:val="bottom"/>
          </w:tcPr>
          <w:p>
            <w:pPr>
              <w:jc w:val="right"/>
              <w:ind w:right="2"/>
              <w:spacing w:after="0"/>
              <w:rPr>
                <w:sz w:val="20"/>
                <w:szCs w:val="20"/>
                <w:color w:val="auto"/>
              </w:rPr>
            </w:pPr>
            <w:r>
              <w:rPr>
                <w:rFonts w:ascii="Verdana" w:cs="Verdana" w:eastAsia="Verdana" w:hAnsi="Verdana"/>
                <w:sz w:val="16"/>
                <w:szCs w:val="16"/>
                <w:color w:val="auto"/>
              </w:rPr>
              <w:t>77.88</w:t>
            </w:r>
          </w:p>
        </w:tc>
      </w:tr>
      <w:tr>
        <w:trPr>
          <w:trHeight w:val="236"/>
        </w:trPr>
        <w:tc>
          <w:tcPr>
            <w:tcW w:w="6440" w:type="dxa"/>
            <w:vAlign w:val="bottom"/>
          </w:tcPr>
          <w:p>
            <w:pPr>
              <w:ind w:left="160"/>
              <w:spacing w:after="0"/>
              <w:rPr>
                <w:sz w:val="20"/>
                <w:szCs w:val="20"/>
                <w:color w:val="auto"/>
              </w:rPr>
            </w:pPr>
            <w:r>
              <w:rPr>
                <w:rFonts w:ascii="Verdana" w:cs="Verdana" w:eastAsia="Verdana" w:hAnsi="Verdana"/>
                <w:sz w:val="16"/>
                <w:szCs w:val="16"/>
                <w:color w:val="auto"/>
              </w:rPr>
              <w:t>Oil, with realized derivatives (per Bbl)</w:t>
            </w:r>
          </w:p>
        </w:tc>
        <w:tc>
          <w:tcPr>
            <w:tcW w:w="20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820" w:type="dxa"/>
            <w:vAlign w:val="bottom"/>
          </w:tcPr>
          <w:p>
            <w:pPr>
              <w:jc w:val="right"/>
              <w:ind w:right="23"/>
              <w:spacing w:after="0"/>
              <w:rPr>
                <w:sz w:val="20"/>
                <w:szCs w:val="20"/>
                <w:color w:val="auto"/>
              </w:rPr>
            </w:pPr>
            <w:r>
              <w:rPr>
                <w:rFonts w:ascii="Verdana" w:cs="Verdana" w:eastAsia="Verdana" w:hAnsi="Verdana"/>
                <w:sz w:val="16"/>
                <w:szCs w:val="16"/>
                <w:color w:val="214E93"/>
              </w:rPr>
              <w:t>64.99</w:t>
            </w:r>
          </w:p>
        </w:tc>
        <w:tc>
          <w:tcPr>
            <w:tcW w:w="240" w:type="dxa"/>
            <w:vAlign w:val="bottom"/>
          </w:tcPr>
          <w:p>
            <w:pPr>
              <w:jc w:val="right"/>
              <w:spacing w:after="0"/>
              <w:rPr>
                <w:sz w:val="20"/>
                <w:szCs w:val="20"/>
                <w:color w:val="auto"/>
              </w:rPr>
            </w:pPr>
            <w:r>
              <w:rPr>
                <w:rFonts w:ascii="Verdana" w:cs="Verdana" w:eastAsia="Verdana" w:hAnsi="Verdana"/>
                <w:sz w:val="16"/>
                <w:szCs w:val="16"/>
                <w:color w:val="auto"/>
              </w:rPr>
              <w:t>$</w:t>
            </w:r>
          </w:p>
        </w:tc>
        <w:tc>
          <w:tcPr>
            <w:tcW w:w="820" w:type="dxa"/>
            <w:vAlign w:val="bottom"/>
          </w:tcPr>
          <w:p>
            <w:pPr>
              <w:jc w:val="right"/>
              <w:ind w:right="22"/>
              <w:spacing w:after="0"/>
              <w:rPr>
                <w:sz w:val="20"/>
                <w:szCs w:val="20"/>
                <w:color w:val="auto"/>
              </w:rPr>
            </w:pPr>
            <w:r>
              <w:rPr>
                <w:rFonts w:ascii="Verdana" w:cs="Verdana" w:eastAsia="Verdana" w:hAnsi="Verdana"/>
                <w:sz w:val="16"/>
                <w:szCs w:val="16"/>
                <w:color w:val="auto"/>
              </w:rPr>
              <w:t>75.89</w:t>
            </w:r>
          </w:p>
        </w:tc>
        <w:tc>
          <w:tcPr>
            <w:tcW w:w="260" w:type="dxa"/>
            <w:vAlign w:val="bottom"/>
          </w:tcPr>
          <w:p>
            <w:pPr>
              <w:jc w:val="right"/>
              <w:spacing w:after="0"/>
              <w:rPr>
                <w:sz w:val="20"/>
                <w:szCs w:val="20"/>
                <w:color w:val="auto"/>
              </w:rPr>
            </w:pPr>
            <w:r>
              <w:rPr>
                <w:rFonts w:ascii="Verdana" w:cs="Verdana" w:eastAsia="Verdana" w:hAnsi="Verdana"/>
                <w:sz w:val="16"/>
                <w:szCs w:val="16"/>
                <w:color w:val="auto"/>
              </w:rPr>
              <w:t>$</w:t>
            </w:r>
          </w:p>
        </w:tc>
        <w:tc>
          <w:tcPr>
            <w:tcW w:w="780" w:type="dxa"/>
            <w:vAlign w:val="bottom"/>
          </w:tcPr>
          <w:p>
            <w:pPr>
              <w:jc w:val="right"/>
              <w:ind w:right="2"/>
              <w:spacing w:after="0"/>
              <w:rPr>
                <w:sz w:val="20"/>
                <w:szCs w:val="20"/>
                <w:color w:val="auto"/>
              </w:rPr>
            </w:pPr>
            <w:r>
              <w:rPr>
                <w:rFonts w:ascii="Verdana" w:cs="Verdana" w:eastAsia="Verdana" w:hAnsi="Verdana"/>
                <w:sz w:val="16"/>
                <w:szCs w:val="16"/>
                <w:color w:val="auto"/>
              </w:rPr>
              <w:t>77.88</w:t>
            </w:r>
          </w:p>
        </w:tc>
      </w:tr>
      <w:tr>
        <w:trPr>
          <w:trHeight w:val="236"/>
        </w:trPr>
        <w:tc>
          <w:tcPr>
            <w:tcW w:w="6440" w:type="dxa"/>
            <w:vAlign w:val="bottom"/>
          </w:tcPr>
          <w:p>
            <w:pPr>
              <w:ind w:left="160"/>
              <w:spacing w:after="0"/>
              <w:rPr>
                <w:sz w:val="20"/>
                <w:szCs w:val="20"/>
                <w:color w:val="auto"/>
              </w:rPr>
            </w:pPr>
            <w:r>
              <w:rPr>
                <w:rFonts w:ascii="Verdana" w:cs="Verdana" w:eastAsia="Verdana" w:hAnsi="Verdana"/>
                <w:sz w:val="16"/>
                <w:szCs w:val="16"/>
                <w:color w:val="auto"/>
              </w:rPr>
              <w:t>Natural gas, without realized derivatives (per Mcf)</w:t>
            </w:r>
          </w:p>
        </w:tc>
        <w:tc>
          <w:tcPr>
            <w:tcW w:w="20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820" w:type="dxa"/>
            <w:vAlign w:val="bottom"/>
          </w:tcPr>
          <w:p>
            <w:pPr>
              <w:jc w:val="right"/>
              <w:ind w:right="23"/>
              <w:spacing w:after="0"/>
              <w:rPr>
                <w:sz w:val="20"/>
                <w:szCs w:val="20"/>
                <w:color w:val="auto"/>
              </w:rPr>
            </w:pPr>
            <w:r>
              <w:rPr>
                <w:rFonts w:ascii="Verdana" w:cs="Verdana" w:eastAsia="Verdana" w:hAnsi="Verdana"/>
                <w:sz w:val="16"/>
                <w:szCs w:val="16"/>
                <w:color w:val="214E93"/>
              </w:rPr>
              <w:t>2.08</w:t>
            </w:r>
          </w:p>
        </w:tc>
        <w:tc>
          <w:tcPr>
            <w:tcW w:w="240" w:type="dxa"/>
            <w:vAlign w:val="bottom"/>
          </w:tcPr>
          <w:p>
            <w:pPr>
              <w:jc w:val="right"/>
              <w:spacing w:after="0"/>
              <w:rPr>
                <w:sz w:val="20"/>
                <w:szCs w:val="20"/>
                <w:color w:val="auto"/>
              </w:rPr>
            </w:pPr>
            <w:r>
              <w:rPr>
                <w:rFonts w:ascii="Verdana" w:cs="Verdana" w:eastAsia="Verdana" w:hAnsi="Verdana"/>
                <w:sz w:val="16"/>
                <w:szCs w:val="16"/>
                <w:color w:val="auto"/>
              </w:rPr>
              <w:t>$</w:t>
            </w:r>
          </w:p>
        </w:tc>
        <w:tc>
          <w:tcPr>
            <w:tcW w:w="820" w:type="dxa"/>
            <w:vAlign w:val="bottom"/>
          </w:tcPr>
          <w:p>
            <w:pPr>
              <w:jc w:val="right"/>
              <w:ind w:right="22"/>
              <w:spacing w:after="0"/>
              <w:rPr>
                <w:sz w:val="20"/>
                <w:szCs w:val="20"/>
                <w:color w:val="auto"/>
              </w:rPr>
            </w:pPr>
            <w:r>
              <w:rPr>
                <w:rFonts w:ascii="Verdana" w:cs="Verdana" w:eastAsia="Verdana" w:hAnsi="Verdana"/>
                <w:sz w:val="16"/>
                <w:szCs w:val="16"/>
                <w:color w:val="auto"/>
              </w:rPr>
              <w:t>2.38</w:t>
            </w:r>
          </w:p>
        </w:tc>
        <w:tc>
          <w:tcPr>
            <w:tcW w:w="260" w:type="dxa"/>
            <w:vAlign w:val="bottom"/>
          </w:tcPr>
          <w:p>
            <w:pPr>
              <w:jc w:val="right"/>
              <w:spacing w:after="0"/>
              <w:rPr>
                <w:sz w:val="20"/>
                <w:szCs w:val="20"/>
                <w:color w:val="auto"/>
              </w:rPr>
            </w:pPr>
            <w:r>
              <w:rPr>
                <w:rFonts w:ascii="Verdana" w:cs="Verdana" w:eastAsia="Verdana" w:hAnsi="Verdana"/>
                <w:sz w:val="16"/>
                <w:szCs w:val="16"/>
                <w:color w:val="auto"/>
              </w:rPr>
              <w:t>$</w:t>
            </w:r>
          </w:p>
        </w:tc>
        <w:tc>
          <w:tcPr>
            <w:tcW w:w="780" w:type="dxa"/>
            <w:vAlign w:val="bottom"/>
          </w:tcPr>
          <w:p>
            <w:pPr>
              <w:jc w:val="right"/>
              <w:ind w:right="2"/>
              <w:spacing w:after="0"/>
              <w:rPr>
                <w:sz w:val="20"/>
                <w:szCs w:val="20"/>
                <w:color w:val="auto"/>
              </w:rPr>
            </w:pPr>
            <w:r>
              <w:rPr>
                <w:rFonts w:ascii="Verdana" w:cs="Verdana" w:eastAsia="Verdana" w:hAnsi="Verdana"/>
                <w:sz w:val="16"/>
                <w:szCs w:val="16"/>
                <w:color w:val="auto"/>
              </w:rPr>
              <w:t>3.25</w:t>
            </w:r>
          </w:p>
        </w:tc>
      </w:tr>
      <w:tr>
        <w:trPr>
          <w:trHeight w:val="236"/>
        </w:trPr>
        <w:tc>
          <w:tcPr>
            <w:tcW w:w="6440" w:type="dxa"/>
            <w:vAlign w:val="bottom"/>
          </w:tcPr>
          <w:p>
            <w:pPr>
              <w:ind w:left="160"/>
              <w:spacing w:after="0"/>
              <w:rPr>
                <w:sz w:val="20"/>
                <w:szCs w:val="20"/>
                <w:color w:val="auto"/>
              </w:rPr>
            </w:pPr>
            <w:r>
              <w:rPr>
                <w:rFonts w:ascii="Verdana" w:cs="Verdana" w:eastAsia="Verdana" w:hAnsi="Verdana"/>
                <w:sz w:val="16"/>
                <w:szCs w:val="16"/>
                <w:color w:val="auto"/>
              </w:rPr>
              <w:t>Natural gas, with realized derivatives (per Mcf)</w:t>
            </w:r>
          </w:p>
        </w:tc>
        <w:tc>
          <w:tcPr>
            <w:tcW w:w="20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820" w:type="dxa"/>
            <w:vAlign w:val="bottom"/>
          </w:tcPr>
          <w:p>
            <w:pPr>
              <w:jc w:val="right"/>
              <w:ind w:right="23"/>
              <w:spacing w:after="0"/>
              <w:rPr>
                <w:sz w:val="20"/>
                <w:szCs w:val="20"/>
                <w:color w:val="auto"/>
              </w:rPr>
            </w:pPr>
            <w:r>
              <w:rPr>
                <w:rFonts w:ascii="Verdana" w:cs="Verdana" w:eastAsia="Verdana" w:hAnsi="Verdana"/>
                <w:sz w:val="16"/>
                <w:szCs w:val="16"/>
                <w:color w:val="214E93"/>
              </w:rPr>
              <w:t>2.20</w:t>
            </w:r>
          </w:p>
        </w:tc>
        <w:tc>
          <w:tcPr>
            <w:tcW w:w="240" w:type="dxa"/>
            <w:vAlign w:val="bottom"/>
          </w:tcPr>
          <w:p>
            <w:pPr>
              <w:jc w:val="right"/>
              <w:spacing w:after="0"/>
              <w:rPr>
                <w:sz w:val="20"/>
                <w:szCs w:val="20"/>
                <w:color w:val="auto"/>
              </w:rPr>
            </w:pPr>
            <w:r>
              <w:rPr>
                <w:rFonts w:ascii="Verdana" w:cs="Verdana" w:eastAsia="Verdana" w:hAnsi="Verdana"/>
                <w:sz w:val="16"/>
                <w:szCs w:val="16"/>
                <w:color w:val="auto"/>
              </w:rPr>
              <w:t>$</w:t>
            </w:r>
          </w:p>
        </w:tc>
        <w:tc>
          <w:tcPr>
            <w:tcW w:w="820" w:type="dxa"/>
            <w:vAlign w:val="bottom"/>
          </w:tcPr>
          <w:p>
            <w:pPr>
              <w:jc w:val="right"/>
              <w:ind w:right="22"/>
              <w:spacing w:after="0"/>
              <w:rPr>
                <w:sz w:val="20"/>
                <w:szCs w:val="20"/>
                <w:color w:val="auto"/>
              </w:rPr>
            </w:pPr>
            <w:r>
              <w:rPr>
                <w:rFonts w:ascii="Verdana" w:cs="Verdana" w:eastAsia="Verdana" w:hAnsi="Verdana"/>
                <w:sz w:val="16"/>
                <w:szCs w:val="16"/>
                <w:color w:val="auto"/>
              </w:rPr>
              <w:t>2.47</w:t>
            </w:r>
          </w:p>
        </w:tc>
        <w:tc>
          <w:tcPr>
            <w:tcW w:w="260" w:type="dxa"/>
            <w:vAlign w:val="bottom"/>
          </w:tcPr>
          <w:p>
            <w:pPr>
              <w:jc w:val="right"/>
              <w:spacing w:after="0"/>
              <w:rPr>
                <w:sz w:val="20"/>
                <w:szCs w:val="20"/>
                <w:color w:val="auto"/>
              </w:rPr>
            </w:pPr>
            <w:r>
              <w:rPr>
                <w:rFonts w:ascii="Verdana" w:cs="Verdana" w:eastAsia="Verdana" w:hAnsi="Verdana"/>
                <w:sz w:val="16"/>
                <w:szCs w:val="16"/>
                <w:color w:val="auto"/>
              </w:rPr>
              <w:t>$</w:t>
            </w:r>
          </w:p>
        </w:tc>
        <w:tc>
          <w:tcPr>
            <w:tcW w:w="780" w:type="dxa"/>
            <w:vAlign w:val="bottom"/>
          </w:tcPr>
          <w:p>
            <w:pPr>
              <w:jc w:val="right"/>
              <w:ind w:right="2"/>
              <w:spacing w:after="0"/>
              <w:rPr>
                <w:sz w:val="20"/>
                <w:szCs w:val="20"/>
                <w:color w:val="auto"/>
              </w:rPr>
            </w:pPr>
            <w:r>
              <w:rPr>
                <w:rFonts w:ascii="Verdana" w:cs="Verdana" w:eastAsia="Verdana" w:hAnsi="Verdana"/>
                <w:sz w:val="16"/>
                <w:szCs w:val="16"/>
                <w:color w:val="auto"/>
              </w:rPr>
              <w:t>3.17</w:t>
            </w:r>
          </w:p>
        </w:tc>
      </w:tr>
      <w:tr>
        <w:trPr>
          <w:trHeight w:val="236"/>
        </w:trPr>
        <w:tc>
          <w:tcPr>
            <w:tcW w:w="6440" w:type="dxa"/>
            <w:vAlign w:val="bottom"/>
          </w:tcPr>
          <w:p>
            <w:pPr>
              <w:ind w:left="40"/>
              <w:spacing w:after="0"/>
              <w:rPr>
                <w:sz w:val="20"/>
                <w:szCs w:val="20"/>
                <w:color w:val="auto"/>
              </w:rPr>
            </w:pPr>
            <w:r>
              <w:rPr>
                <w:rFonts w:ascii="Verdana" w:cs="Verdana" w:eastAsia="Verdana" w:hAnsi="Verdana"/>
                <w:sz w:val="16"/>
                <w:szCs w:val="16"/>
                <w:color w:val="auto"/>
              </w:rPr>
              <w:t>Operating Expenses (per BOE):</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6"/>
        </w:trPr>
        <w:tc>
          <w:tcPr>
            <w:tcW w:w="6440" w:type="dxa"/>
            <w:vAlign w:val="bottom"/>
          </w:tcPr>
          <w:p>
            <w:pPr>
              <w:ind w:left="160"/>
              <w:spacing w:after="0"/>
              <w:rPr>
                <w:sz w:val="20"/>
                <w:szCs w:val="20"/>
                <w:color w:val="auto"/>
              </w:rPr>
            </w:pPr>
            <w:r>
              <w:rPr>
                <w:rFonts w:ascii="Verdana" w:cs="Verdana" w:eastAsia="Verdana" w:hAnsi="Verdana"/>
                <w:sz w:val="16"/>
                <w:szCs w:val="16"/>
                <w:color w:val="auto"/>
              </w:rPr>
              <w:t>Lease operating</w:t>
            </w:r>
          </w:p>
        </w:tc>
        <w:tc>
          <w:tcPr>
            <w:tcW w:w="20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820" w:type="dxa"/>
            <w:vAlign w:val="bottom"/>
          </w:tcPr>
          <w:p>
            <w:pPr>
              <w:jc w:val="right"/>
              <w:ind w:right="23"/>
              <w:spacing w:after="0"/>
              <w:rPr>
                <w:sz w:val="20"/>
                <w:szCs w:val="20"/>
                <w:color w:val="auto"/>
              </w:rPr>
            </w:pPr>
            <w:r>
              <w:rPr>
                <w:rFonts w:ascii="Verdana" w:cs="Verdana" w:eastAsia="Verdana" w:hAnsi="Verdana"/>
                <w:sz w:val="16"/>
                <w:szCs w:val="16"/>
                <w:color w:val="214E93"/>
              </w:rPr>
              <w:t>5.50</w:t>
            </w:r>
          </w:p>
        </w:tc>
        <w:tc>
          <w:tcPr>
            <w:tcW w:w="240" w:type="dxa"/>
            <w:vAlign w:val="bottom"/>
          </w:tcPr>
          <w:p>
            <w:pPr>
              <w:jc w:val="right"/>
              <w:spacing w:after="0"/>
              <w:rPr>
                <w:sz w:val="20"/>
                <w:szCs w:val="20"/>
                <w:color w:val="auto"/>
              </w:rPr>
            </w:pPr>
            <w:r>
              <w:rPr>
                <w:rFonts w:ascii="Verdana" w:cs="Verdana" w:eastAsia="Verdana" w:hAnsi="Verdana"/>
                <w:sz w:val="16"/>
                <w:szCs w:val="16"/>
                <w:color w:val="auto"/>
              </w:rPr>
              <w:t>$</w:t>
            </w:r>
          </w:p>
        </w:tc>
        <w:tc>
          <w:tcPr>
            <w:tcW w:w="820" w:type="dxa"/>
            <w:vAlign w:val="bottom"/>
          </w:tcPr>
          <w:p>
            <w:pPr>
              <w:jc w:val="right"/>
              <w:ind w:right="22"/>
              <w:spacing w:after="0"/>
              <w:rPr>
                <w:sz w:val="20"/>
                <w:szCs w:val="20"/>
                <w:color w:val="auto"/>
              </w:rPr>
            </w:pPr>
            <w:r>
              <w:rPr>
                <w:rFonts w:ascii="Verdana" w:cs="Verdana" w:eastAsia="Verdana" w:hAnsi="Verdana"/>
                <w:sz w:val="16"/>
                <w:szCs w:val="16"/>
                <w:color w:val="auto"/>
              </w:rPr>
              <w:t>5.20</w:t>
            </w:r>
          </w:p>
        </w:tc>
        <w:tc>
          <w:tcPr>
            <w:tcW w:w="260" w:type="dxa"/>
            <w:vAlign w:val="bottom"/>
          </w:tcPr>
          <w:p>
            <w:pPr>
              <w:jc w:val="right"/>
              <w:spacing w:after="0"/>
              <w:rPr>
                <w:sz w:val="20"/>
                <w:szCs w:val="20"/>
                <w:color w:val="auto"/>
              </w:rPr>
            </w:pPr>
            <w:r>
              <w:rPr>
                <w:rFonts w:ascii="Verdana" w:cs="Verdana" w:eastAsia="Verdana" w:hAnsi="Verdana"/>
                <w:sz w:val="16"/>
                <w:szCs w:val="16"/>
                <w:color w:val="auto"/>
              </w:rPr>
              <w:t>$</w:t>
            </w:r>
          </w:p>
        </w:tc>
        <w:tc>
          <w:tcPr>
            <w:tcW w:w="780" w:type="dxa"/>
            <w:vAlign w:val="bottom"/>
          </w:tcPr>
          <w:p>
            <w:pPr>
              <w:jc w:val="right"/>
              <w:ind w:right="2"/>
              <w:spacing w:after="0"/>
              <w:rPr>
                <w:sz w:val="20"/>
                <w:szCs w:val="20"/>
                <w:color w:val="auto"/>
              </w:rPr>
            </w:pPr>
            <w:r>
              <w:rPr>
                <w:rFonts w:ascii="Verdana" w:cs="Verdana" w:eastAsia="Verdana" w:hAnsi="Verdana"/>
                <w:sz w:val="16"/>
                <w:szCs w:val="16"/>
                <w:color w:val="auto"/>
              </w:rPr>
              <w:t>4.83</w:t>
            </w:r>
          </w:p>
        </w:tc>
      </w:tr>
      <w:tr>
        <w:trPr>
          <w:trHeight w:val="236"/>
        </w:trPr>
        <w:tc>
          <w:tcPr>
            <w:tcW w:w="6440" w:type="dxa"/>
            <w:vAlign w:val="bottom"/>
          </w:tcPr>
          <w:p>
            <w:pPr>
              <w:ind w:left="160"/>
              <w:spacing w:after="0"/>
              <w:rPr>
                <w:sz w:val="20"/>
                <w:szCs w:val="20"/>
                <w:color w:val="auto"/>
              </w:rPr>
            </w:pPr>
            <w:r>
              <w:rPr>
                <w:rFonts w:ascii="Verdana" w:cs="Verdana" w:eastAsia="Verdana" w:hAnsi="Verdana"/>
                <w:sz w:val="16"/>
                <w:szCs w:val="16"/>
                <w:color w:val="auto"/>
              </w:rPr>
              <w:t>Transportation and processing</w:t>
            </w:r>
          </w:p>
        </w:tc>
        <w:tc>
          <w:tcPr>
            <w:tcW w:w="20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820" w:type="dxa"/>
            <w:vAlign w:val="bottom"/>
          </w:tcPr>
          <w:p>
            <w:pPr>
              <w:jc w:val="right"/>
              <w:ind w:right="23"/>
              <w:spacing w:after="0"/>
              <w:rPr>
                <w:sz w:val="20"/>
                <w:szCs w:val="20"/>
                <w:color w:val="auto"/>
              </w:rPr>
            </w:pPr>
            <w:r>
              <w:rPr>
                <w:rFonts w:ascii="Verdana" w:cs="Verdana" w:eastAsia="Verdana" w:hAnsi="Verdana"/>
                <w:sz w:val="16"/>
                <w:szCs w:val="16"/>
                <w:color w:val="214E93"/>
              </w:rPr>
              <w:t>0.88</w:t>
            </w:r>
          </w:p>
        </w:tc>
        <w:tc>
          <w:tcPr>
            <w:tcW w:w="240" w:type="dxa"/>
            <w:vAlign w:val="bottom"/>
          </w:tcPr>
          <w:p>
            <w:pPr>
              <w:jc w:val="right"/>
              <w:spacing w:after="0"/>
              <w:rPr>
                <w:sz w:val="20"/>
                <w:szCs w:val="20"/>
                <w:color w:val="auto"/>
              </w:rPr>
            </w:pPr>
            <w:r>
              <w:rPr>
                <w:rFonts w:ascii="Verdana" w:cs="Verdana" w:eastAsia="Verdana" w:hAnsi="Verdana"/>
                <w:sz w:val="16"/>
                <w:szCs w:val="16"/>
                <w:color w:val="auto"/>
              </w:rPr>
              <w:t>$</w:t>
            </w:r>
          </w:p>
        </w:tc>
        <w:tc>
          <w:tcPr>
            <w:tcW w:w="820" w:type="dxa"/>
            <w:vAlign w:val="bottom"/>
          </w:tcPr>
          <w:p>
            <w:pPr>
              <w:jc w:val="right"/>
              <w:ind w:right="22"/>
              <w:spacing w:after="0"/>
              <w:rPr>
                <w:sz w:val="20"/>
                <w:szCs w:val="20"/>
                <w:color w:val="auto"/>
              </w:rPr>
            </w:pPr>
            <w:r>
              <w:rPr>
                <w:rFonts w:ascii="Verdana" w:cs="Verdana" w:eastAsia="Verdana" w:hAnsi="Verdana"/>
                <w:sz w:val="16"/>
                <w:szCs w:val="16"/>
                <w:color w:val="auto"/>
              </w:rPr>
              <w:t>0.94</w:t>
            </w:r>
          </w:p>
        </w:tc>
        <w:tc>
          <w:tcPr>
            <w:tcW w:w="260" w:type="dxa"/>
            <w:vAlign w:val="bottom"/>
          </w:tcPr>
          <w:p>
            <w:pPr>
              <w:jc w:val="right"/>
              <w:spacing w:after="0"/>
              <w:rPr>
                <w:sz w:val="20"/>
                <w:szCs w:val="20"/>
                <w:color w:val="auto"/>
              </w:rPr>
            </w:pPr>
            <w:r>
              <w:rPr>
                <w:rFonts w:ascii="Verdana" w:cs="Verdana" w:eastAsia="Verdana" w:hAnsi="Verdana"/>
                <w:sz w:val="16"/>
                <w:szCs w:val="16"/>
                <w:color w:val="auto"/>
              </w:rPr>
              <w:t>$</w:t>
            </w:r>
          </w:p>
        </w:tc>
        <w:tc>
          <w:tcPr>
            <w:tcW w:w="780" w:type="dxa"/>
            <w:vAlign w:val="bottom"/>
          </w:tcPr>
          <w:p>
            <w:pPr>
              <w:jc w:val="right"/>
              <w:ind w:right="2"/>
              <w:spacing w:after="0"/>
              <w:rPr>
                <w:sz w:val="20"/>
                <w:szCs w:val="20"/>
                <w:color w:val="auto"/>
              </w:rPr>
            </w:pPr>
            <w:r>
              <w:rPr>
                <w:rFonts w:ascii="Verdana" w:cs="Verdana" w:eastAsia="Verdana" w:hAnsi="Verdana"/>
                <w:sz w:val="16"/>
                <w:szCs w:val="16"/>
                <w:color w:val="auto"/>
              </w:rPr>
              <w:t>1.25</w:t>
            </w:r>
          </w:p>
        </w:tc>
      </w:tr>
      <w:tr>
        <w:trPr>
          <w:trHeight w:val="236"/>
        </w:trPr>
        <w:tc>
          <w:tcPr>
            <w:tcW w:w="6440" w:type="dxa"/>
            <w:vAlign w:val="bottom"/>
          </w:tcPr>
          <w:p>
            <w:pPr>
              <w:ind w:left="160"/>
              <w:spacing w:after="0"/>
              <w:rPr>
                <w:sz w:val="20"/>
                <w:szCs w:val="20"/>
                <w:color w:val="auto"/>
              </w:rPr>
            </w:pPr>
            <w:r>
              <w:rPr>
                <w:rFonts w:ascii="Verdana" w:cs="Verdana" w:eastAsia="Verdana" w:hAnsi="Verdana"/>
                <w:sz w:val="16"/>
                <w:szCs w:val="16"/>
                <w:color w:val="auto"/>
              </w:rPr>
              <w:t>Midstream operating</w:t>
            </w:r>
          </w:p>
        </w:tc>
        <w:tc>
          <w:tcPr>
            <w:tcW w:w="20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820" w:type="dxa"/>
            <w:vAlign w:val="bottom"/>
          </w:tcPr>
          <w:p>
            <w:pPr>
              <w:jc w:val="right"/>
              <w:ind w:right="23"/>
              <w:spacing w:after="0"/>
              <w:rPr>
                <w:sz w:val="20"/>
                <w:szCs w:val="20"/>
                <w:color w:val="auto"/>
              </w:rPr>
            </w:pPr>
            <w:r>
              <w:rPr>
                <w:rFonts w:ascii="Verdana" w:cs="Verdana" w:eastAsia="Verdana" w:hAnsi="Verdana"/>
                <w:sz w:val="16"/>
                <w:szCs w:val="16"/>
                <w:color w:val="214E93"/>
              </w:rPr>
              <w:t>2.75</w:t>
            </w:r>
          </w:p>
        </w:tc>
        <w:tc>
          <w:tcPr>
            <w:tcW w:w="240" w:type="dxa"/>
            <w:vAlign w:val="bottom"/>
          </w:tcPr>
          <w:p>
            <w:pPr>
              <w:jc w:val="right"/>
              <w:spacing w:after="0"/>
              <w:rPr>
                <w:sz w:val="20"/>
                <w:szCs w:val="20"/>
                <w:color w:val="auto"/>
              </w:rPr>
            </w:pPr>
            <w:r>
              <w:rPr>
                <w:rFonts w:ascii="Verdana" w:cs="Verdana" w:eastAsia="Verdana" w:hAnsi="Verdana"/>
                <w:sz w:val="16"/>
                <w:szCs w:val="16"/>
                <w:color w:val="auto"/>
              </w:rPr>
              <w:t>$</w:t>
            </w:r>
          </w:p>
        </w:tc>
        <w:tc>
          <w:tcPr>
            <w:tcW w:w="820" w:type="dxa"/>
            <w:vAlign w:val="bottom"/>
          </w:tcPr>
          <w:p>
            <w:pPr>
              <w:jc w:val="right"/>
              <w:ind w:right="22"/>
              <w:spacing w:after="0"/>
              <w:rPr>
                <w:sz w:val="20"/>
                <w:szCs w:val="20"/>
                <w:color w:val="auto"/>
              </w:rPr>
            </w:pPr>
            <w:r>
              <w:rPr>
                <w:rFonts w:ascii="Verdana" w:cs="Verdana" w:eastAsia="Verdana" w:hAnsi="Verdana"/>
                <w:sz w:val="16"/>
                <w:szCs w:val="16"/>
                <w:color w:val="auto"/>
              </w:rPr>
              <w:t>2.68</w:t>
            </w:r>
          </w:p>
        </w:tc>
        <w:tc>
          <w:tcPr>
            <w:tcW w:w="260" w:type="dxa"/>
            <w:vAlign w:val="bottom"/>
          </w:tcPr>
          <w:p>
            <w:pPr>
              <w:jc w:val="right"/>
              <w:spacing w:after="0"/>
              <w:rPr>
                <w:sz w:val="20"/>
                <w:szCs w:val="20"/>
                <w:color w:val="auto"/>
              </w:rPr>
            </w:pPr>
            <w:r>
              <w:rPr>
                <w:rFonts w:ascii="Verdana" w:cs="Verdana" w:eastAsia="Verdana" w:hAnsi="Verdana"/>
                <w:sz w:val="16"/>
                <w:szCs w:val="16"/>
                <w:color w:val="auto"/>
              </w:rPr>
              <w:t>$</w:t>
            </w:r>
          </w:p>
        </w:tc>
        <w:tc>
          <w:tcPr>
            <w:tcW w:w="780" w:type="dxa"/>
            <w:vAlign w:val="bottom"/>
          </w:tcPr>
          <w:p>
            <w:pPr>
              <w:jc w:val="right"/>
              <w:ind w:right="2"/>
              <w:spacing w:after="0"/>
              <w:rPr>
                <w:sz w:val="20"/>
                <w:szCs w:val="20"/>
                <w:color w:val="auto"/>
              </w:rPr>
            </w:pPr>
            <w:r>
              <w:rPr>
                <w:rFonts w:ascii="Verdana" w:cs="Verdana" w:eastAsia="Verdana" w:hAnsi="Verdana"/>
                <w:sz w:val="16"/>
                <w:szCs w:val="16"/>
                <w:color w:val="auto"/>
              </w:rPr>
              <w:t>2.58</w:t>
            </w:r>
          </w:p>
        </w:tc>
      </w:tr>
      <w:tr>
        <w:trPr>
          <w:trHeight w:val="236"/>
        </w:trPr>
        <w:tc>
          <w:tcPr>
            <w:tcW w:w="6440" w:type="dxa"/>
            <w:vAlign w:val="bottom"/>
          </w:tcPr>
          <w:p>
            <w:pPr>
              <w:ind w:left="160"/>
              <w:spacing w:after="0"/>
              <w:rPr>
                <w:sz w:val="20"/>
                <w:szCs w:val="20"/>
                <w:color w:val="auto"/>
              </w:rPr>
            </w:pPr>
            <w:r>
              <w:rPr>
                <w:rFonts w:ascii="Verdana" w:cs="Verdana" w:eastAsia="Verdana" w:hAnsi="Verdana"/>
                <w:sz w:val="16"/>
                <w:szCs w:val="16"/>
                <w:color w:val="auto"/>
              </w:rPr>
              <w:t>Depletion, depreciation and amortization</w:t>
            </w:r>
          </w:p>
        </w:tc>
        <w:tc>
          <w:tcPr>
            <w:tcW w:w="20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820" w:type="dxa"/>
            <w:vAlign w:val="bottom"/>
          </w:tcPr>
          <w:p>
            <w:pPr>
              <w:jc w:val="right"/>
              <w:ind w:right="23"/>
              <w:spacing w:after="0"/>
              <w:rPr>
                <w:sz w:val="20"/>
                <w:szCs w:val="20"/>
                <w:color w:val="auto"/>
              </w:rPr>
            </w:pPr>
            <w:r>
              <w:rPr>
                <w:rFonts w:ascii="Verdana" w:cs="Verdana" w:eastAsia="Verdana" w:hAnsi="Verdana"/>
                <w:sz w:val="16"/>
                <w:szCs w:val="16"/>
                <w:color w:val="214E93"/>
              </w:rPr>
              <w:t>15.82</w:t>
            </w:r>
          </w:p>
        </w:tc>
        <w:tc>
          <w:tcPr>
            <w:tcW w:w="240" w:type="dxa"/>
            <w:vAlign w:val="bottom"/>
          </w:tcPr>
          <w:p>
            <w:pPr>
              <w:jc w:val="right"/>
              <w:spacing w:after="0"/>
              <w:rPr>
                <w:sz w:val="20"/>
                <w:szCs w:val="20"/>
                <w:color w:val="auto"/>
              </w:rPr>
            </w:pPr>
            <w:r>
              <w:rPr>
                <w:rFonts w:ascii="Verdana" w:cs="Verdana" w:eastAsia="Verdana" w:hAnsi="Verdana"/>
                <w:sz w:val="16"/>
                <w:szCs w:val="16"/>
                <w:color w:val="auto"/>
              </w:rPr>
              <w:t>$</w:t>
            </w:r>
          </w:p>
        </w:tc>
        <w:tc>
          <w:tcPr>
            <w:tcW w:w="820" w:type="dxa"/>
            <w:vAlign w:val="bottom"/>
          </w:tcPr>
          <w:p>
            <w:pPr>
              <w:jc w:val="right"/>
              <w:ind w:right="22"/>
              <w:spacing w:after="0"/>
              <w:rPr>
                <w:sz w:val="20"/>
                <w:szCs w:val="20"/>
                <w:color w:val="auto"/>
              </w:rPr>
            </w:pPr>
            <w:r>
              <w:rPr>
                <w:rFonts w:ascii="Verdana" w:cs="Verdana" w:eastAsia="Verdana" w:hAnsi="Verdana"/>
                <w:sz w:val="16"/>
                <w:szCs w:val="16"/>
                <w:color w:val="auto"/>
              </w:rPr>
              <w:t>15.59</w:t>
            </w:r>
          </w:p>
        </w:tc>
        <w:tc>
          <w:tcPr>
            <w:tcW w:w="260" w:type="dxa"/>
            <w:vAlign w:val="bottom"/>
          </w:tcPr>
          <w:p>
            <w:pPr>
              <w:jc w:val="right"/>
              <w:spacing w:after="0"/>
              <w:rPr>
                <w:sz w:val="20"/>
                <w:szCs w:val="20"/>
                <w:color w:val="auto"/>
              </w:rPr>
            </w:pPr>
            <w:r>
              <w:rPr>
                <w:rFonts w:ascii="Verdana" w:cs="Verdana" w:eastAsia="Verdana" w:hAnsi="Verdana"/>
                <w:sz w:val="16"/>
                <w:szCs w:val="16"/>
                <w:color w:val="auto"/>
              </w:rPr>
              <w:t>$</w:t>
            </w:r>
          </w:p>
        </w:tc>
        <w:tc>
          <w:tcPr>
            <w:tcW w:w="780" w:type="dxa"/>
            <w:vAlign w:val="bottom"/>
          </w:tcPr>
          <w:p>
            <w:pPr>
              <w:jc w:val="right"/>
              <w:ind w:right="2"/>
              <w:spacing w:after="0"/>
              <w:rPr>
                <w:sz w:val="20"/>
                <w:szCs w:val="20"/>
                <w:color w:val="auto"/>
              </w:rPr>
            </w:pPr>
            <w:r>
              <w:rPr>
                <w:rFonts w:ascii="Verdana" w:cs="Verdana" w:eastAsia="Verdana" w:hAnsi="Verdana"/>
                <w:sz w:val="16"/>
                <w:szCs w:val="16"/>
                <w:color w:val="auto"/>
              </w:rPr>
              <w:t>14.90</w:t>
            </w:r>
          </w:p>
        </w:tc>
      </w:tr>
      <w:tr>
        <w:trPr>
          <w:trHeight w:val="236"/>
        </w:trPr>
        <w:tc>
          <w:tcPr>
            <w:tcW w:w="6440" w:type="dxa"/>
            <w:vAlign w:val="bottom"/>
          </w:tcPr>
          <w:p>
            <w:pPr>
              <w:ind w:left="160"/>
              <w:spacing w:after="0"/>
              <w:rPr>
                <w:sz w:val="20"/>
                <w:szCs w:val="20"/>
                <w:color w:val="auto"/>
              </w:rPr>
            </w:pPr>
            <w:r>
              <w:rPr>
                <w:rFonts w:ascii="Verdana" w:cs="Verdana" w:eastAsia="Verdana" w:hAnsi="Verdana"/>
                <w:sz w:val="16"/>
                <w:szCs w:val="16"/>
                <w:color w:val="auto"/>
              </w:rPr>
              <w:t>Taxes other than income</w:t>
            </w:r>
          </w:p>
        </w:tc>
        <w:tc>
          <w:tcPr>
            <w:tcW w:w="20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820" w:type="dxa"/>
            <w:vAlign w:val="bottom"/>
          </w:tcPr>
          <w:p>
            <w:pPr>
              <w:jc w:val="right"/>
              <w:ind w:right="23"/>
              <w:spacing w:after="0"/>
              <w:rPr>
                <w:sz w:val="20"/>
                <w:szCs w:val="20"/>
                <w:color w:val="auto"/>
              </w:rPr>
            </w:pPr>
            <w:r>
              <w:rPr>
                <w:rFonts w:ascii="Verdana" w:cs="Verdana" w:eastAsia="Verdana" w:hAnsi="Verdana"/>
                <w:sz w:val="16"/>
                <w:szCs w:val="16"/>
                <w:color w:val="214E93"/>
              </w:rPr>
              <w:t>3.65</w:t>
            </w:r>
          </w:p>
        </w:tc>
        <w:tc>
          <w:tcPr>
            <w:tcW w:w="240" w:type="dxa"/>
            <w:vAlign w:val="bottom"/>
          </w:tcPr>
          <w:p>
            <w:pPr>
              <w:jc w:val="right"/>
              <w:spacing w:after="0"/>
              <w:rPr>
                <w:sz w:val="20"/>
                <w:szCs w:val="20"/>
                <w:color w:val="auto"/>
              </w:rPr>
            </w:pPr>
            <w:r>
              <w:rPr>
                <w:rFonts w:ascii="Verdana" w:cs="Verdana" w:eastAsia="Verdana" w:hAnsi="Verdana"/>
                <w:sz w:val="16"/>
                <w:szCs w:val="16"/>
                <w:color w:val="auto"/>
              </w:rPr>
              <w:t>$</w:t>
            </w:r>
          </w:p>
        </w:tc>
        <w:tc>
          <w:tcPr>
            <w:tcW w:w="820" w:type="dxa"/>
            <w:vAlign w:val="bottom"/>
          </w:tcPr>
          <w:p>
            <w:pPr>
              <w:jc w:val="right"/>
              <w:ind w:right="22"/>
              <w:spacing w:after="0"/>
              <w:rPr>
                <w:sz w:val="20"/>
                <w:szCs w:val="20"/>
                <w:color w:val="auto"/>
              </w:rPr>
            </w:pPr>
            <w:r>
              <w:rPr>
                <w:rFonts w:ascii="Verdana" w:cs="Verdana" w:eastAsia="Verdana" w:hAnsi="Verdana"/>
                <w:sz w:val="16"/>
                <w:szCs w:val="16"/>
                <w:color w:val="auto"/>
              </w:rPr>
              <w:t>4.30</w:t>
            </w:r>
          </w:p>
        </w:tc>
        <w:tc>
          <w:tcPr>
            <w:tcW w:w="260" w:type="dxa"/>
            <w:vAlign w:val="bottom"/>
          </w:tcPr>
          <w:p>
            <w:pPr>
              <w:jc w:val="right"/>
              <w:spacing w:after="0"/>
              <w:rPr>
                <w:sz w:val="20"/>
                <w:szCs w:val="20"/>
                <w:color w:val="auto"/>
              </w:rPr>
            </w:pPr>
            <w:r>
              <w:rPr>
                <w:rFonts w:ascii="Verdana" w:cs="Verdana" w:eastAsia="Verdana" w:hAnsi="Verdana"/>
                <w:sz w:val="16"/>
                <w:szCs w:val="16"/>
                <w:color w:val="auto"/>
              </w:rPr>
              <w:t>$</w:t>
            </w:r>
          </w:p>
        </w:tc>
        <w:tc>
          <w:tcPr>
            <w:tcW w:w="780" w:type="dxa"/>
            <w:vAlign w:val="bottom"/>
          </w:tcPr>
          <w:p>
            <w:pPr>
              <w:jc w:val="right"/>
              <w:ind w:right="2"/>
              <w:spacing w:after="0"/>
              <w:rPr>
                <w:sz w:val="20"/>
                <w:szCs w:val="20"/>
                <w:color w:val="auto"/>
              </w:rPr>
            </w:pPr>
            <w:r>
              <w:rPr>
                <w:rFonts w:ascii="Verdana" w:cs="Verdana" w:eastAsia="Verdana" w:hAnsi="Verdana"/>
                <w:sz w:val="16"/>
                <w:szCs w:val="16"/>
                <w:color w:val="auto"/>
              </w:rPr>
              <w:t>4.59</w:t>
            </w:r>
          </w:p>
        </w:tc>
      </w:tr>
      <w:tr>
        <w:trPr>
          <w:trHeight w:val="236"/>
        </w:trPr>
        <w:tc>
          <w:tcPr>
            <w:tcW w:w="6440" w:type="dxa"/>
            <w:vAlign w:val="bottom"/>
          </w:tcPr>
          <w:p>
            <w:pPr>
              <w:ind w:left="160"/>
              <w:spacing w:after="0"/>
              <w:rPr>
                <w:sz w:val="20"/>
                <w:szCs w:val="20"/>
                <w:color w:val="auto"/>
              </w:rPr>
            </w:pPr>
            <w:r>
              <w:rPr>
                <w:rFonts w:ascii="Verdana" w:cs="Verdana" w:eastAsia="Verdana" w:hAnsi="Verdana"/>
                <w:sz w:val="16"/>
                <w:szCs w:val="16"/>
                <w:color w:val="auto"/>
              </w:rPr>
              <w:t>General and administrative</w:t>
            </w:r>
          </w:p>
        </w:tc>
        <w:tc>
          <w:tcPr>
            <w:tcW w:w="20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820" w:type="dxa"/>
            <w:vAlign w:val="bottom"/>
          </w:tcPr>
          <w:p>
            <w:pPr>
              <w:jc w:val="right"/>
              <w:ind w:right="23"/>
              <w:spacing w:after="0"/>
              <w:rPr>
                <w:sz w:val="20"/>
                <w:szCs w:val="20"/>
                <w:color w:val="auto"/>
              </w:rPr>
            </w:pPr>
            <w:r>
              <w:rPr>
                <w:rFonts w:ascii="Verdana" w:cs="Verdana" w:eastAsia="Verdana" w:hAnsi="Verdana"/>
                <w:sz w:val="16"/>
                <w:szCs w:val="16"/>
                <w:color w:val="214E93"/>
              </w:rPr>
              <w:t>1.81</w:t>
            </w:r>
          </w:p>
        </w:tc>
        <w:tc>
          <w:tcPr>
            <w:tcW w:w="240" w:type="dxa"/>
            <w:vAlign w:val="bottom"/>
          </w:tcPr>
          <w:p>
            <w:pPr>
              <w:jc w:val="right"/>
              <w:spacing w:after="0"/>
              <w:rPr>
                <w:sz w:val="20"/>
                <w:szCs w:val="20"/>
                <w:color w:val="auto"/>
              </w:rPr>
            </w:pPr>
            <w:r>
              <w:rPr>
                <w:rFonts w:ascii="Verdana" w:cs="Verdana" w:eastAsia="Verdana" w:hAnsi="Verdana"/>
                <w:sz w:val="16"/>
                <w:szCs w:val="16"/>
                <w:color w:val="auto"/>
              </w:rPr>
              <w:t>$</w:t>
            </w:r>
          </w:p>
        </w:tc>
        <w:tc>
          <w:tcPr>
            <w:tcW w:w="820" w:type="dxa"/>
            <w:vAlign w:val="bottom"/>
          </w:tcPr>
          <w:p>
            <w:pPr>
              <w:jc w:val="right"/>
              <w:ind w:right="22"/>
              <w:spacing w:after="0"/>
              <w:rPr>
                <w:sz w:val="20"/>
                <w:szCs w:val="20"/>
                <w:color w:val="auto"/>
              </w:rPr>
            </w:pPr>
            <w:r>
              <w:rPr>
                <w:rFonts w:ascii="Verdana" w:cs="Verdana" w:eastAsia="Verdana" w:hAnsi="Verdana"/>
                <w:sz w:val="16"/>
                <w:szCs w:val="16"/>
                <w:color w:val="auto"/>
              </w:rPr>
              <w:t>2.04</w:t>
            </w:r>
          </w:p>
        </w:tc>
        <w:tc>
          <w:tcPr>
            <w:tcW w:w="260" w:type="dxa"/>
            <w:vAlign w:val="bottom"/>
          </w:tcPr>
          <w:p>
            <w:pPr>
              <w:jc w:val="right"/>
              <w:spacing w:after="0"/>
              <w:rPr>
                <w:sz w:val="20"/>
                <w:szCs w:val="20"/>
                <w:color w:val="auto"/>
              </w:rPr>
            </w:pPr>
            <w:r>
              <w:rPr>
                <w:rFonts w:ascii="Verdana" w:cs="Verdana" w:eastAsia="Verdana" w:hAnsi="Verdana"/>
                <w:sz w:val="16"/>
                <w:szCs w:val="16"/>
                <w:color w:val="auto"/>
              </w:rPr>
              <w:t>$</w:t>
            </w:r>
          </w:p>
        </w:tc>
        <w:tc>
          <w:tcPr>
            <w:tcW w:w="780" w:type="dxa"/>
            <w:vAlign w:val="bottom"/>
          </w:tcPr>
          <w:p>
            <w:pPr>
              <w:jc w:val="right"/>
              <w:ind w:right="2"/>
              <w:spacing w:after="0"/>
              <w:rPr>
                <w:sz w:val="20"/>
                <w:szCs w:val="20"/>
                <w:color w:val="auto"/>
              </w:rPr>
            </w:pPr>
            <w:r>
              <w:rPr>
                <w:rFonts w:ascii="Verdana" w:cs="Verdana" w:eastAsia="Verdana" w:hAnsi="Verdana"/>
                <w:sz w:val="16"/>
                <w:szCs w:val="16"/>
                <w:color w:val="auto"/>
              </w:rPr>
              <w:t>2.29</w:t>
            </w:r>
          </w:p>
        </w:tc>
      </w:tr>
    </w:tbl>
    <w:p>
      <w:pPr>
        <w:spacing w:after="0" w:line="20" w:lineRule="exact"/>
        <w:rPr>
          <w:sz w:val="20"/>
          <w:szCs w:val="20"/>
          <w:color w:val="auto"/>
        </w:rPr>
      </w:pPr>
    </w:p>
    <w:p>
      <w:pPr>
        <w:spacing w:after="0" w:line="132" w:lineRule="exact"/>
        <w:rPr>
          <w:sz w:val="20"/>
          <w:szCs w:val="20"/>
          <w:color w:val="auto"/>
        </w:rPr>
      </w:pPr>
    </w:p>
    <w:p>
      <w:pPr>
        <w:ind w:left="480" w:hanging="350"/>
        <w:spacing w:after="0"/>
        <w:tabs>
          <w:tab w:leader="none" w:pos="480" w:val="left"/>
        </w:tabs>
        <w:numPr>
          <w:ilvl w:val="0"/>
          <w:numId w:val="23"/>
        </w:numPr>
        <w:rPr>
          <w:rFonts w:ascii="Calibri" w:cs="Calibri" w:eastAsia="Calibri" w:hAnsi="Calibri"/>
          <w:sz w:val="14"/>
          <w:szCs w:val="14"/>
          <w:color w:val="auto"/>
        </w:rPr>
      </w:pPr>
      <w:r>
        <w:rPr>
          <w:rFonts w:ascii="Calibri" w:cs="Calibri" w:eastAsia="Calibri" w:hAnsi="Calibri"/>
          <w:sz w:val="14"/>
          <w:szCs w:val="14"/>
          <w:color w:val="auto"/>
        </w:rPr>
        <w:t>Estimated using a conversion ratio of one Bbl of oil per six Mcf of natural gas.</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892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1160" w:top="498" w:right="440" w:bottom="0" w:gutter="0" w:footer="0" w:header="0"/>
          <w:type w:val="continuous"/>
        </w:sectPr>
      </w:pPr>
    </w:p>
    <w:bookmarkStart w:id="29" w:name="page30"/>
    <w:bookmarkEnd w:id="29"/>
    <w:p>
      <w:pPr>
        <w:spacing w:after="0"/>
        <w:tabs>
          <w:tab w:leader="none" w:pos="740" w:val="left"/>
        </w:tabs>
        <w:rPr>
          <w:sz w:val="20"/>
          <w:szCs w:val="20"/>
          <w:color w:val="auto"/>
        </w:rPr>
      </w:pPr>
      <w:r>
        <w:rPr>
          <w:rFonts w:ascii="Calibri" w:cs="Calibri" w:eastAsia="Calibri" w:hAnsi="Calibri"/>
          <w:sz w:val="18"/>
          <w:szCs w:val="18"/>
          <w:color w:val="auto"/>
        </w:rPr>
        <w:t>16</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20" w:right="360" w:firstLine="241"/>
        <w:spacing w:after="0" w:line="261" w:lineRule="auto"/>
        <w:rPr>
          <w:sz w:val="20"/>
          <w:szCs w:val="20"/>
          <w:color w:val="auto"/>
        </w:rPr>
      </w:pPr>
      <w:r>
        <w:rPr>
          <w:rFonts w:ascii="Calibri" w:cs="Calibri" w:eastAsia="Calibri" w:hAnsi="Calibri"/>
          <w:sz w:val="18"/>
          <w:szCs w:val="18"/>
          <w:color w:val="auto"/>
        </w:rPr>
        <w:t>The following table sets forth information regarding our production volumes, sales prices and production costs for the year ended December 31, 2025 from our operating areas, which we consider to be distinct fields for purposes of accounting for production.</w:t>
      </w:r>
    </w:p>
    <w:p>
      <w:pPr>
        <w:spacing w:after="0" w:line="130"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Verdana" w:cs="Verdana" w:eastAsia="Verdana" w:hAnsi="Verdana"/>
                <w:sz w:val="14"/>
                <w:szCs w:val="14"/>
                <w:color w:val="auto"/>
                <w:w w:val="98"/>
              </w:rPr>
              <w:t>Southeast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5"/>
        </w:trPr>
        <w:tc>
          <w:tcPr>
            <w:tcW w:w="3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81"/>
              <w:spacing w:after="0" w:line="166" w:lineRule="exact"/>
              <w:rPr>
                <w:sz w:val="20"/>
                <w:szCs w:val="20"/>
                <w:color w:val="auto"/>
              </w:rPr>
            </w:pPr>
            <w:r>
              <w:rPr>
                <w:rFonts w:ascii="Verdana" w:cs="Verdana" w:eastAsia="Verdana" w:hAnsi="Verdana"/>
                <w:sz w:val="14"/>
                <w:szCs w:val="14"/>
                <w:color w:val="auto"/>
                <w:w w:val="98"/>
              </w:rPr>
              <w:t>New Mexico/</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93"/>
        </w:trPr>
        <w:tc>
          <w:tcPr>
            <w:tcW w:w="3860" w:type="dxa"/>
            <w:vAlign w:val="bottom"/>
          </w:tcPr>
          <w:p>
            <w:pPr>
              <w:spacing w:after="0"/>
              <w:rPr>
                <w:sz w:val="16"/>
                <w:szCs w:val="16"/>
                <w:color w:val="auto"/>
              </w:rPr>
            </w:pPr>
          </w:p>
        </w:tc>
        <w:tc>
          <w:tcPr>
            <w:tcW w:w="160" w:type="dxa"/>
            <w:vAlign w:val="bottom"/>
            <w:tcBorders>
              <w:bottom w:val="single" w:sz="8" w:color="214E93"/>
            </w:tcBorders>
          </w:tcPr>
          <w:p>
            <w:pPr>
              <w:spacing w:after="0"/>
              <w:rPr>
                <w:sz w:val="16"/>
                <w:szCs w:val="16"/>
                <w:color w:val="auto"/>
              </w:rPr>
            </w:pPr>
          </w:p>
        </w:tc>
        <w:tc>
          <w:tcPr>
            <w:tcW w:w="84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auto"/>
                <w:w w:val="98"/>
              </w:rPr>
              <w:t>West Texas</w:t>
            </w:r>
          </w:p>
        </w:tc>
        <w:tc>
          <w:tcPr>
            <w:tcW w:w="200" w:type="dxa"/>
            <w:vAlign w:val="bottom"/>
            <w:tcBorders>
              <w:bottom w:val="single" w:sz="8" w:color="214E93"/>
            </w:tcBorders>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214E93"/>
            </w:tcBorders>
            <w:gridSpan w:val="3"/>
          </w:tcPr>
          <w:p>
            <w:pPr>
              <w:ind w:left="60"/>
              <w:spacing w:after="0"/>
              <w:rPr>
                <w:sz w:val="20"/>
                <w:szCs w:val="20"/>
                <w:color w:val="auto"/>
              </w:rPr>
            </w:pPr>
            <w:r>
              <w:rPr>
                <w:rFonts w:ascii="Verdana" w:cs="Verdana" w:eastAsia="Verdana" w:hAnsi="Verdana"/>
                <w:sz w:val="14"/>
                <w:szCs w:val="14"/>
                <w:color w:val="auto"/>
              </w:rPr>
              <w:t>South Texas</w:t>
            </w:r>
          </w:p>
        </w:tc>
        <w:tc>
          <w:tcPr>
            <w:tcW w:w="80" w:type="dxa"/>
            <w:vAlign w:val="bottom"/>
          </w:tcPr>
          <w:p>
            <w:pPr>
              <w:spacing w:after="0"/>
              <w:rPr>
                <w:sz w:val="16"/>
                <w:szCs w:val="16"/>
                <w:color w:val="auto"/>
              </w:rPr>
            </w:pPr>
          </w:p>
        </w:tc>
        <w:tc>
          <w:tcPr>
            <w:tcW w:w="160" w:type="dxa"/>
            <w:vAlign w:val="bottom"/>
            <w:tcBorders>
              <w:bottom w:val="single" w:sz="8" w:color="214E93"/>
            </w:tcBorders>
          </w:tcPr>
          <w:p>
            <w:pPr>
              <w:spacing w:after="0"/>
              <w:rPr>
                <w:sz w:val="16"/>
                <w:szCs w:val="16"/>
                <w:color w:val="auto"/>
              </w:rPr>
            </w:pPr>
          </w:p>
        </w:tc>
        <w:tc>
          <w:tcPr>
            <w:tcW w:w="2000" w:type="dxa"/>
            <w:vAlign w:val="bottom"/>
            <w:tcBorders>
              <w:bottom w:val="single" w:sz="8" w:color="214E93"/>
            </w:tcBorders>
            <w:gridSpan w:val="4"/>
          </w:tcPr>
          <w:p>
            <w:pPr>
              <w:jc w:val="right"/>
              <w:ind w:right="301"/>
              <w:spacing w:after="0"/>
              <w:rPr>
                <w:sz w:val="20"/>
                <w:szCs w:val="20"/>
                <w:color w:val="auto"/>
              </w:rPr>
            </w:pPr>
            <w:r>
              <w:rPr>
                <w:rFonts w:ascii="Verdana" w:cs="Verdana" w:eastAsia="Verdana" w:hAnsi="Verdana"/>
                <w:sz w:val="14"/>
                <w:szCs w:val="14"/>
                <w:color w:val="auto"/>
              </w:rPr>
              <w:t>Northwest Louisiana</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1"/>
        </w:trPr>
        <w:tc>
          <w:tcPr>
            <w:tcW w:w="3860" w:type="dxa"/>
            <w:vAlign w:val="bottom"/>
            <w:tcBorders>
              <w:bottom w:val="single" w:sz="8" w:color="214E93"/>
            </w:tcBorders>
          </w:tcPr>
          <w:p>
            <w:pPr>
              <w:spacing w:after="0"/>
              <w:rPr>
                <w:sz w:val="17"/>
                <w:szCs w:val="17"/>
                <w:color w:val="auto"/>
              </w:rPr>
            </w:pPr>
          </w:p>
        </w:tc>
        <w:tc>
          <w:tcPr>
            <w:tcW w:w="1200" w:type="dxa"/>
            <w:vAlign w:val="bottom"/>
            <w:tcBorders>
              <w:bottom w:val="single" w:sz="8" w:color="214E93"/>
            </w:tcBorders>
            <w:gridSpan w:val="3"/>
          </w:tcPr>
          <w:p>
            <w:pPr>
              <w:ind w:left="60"/>
              <w:spacing w:after="0"/>
              <w:rPr>
                <w:sz w:val="20"/>
                <w:szCs w:val="20"/>
                <w:color w:val="auto"/>
              </w:rPr>
            </w:pPr>
            <w:r>
              <w:rPr>
                <w:rFonts w:ascii="Verdana" w:cs="Verdana" w:eastAsia="Verdana" w:hAnsi="Verdana"/>
                <w:sz w:val="14"/>
                <w:szCs w:val="14"/>
                <w:color w:val="auto"/>
              </w:rPr>
              <w:t>Delaware Basin</w:t>
            </w:r>
          </w:p>
        </w:tc>
        <w:tc>
          <w:tcPr>
            <w:tcW w:w="80" w:type="dxa"/>
            <w:vAlign w:val="bottom"/>
            <w:tcBorders>
              <w:bottom w:val="single" w:sz="8" w:color="214E93"/>
            </w:tcBorders>
          </w:tcPr>
          <w:p>
            <w:pPr>
              <w:spacing w:after="0"/>
              <w:rPr>
                <w:sz w:val="17"/>
                <w:szCs w:val="17"/>
                <w:color w:val="auto"/>
              </w:rPr>
            </w:pPr>
          </w:p>
        </w:tc>
        <w:tc>
          <w:tcPr>
            <w:tcW w:w="980" w:type="dxa"/>
            <w:vAlign w:val="bottom"/>
            <w:tcBorders>
              <w:bottom w:val="single" w:sz="8" w:color="214E93"/>
            </w:tcBorders>
            <w:gridSpan w:val="3"/>
          </w:tcPr>
          <w:p>
            <w:pPr>
              <w:ind w:left="60"/>
              <w:spacing w:after="0" w:line="201" w:lineRule="exact"/>
              <w:rPr>
                <w:sz w:val="20"/>
                <w:szCs w:val="20"/>
                <w:color w:val="auto"/>
              </w:rPr>
            </w:pPr>
            <w:r>
              <w:rPr>
                <w:rFonts w:ascii="Verdana" w:cs="Verdana" w:eastAsia="Verdana" w:hAnsi="Verdana"/>
                <w:sz w:val="14"/>
                <w:szCs w:val="14"/>
                <w:color w:val="auto"/>
                <w:w w:val="97"/>
              </w:rPr>
              <w:t>Eagle Ford</w:t>
            </w:r>
            <w:r>
              <w:rPr>
                <w:rFonts w:ascii="Verdana" w:cs="Verdana" w:eastAsia="Verdana" w:hAnsi="Verdana"/>
                <w:sz w:val="17"/>
                <w:szCs w:val="17"/>
                <w:color w:val="auto"/>
                <w:w w:val="97"/>
                <w:vertAlign w:val="superscript"/>
              </w:rPr>
              <w:t>(1)</w:t>
            </w:r>
          </w:p>
        </w:tc>
        <w:tc>
          <w:tcPr>
            <w:tcW w:w="80" w:type="dxa"/>
            <w:vAlign w:val="bottom"/>
            <w:tcBorders>
              <w:bottom w:val="single" w:sz="8" w:color="214E93"/>
            </w:tcBorders>
          </w:tcPr>
          <w:p>
            <w:pPr>
              <w:spacing w:after="0"/>
              <w:rPr>
                <w:sz w:val="17"/>
                <w:szCs w:val="17"/>
                <w:color w:val="auto"/>
              </w:rPr>
            </w:pPr>
          </w:p>
        </w:tc>
        <w:tc>
          <w:tcPr>
            <w:tcW w:w="960" w:type="dxa"/>
            <w:vAlign w:val="bottom"/>
            <w:tcBorders>
              <w:bottom w:val="single" w:sz="8" w:color="214E93"/>
            </w:tcBorders>
            <w:gridSpan w:val="3"/>
          </w:tcPr>
          <w:p>
            <w:pPr>
              <w:ind w:left="60"/>
              <w:spacing w:after="0"/>
              <w:rPr>
                <w:sz w:val="20"/>
                <w:szCs w:val="20"/>
                <w:color w:val="auto"/>
              </w:rPr>
            </w:pPr>
            <w:r>
              <w:rPr>
                <w:rFonts w:ascii="Verdana" w:cs="Verdana" w:eastAsia="Verdana" w:hAnsi="Verdana"/>
                <w:sz w:val="14"/>
                <w:szCs w:val="14"/>
                <w:color w:val="auto"/>
              </w:rPr>
              <w:t>Haynesville</w:t>
            </w:r>
          </w:p>
        </w:tc>
        <w:tc>
          <w:tcPr>
            <w:tcW w:w="1200" w:type="dxa"/>
            <w:vAlign w:val="bottom"/>
            <w:tcBorders>
              <w:bottom w:val="single" w:sz="8" w:color="214E93"/>
            </w:tcBorders>
            <w:gridSpan w:val="2"/>
          </w:tcPr>
          <w:p>
            <w:pPr>
              <w:ind w:left="80"/>
              <w:spacing w:after="0" w:line="201" w:lineRule="exact"/>
              <w:rPr>
                <w:sz w:val="20"/>
                <w:szCs w:val="20"/>
                <w:color w:val="auto"/>
              </w:rPr>
            </w:pPr>
            <w:r>
              <w:rPr>
                <w:rFonts w:ascii="Verdana" w:cs="Verdana" w:eastAsia="Verdana" w:hAnsi="Verdana"/>
                <w:sz w:val="14"/>
                <w:szCs w:val="14"/>
                <w:color w:val="auto"/>
                <w:w w:val="98"/>
              </w:rPr>
              <w:t>Cotton Valley</w:t>
            </w:r>
            <w:r>
              <w:rPr>
                <w:rFonts w:ascii="Verdana" w:cs="Verdana" w:eastAsia="Verdana" w:hAnsi="Verdana"/>
                <w:sz w:val="17"/>
                <w:szCs w:val="17"/>
                <w:color w:val="auto"/>
                <w:w w:val="98"/>
                <w:vertAlign w:val="superscript"/>
              </w:rPr>
              <w:t>(2)</w:t>
            </w:r>
          </w:p>
        </w:tc>
        <w:tc>
          <w:tcPr>
            <w:tcW w:w="240" w:type="dxa"/>
            <w:vAlign w:val="bottom"/>
            <w:tcBorders>
              <w:bottom w:val="single" w:sz="8" w:color="214E93"/>
            </w:tcBorders>
          </w:tcPr>
          <w:p>
            <w:pPr>
              <w:spacing w:after="0"/>
              <w:rPr>
                <w:sz w:val="17"/>
                <w:szCs w:val="17"/>
                <w:color w:val="auto"/>
              </w:rPr>
            </w:pPr>
          </w:p>
        </w:tc>
        <w:tc>
          <w:tcPr>
            <w:tcW w:w="540" w:type="dxa"/>
            <w:vAlign w:val="bottom"/>
            <w:tcBorders>
              <w:bottom w:val="single" w:sz="8" w:color="214E93"/>
            </w:tcBorders>
          </w:tcPr>
          <w:p>
            <w:pPr>
              <w:jc w:val="right"/>
              <w:ind w:right="3"/>
              <w:spacing w:after="0"/>
              <w:rPr>
                <w:sz w:val="20"/>
                <w:szCs w:val="20"/>
                <w:color w:val="auto"/>
              </w:rPr>
            </w:pPr>
            <w:r>
              <w:rPr>
                <w:rFonts w:ascii="Verdana" w:cs="Verdana" w:eastAsia="Verdana" w:hAnsi="Verdana"/>
                <w:sz w:val="14"/>
                <w:szCs w:val="14"/>
                <w:color w:val="auto"/>
              </w:rPr>
              <w:t>Total</w:t>
            </w:r>
          </w:p>
        </w:tc>
        <w:tc>
          <w:tcPr>
            <w:tcW w:w="220" w:type="dxa"/>
            <w:vAlign w:val="bottom"/>
            <w:tcBorders>
              <w:bottom w:val="single" w:sz="8" w:color="214E93"/>
            </w:tcBorders>
          </w:tcPr>
          <w:p>
            <w:pPr>
              <w:spacing w:after="0"/>
              <w:rPr>
                <w:sz w:val="17"/>
                <w:szCs w:val="17"/>
                <w:color w:val="auto"/>
              </w:rPr>
            </w:pPr>
          </w:p>
        </w:tc>
      </w:tr>
      <w:tr>
        <w:trPr>
          <w:trHeight w:val="230"/>
        </w:trPr>
        <w:tc>
          <w:tcPr>
            <w:tcW w:w="3860" w:type="dxa"/>
            <w:vAlign w:val="bottom"/>
          </w:tcPr>
          <w:p>
            <w:pPr>
              <w:ind w:left="40"/>
              <w:spacing w:after="0" w:line="231" w:lineRule="exact"/>
              <w:rPr>
                <w:sz w:val="20"/>
                <w:szCs w:val="20"/>
                <w:color w:val="auto"/>
              </w:rPr>
            </w:pPr>
            <w:r>
              <w:rPr>
                <w:rFonts w:ascii="Calibri" w:cs="Calibri" w:eastAsia="Calibri" w:hAnsi="Calibri"/>
                <w:sz w:val="19"/>
                <w:szCs w:val="19"/>
                <w:b w:val="1"/>
                <w:bCs w:val="1"/>
                <w:color w:val="214E93"/>
              </w:rPr>
              <w:t>Annual Net Production Volumes</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60"/>
        </w:trPr>
        <w:tc>
          <w:tcPr>
            <w:tcW w:w="3860" w:type="dxa"/>
            <w:vAlign w:val="bottom"/>
          </w:tcPr>
          <w:p>
            <w:pPr>
              <w:ind w:left="40"/>
              <w:spacing w:after="0"/>
              <w:rPr>
                <w:sz w:val="20"/>
                <w:szCs w:val="20"/>
                <w:color w:val="auto"/>
              </w:rPr>
            </w:pPr>
            <w:r>
              <w:rPr>
                <w:rFonts w:ascii="Verdana" w:cs="Verdana" w:eastAsia="Verdana" w:hAnsi="Verdana"/>
                <w:sz w:val="16"/>
                <w:szCs w:val="16"/>
                <w:color w:val="auto"/>
              </w:rPr>
              <w:t>Oil (MBbl)</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Verdana" w:cs="Verdana" w:eastAsia="Verdana" w:hAnsi="Verdana"/>
                <w:sz w:val="16"/>
                <w:szCs w:val="16"/>
                <w:color w:val="214E93"/>
              </w:rPr>
              <w:t>43,664</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Verdana" w:cs="Verdana" w:eastAsia="Verdana" w:hAnsi="Verdana"/>
                <w:sz w:val="16"/>
                <w:szCs w:val="16"/>
                <w:color w:val="214E93"/>
              </w:rPr>
              <w:t>34</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181"/>
              <w:spacing w:after="0"/>
              <w:rPr>
                <w:sz w:val="20"/>
                <w:szCs w:val="20"/>
                <w:color w:val="auto"/>
              </w:rPr>
            </w:pPr>
            <w:r>
              <w:rPr>
                <w:rFonts w:ascii="Verdana" w:cs="Verdana" w:eastAsia="Verdana" w:hAnsi="Verdana"/>
                <w:sz w:val="16"/>
                <w:szCs w:val="16"/>
                <w:color w:val="214E93"/>
              </w:rPr>
              <w:t>1</w:t>
            </w:r>
          </w:p>
        </w:tc>
        <w:tc>
          <w:tcPr>
            <w:tcW w:w="780" w:type="dxa"/>
            <w:vAlign w:val="bottom"/>
            <w:gridSpan w:val="2"/>
          </w:tcPr>
          <w:p>
            <w:pPr>
              <w:jc w:val="right"/>
              <w:spacing w:after="0"/>
              <w:rPr>
                <w:sz w:val="20"/>
                <w:szCs w:val="20"/>
                <w:color w:val="auto"/>
              </w:rPr>
            </w:pPr>
            <w:r>
              <w:rPr>
                <w:rFonts w:ascii="Verdana" w:cs="Verdana" w:eastAsia="Verdana" w:hAnsi="Verdana"/>
                <w:sz w:val="16"/>
                <w:szCs w:val="16"/>
                <w:color w:val="214E93"/>
              </w:rPr>
              <w:t>43,699</w:t>
            </w:r>
          </w:p>
        </w:tc>
        <w:tc>
          <w:tcPr>
            <w:tcW w:w="220" w:type="dxa"/>
            <w:vAlign w:val="bottom"/>
          </w:tcPr>
          <w:p>
            <w:pPr>
              <w:spacing w:after="0"/>
              <w:rPr>
                <w:sz w:val="22"/>
                <w:szCs w:val="22"/>
                <w:color w:val="auto"/>
              </w:rPr>
            </w:pPr>
          </w:p>
        </w:tc>
      </w:tr>
      <w:tr>
        <w:trPr>
          <w:trHeight w:val="242"/>
        </w:trPr>
        <w:tc>
          <w:tcPr>
            <w:tcW w:w="3860" w:type="dxa"/>
            <w:vAlign w:val="bottom"/>
            <w:tcBorders>
              <w:bottom w:val="single" w:sz="8" w:color="214E93"/>
            </w:tcBorders>
          </w:tcPr>
          <w:p>
            <w:pPr>
              <w:ind w:left="40"/>
              <w:spacing w:after="0"/>
              <w:rPr>
                <w:sz w:val="20"/>
                <w:szCs w:val="20"/>
                <w:color w:val="auto"/>
              </w:rPr>
            </w:pPr>
            <w:r>
              <w:rPr>
                <w:rFonts w:ascii="Verdana" w:cs="Verdana" w:eastAsia="Verdana" w:hAnsi="Verdana"/>
                <w:sz w:val="16"/>
                <w:szCs w:val="16"/>
                <w:color w:val="auto"/>
              </w:rPr>
              <w:t>Natural gas (Bcf)</w:t>
            </w:r>
          </w:p>
        </w:tc>
        <w:tc>
          <w:tcPr>
            <w:tcW w:w="160" w:type="dxa"/>
            <w:vAlign w:val="bottom"/>
            <w:tcBorders>
              <w:bottom w:val="single" w:sz="8" w:color="214E93"/>
            </w:tcBorders>
          </w:tcPr>
          <w:p>
            <w:pPr>
              <w:spacing w:after="0"/>
              <w:rPr>
                <w:sz w:val="21"/>
                <w:szCs w:val="21"/>
                <w:color w:val="auto"/>
              </w:rPr>
            </w:pPr>
          </w:p>
        </w:tc>
        <w:tc>
          <w:tcPr>
            <w:tcW w:w="84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183.3</w:t>
            </w:r>
          </w:p>
        </w:tc>
        <w:tc>
          <w:tcPr>
            <w:tcW w:w="200" w:type="dxa"/>
            <w:vAlign w:val="bottom"/>
            <w:tcBorders>
              <w:bottom w:val="single" w:sz="8" w:color="214E93"/>
            </w:tcBorders>
          </w:tcPr>
          <w:p>
            <w:pPr>
              <w:spacing w:after="0"/>
              <w:rPr>
                <w:sz w:val="21"/>
                <w:szCs w:val="21"/>
                <w:color w:val="auto"/>
              </w:rPr>
            </w:pPr>
          </w:p>
        </w:tc>
        <w:tc>
          <w:tcPr>
            <w:tcW w:w="80" w:type="dxa"/>
            <w:vAlign w:val="bottom"/>
            <w:tcBorders>
              <w:bottom w:val="single" w:sz="8" w:color="214E93"/>
            </w:tcBorders>
          </w:tcPr>
          <w:p>
            <w:pPr>
              <w:spacing w:after="0"/>
              <w:rPr>
                <w:sz w:val="21"/>
                <w:szCs w:val="21"/>
                <w:color w:val="auto"/>
              </w:rPr>
            </w:pPr>
          </w:p>
        </w:tc>
        <w:tc>
          <w:tcPr>
            <w:tcW w:w="200" w:type="dxa"/>
            <w:vAlign w:val="bottom"/>
            <w:tcBorders>
              <w:bottom w:val="single" w:sz="8" w:color="214E93"/>
            </w:tcBorders>
          </w:tcPr>
          <w:p>
            <w:pPr>
              <w:spacing w:after="0"/>
              <w:rPr>
                <w:sz w:val="21"/>
                <w:szCs w:val="21"/>
                <w:color w:val="auto"/>
              </w:rPr>
            </w:pPr>
          </w:p>
        </w:tc>
        <w:tc>
          <w:tcPr>
            <w:tcW w:w="56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w:t>
            </w:r>
          </w:p>
        </w:tc>
        <w:tc>
          <w:tcPr>
            <w:tcW w:w="220" w:type="dxa"/>
            <w:vAlign w:val="bottom"/>
            <w:tcBorders>
              <w:bottom w:val="single" w:sz="8" w:color="214E93"/>
            </w:tcBorders>
          </w:tcPr>
          <w:p>
            <w:pPr>
              <w:spacing w:after="0"/>
              <w:rPr>
                <w:sz w:val="21"/>
                <w:szCs w:val="21"/>
                <w:color w:val="auto"/>
              </w:rPr>
            </w:pPr>
          </w:p>
        </w:tc>
        <w:tc>
          <w:tcPr>
            <w:tcW w:w="80" w:type="dxa"/>
            <w:vAlign w:val="bottom"/>
            <w:tcBorders>
              <w:bottom w:val="single" w:sz="8" w:color="214E93"/>
            </w:tcBorders>
          </w:tcPr>
          <w:p>
            <w:pPr>
              <w:spacing w:after="0"/>
              <w:rPr>
                <w:sz w:val="21"/>
                <w:szCs w:val="21"/>
                <w:color w:val="auto"/>
              </w:rPr>
            </w:pPr>
          </w:p>
        </w:tc>
        <w:tc>
          <w:tcPr>
            <w:tcW w:w="160" w:type="dxa"/>
            <w:vAlign w:val="bottom"/>
            <w:tcBorders>
              <w:bottom w:val="single" w:sz="8" w:color="214E93"/>
            </w:tcBorders>
          </w:tcPr>
          <w:p>
            <w:pPr>
              <w:spacing w:after="0"/>
              <w:rPr>
                <w:sz w:val="21"/>
                <w:szCs w:val="21"/>
                <w:color w:val="auto"/>
              </w:rPr>
            </w:pPr>
          </w:p>
        </w:tc>
        <w:tc>
          <w:tcPr>
            <w:tcW w:w="52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7.8</w:t>
            </w:r>
          </w:p>
        </w:tc>
        <w:tc>
          <w:tcPr>
            <w:tcW w:w="280" w:type="dxa"/>
            <w:vAlign w:val="bottom"/>
            <w:tcBorders>
              <w:bottom w:val="single" w:sz="8" w:color="214E93"/>
            </w:tcBorders>
          </w:tcPr>
          <w:p>
            <w:pPr>
              <w:spacing w:after="0"/>
              <w:rPr>
                <w:sz w:val="21"/>
                <w:szCs w:val="21"/>
                <w:color w:val="auto"/>
              </w:rPr>
            </w:pPr>
          </w:p>
        </w:tc>
        <w:tc>
          <w:tcPr>
            <w:tcW w:w="320" w:type="dxa"/>
            <w:vAlign w:val="bottom"/>
            <w:tcBorders>
              <w:bottom w:val="single" w:sz="8" w:color="214E93"/>
            </w:tcBorders>
          </w:tcPr>
          <w:p>
            <w:pPr>
              <w:spacing w:after="0"/>
              <w:rPr>
                <w:sz w:val="21"/>
                <w:szCs w:val="21"/>
                <w:color w:val="auto"/>
              </w:rPr>
            </w:pPr>
          </w:p>
        </w:tc>
        <w:tc>
          <w:tcPr>
            <w:tcW w:w="880" w:type="dxa"/>
            <w:vAlign w:val="bottom"/>
            <w:tcBorders>
              <w:bottom w:val="single" w:sz="8" w:color="214E93"/>
            </w:tcBorders>
          </w:tcPr>
          <w:p>
            <w:pPr>
              <w:jc w:val="right"/>
              <w:ind w:right="181"/>
              <w:spacing w:after="0"/>
              <w:rPr>
                <w:sz w:val="20"/>
                <w:szCs w:val="20"/>
                <w:color w:val="auto"/>
              </w:rPr>
            </w:pPr>
            <w:r>
              <w:rPr>
                <w:rFonts w:ascii="Verdana" w:cs="Verdana" w:eastAsia="Verdana" w:hAnsi="Verdana"/>
                <w:sz w:val="16"/>
                <w:szCs w:val="16"/>
                <w:color w:val="214E93"/>
              </w:rPr>
              <w:t>0.2</w:t>
            </w:r>
          </w:p>
        </w:tc>
        <w:tc>
          <w:tcPr>
            <w:tcW w:w="240" w:type="dxa"/>
            <w:vAlign w:val="bottom"/>
            <w:tcBorders>
              <w:bottom w:val="single" w:sz="8" w:color="214E93"/>
            </w:tcBorders>
          </w:tcPr>
          <w:p>
            <w:pPr>
              <w:spacing w:after="0"/>
              <w:rPr>
                <w:sz w:val="21"/>
                <w:szCs w:val="21"/>
                <w:color w:val="auto"/>
              </w:rPr>
            </w:pPr>
          </w:p>
        </w:tc>
        <w:tc>
          <w:tcPr>
            <w:tcW w:w="54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191.3</w:t>
            </w:r>
          </w:p>
        </w:tc>
        <w:tc>
          <w:tcPr>
            <w:tcW w:w="220" w:type="dxa"/>
            <w:vAlign w:val="bottom"/>
            <w:tcBorders>
              <w:bottom w:val="single" w:sz="8" w:color="214E93"/>
            </w:tcBorders>
          </w:tcPr>
          <w:p>
            <w:pPr>
              <w:spacing w:after="0"/>
              <w:rPr>
                <w:sz w:val="21"/>
                <w:szCs w:val="21"/>
                <w:color w:val="auto"/>
              </w:rPr>
            </w:pPr>
          </w:p>
        </w:tc>
      </w:tr>
      <w:tr>
        <w:trPr>
          <w:trHeight w:val="235"/>
        </w:trPr>
        <w:tc>
          <w:tcPr>
            <w:tcW w:w="3860" w:type="dxa"/>
            <w:vAlign w:val="bottom"/>
          </w:tcPr>
          <w:p>
            <w:pPr>
              <w:ind w:left="40"/>
              <w:spacing w:after="0" w:line="234" w:lineRule="exact"/>
              <w:rPr>
                <w:sz w:val="20"/>
                <w:szCs w:val="20"/>
                <w:color w:val="auto"/>
              </w:rPr>
            </w:pPr>
            <w:r>
              <w:rPr>
                <w:rFonts w:ascii="Verdana" w:cs="Verdana" w:eastAsia="Verdana" w:hAnsi="Verdana"/>
                <w:sz w:val="16"/>
                <w:szCs w:val="16"/>
                <w:color w:val="auto"/>
              </w:rPr>
              <w:t>Total oil equivalent (MBOE)</w:t>
            </w:r>
            <w:r>
              <w:rPr>
                <w:rFonts w:ascii="Verdana" w:cs="Verdana" w:eastAsia="Verdana" w:hAnsi="Verdana"/>
                <w:sz w:val="20"/>
                <w:szCs w:val="20"/>
                <w:color w:val="auto"/>
                <w:vertAlign w:val="superscript"/>
              </w:rPr>
              <w:t>(3)</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Verdana" w:cs="Verdana" w:eastAsia="Verdana" w:hAnsi="Verdana"/>
                <w:sz w:val="16"/>
                <w:szCs w:val="16"/>
                <w:color w:val="214E93"/>
              </w:rPr>
              <w:t>74,216</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Verdana" w:cs="Verdana" w:eastAsia="Verdana" w:hAnsi="Verdana"/>
                <w:sz w:val="16"/>
                <w:szCs w:val="16"/>
                <w:color w:val="214E93"/>
              </w:rPr>
              <w:t>38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Verdana" w:cs="Verdana" w:eastAsia="Verdana" w:hAnsi="Verdana"/>
                <w:sz w:val="16"/>
                <w:szCs w:val="16"/>
                <w:color w:val="214E93"/>
                <w:w w:val="98"/>
              </w:rPr>
              <w:t>1,290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ind w:right="181"/>
              <w:spacing w:after="0"/>
              <w:rPr>
                <w:sz w:val="20"/>
                <w:szCs w:val="20"/>
                <w:color w:val="auto"/>
              </w:rPr>
            </w:pPr>
            <w:r>
              <w:rPr>
                <w:rFonts w:ascii="Verdana" w:cs="Verdana" w:eastAsia="Verdana" w:hAnsi="Verdana"/>
                <w:sz w:val="16"/>
                <w:szCs w:val="16"/>
                <w:color w:val="214E93"/>
              </w:rPr>
              <w:t>37</w:t>
            </w:r>
          </w:p>
        </w:tc>
        <w:tc>
          <w:tcPr>
            <w:tcW w:w="780" w:type="dxa"/>
            <w:vAlign w:val="bottom"/>
            <w:gridSpan w:val="2"/>
          </w:tcPr>
          <w:p>
            <w:pPr>
              <w:jc w:val="right"/>
              <w:spacing w:after="0"/>
              <w:rPr>
                <w:sz w:val="20"/>
                <w:szCs w:val="20"/>
                <w:color w:val="auto"/>
              </w:rPr>
            </w:pPr>
            <w:r>
              <w:rPr>
                <w:rFonts w:ascii="Verdana" w:cs="Verdana" w:eastAsia="Verdana" w:hAnsi="Verdana"/>
                <w:sz w:val="16"/>
                <w:szCs w:val="16"/>
                <w:color w:val="214E93"/>
              </w:rPr>
              <w:t>75,581</w:t>
            </w:r>
          </w:p>
        </w:tc>
        <w:tc>
          <w:tcPr>
            <w:tcW w:w="220" w:type="dxa"/>
            <w:vAlign w:val="bottom"/>
          </w:tcPr>
          <w:p>
            <w:pPr>
              <w:spacing w:after="0"/>
              <w:rPr>
                <w:sz w:val="20"/>
                <w:szCs w:val="20"/>
                <w:color w:val="auto"/>
              </w:rPr>
            </w:pPr>
          </w:p>
        </w:tc>
      </w:tr>
      <w:tr>
        <w:trPr>
          <w:trHeight w:val="211"/>
        </w:trPr>
        <w:tc>
          <w:tcPr>
            <w:tcW w:w="3860" w:type="dxa"/>
            <w:vAlign w:val="bottom"/>
          </w:tcPr>
          <w:p>
            <w:pPr>
              <w:ind w:left="40"/>
              <w:spacing w:after="0"/>
              <w:rPr>
                <w:sz w:val="20"/>
                <w:szCs w:val="20"/>
                <w:color w:val="auto"/>
              </w:rPr>
            </w:pPr>
            <w:r>
              <w:rPr>
                <w:rFonts w:ascii="Verdana" w:cs="Verdana" w:eastAsia="Verdana" w:hAnsi="Verdana"/>
                <w:sz w:val="16"/>
                <w:szCs w:val="16"/>
                <w:color w:val="auto"/>
              </w:rPr>
              <w:t>Percentage of total annual net production</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Verdana" w:cs="Verdana" w:eastAsia="Verdana" w:hAnsi="Verdana"/>
                <w:sz w:val="16"/>
                <w:szCs w:val="16"/>
                <w:color w:val="214E93"/>
              </w:rPr>
              <w:t>98.2</w:t>
            </w:r>
          </w:p>
        </w:tc>
        <w:tc>
          <w:tcPr>
            <w:tcW w:w="200" w:type="dxa"/>
            <w:vAlign w:val="bottom"/>
          </w:tcPr>
          <w:p>
            <w:pPr>
              <w:jc w:val="right"/>
              <w:spacing w:after="0"/>
              <w:rPr>
                <w:sz w:val="20"/>
                <w:szCs w:val="20"/>
                <w:color w:val="auto"/>
              </w:rPr>
            </w:pPr>
            <w:r>
              <w:rPr>
                <w:rFonts w:ascii="Verdana" w:cs="Verdana" w:eastAsia="Verdana" w:hAnsi="Verdana"/>
                <w:sz w:val="16"/>
                <w:szCs w:val="16"/>
                <w:color w:val="214E93"/>
                <w:w w:val="92"/>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Verdana" w:cs="Verdana" w:eastAsia="Verdana" w:hAnsi="Verdana"/>
                <w:sz w:val="16"/>
                <w:szCs w:val="16"/>
                <w:color w:val="214E93"/>
              </w:rPr>
              <w:t>0.1</w:t>
            </w:r>
          </w:p>
        </w:tc>
        <w:tc>
          <w:tcPr>
            <w:tcW w:w="22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Verdana" w:cs="Verdana" w:eastAsia="Verdana" w:hAnsi="Verdana"/>
                <w:sz w:val="16"/>
                <w:szCs w:val="16"/>
                <w:color w:val="214E93"/>
              </w:rPr>
              <w:t>1.7</w:t>
            </w:r>
          </w:p>
        </w:tc>
        <w:tc>
          <w:tcPr>
            <w:tcW w:w="280" w:type="dxa"/>
            <w:vAlign w:val="bottom"/>
          </w:tcPr>
          <w:p>
            <w:pPr>
              <w:jc w:val="right"/>
              <w:ind w:right="1"/>
              <w:spacing w:after="0"/>
              <w:rPr>
                <w:sz w:val="20"/>
                <w:szCs w:val="20"/>
                <w:color w:val="auto"/>
              </w:rPr>
            </w:pPr>
            <w:r>
              <w:rPr>
                <w:rFonts w:ascii="Verdana" w:cs="Verdana" w:eastAsia="Verdana" w:hAnsi="Verdana"/>
                <w:sz w:val="16"/>
                <w:szCs w:val="16"/>
                <w:color w:val="214E93"/>
              </w:rPr>
              <w:t>%</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Verdana" w:cs="Verdana" w:eastAsia="Verdana" w:hAnsi="Verdana"/>
                <w:sz w:val="16"/>
                <w:szCs w:val="16"/>
                <w:color w:val="214E93"/>
              </w:rPr>
              <w:t>— %</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Verdana" w:cs="Verdana" w:eastAsia="Verdana" w:hAnsi="Verdana"/>
                <w:sz w:val="16"/>
                <w:szCs w:val="16"/>
                <w:color w:val="214E93"/>
              </w:rPr>
              <w:t>100.0</w:t>
            </w:r>
          </w:p>
        </w:tc>
        <w:tc>
          <w:tcPr>
            <w:tcW w:w="220" w:type="dxa"/>
            <w:vAlign w:val="bottom"/>
          </w:tcPr>
          <w:p>
            <w:pPr>
              <w:jc w:val="right"/>
              <w:spacing w:after="0"/>
              <w:rPr>
                <w:sz w:val="20"/>
                <w:szCs w:val="20"/>
                <w:color w:val="auto"/>
              </w:rPr>
            </w:pPr>
            <w:r>
              <w:rPr>
                <w:rFonts w:ascii="Verdana" w:cs="Verdana" w:eastAsia="Verdana" w:hAnsi="Verdana"/>
                <w:sz w:val="16"/>
                <w:szCs w:val="16"/>
                <w:color w:val="214E93"/>
              </w:rPr>
              <w:t>%</w:t>
            </w:r>
          </w:p>
        </w:tc>
      </w:tr>
      <w:tr>
        <w:trPr>
          <w:trHeight w:val="256"/>
        </w:trPr>
        <w:tc>
          <w:tcPr>
            <w:tcW w:w="3860" w:type="dxa"/>
            <w:vAlign w:val="bottom"/>
          </w:tcPr>
          <w:p>
            <w:pPr>
              <w:ind w:left="40"/>
              <w:spacing w:after="0"/>
              <w:rPr>
                <w:sz w:val="20"/>
                <w:szCs w:val="20"/>
                <w:color w:val="auto"/>
              </w:rPr>
            </w:pPr>
            <w:r>
              <w:rPr>
                <w:rFonts w:ascii="Calibri" w:cs="Calibri" w:eastAsia="Calibri" w:hAnsi="Calibri"/>
                <w:sz w:val="19"/>
                <w:szCs w:val="19"/>
                <w:b w:val="1"/>
                <w:bCs w:val="1"/>
                <w:color w:val="214E93"/>
              </w:rPr>
              <w:t>Average Net Daily Production Volumes</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60"/>
        </w:trPr>
        <w:tc>
          <w:tcPr>
            <w:tcW w:w="3860" w:type="dxa"/>
            <w:vAlign w:val="bottom"/>
          </w:tcPr>
          <w:p>
            <w:pPr>
              <w:ind w:left="40"/>
              <w:spacing w:after="0"/>
              <w:rPr>
                <w:sz w:val="20"/>
                <w:szCs w:val="20"/>
                <w:color w:val="auto"/>
              </w:rPr>
            </w:pPr>
            <w:r>
              <w:rPr>
                <w:rFonts w:ascii="Verdana" w:cs="Verdana" w:eastAsia="Verdana" w:hAnsi="Verdana"/>
                <w:sz w:val="16"/>
                <w:szCs w:val="16"/>
                <w:color w:val="auto"/>
              </w:rPr>
              <w:t>Oil (Bbl/d)</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Verdana" w:cs="Verdana" w:eastAsia="Verdana" w:hAnsi="Verdana"/>
                <w:sz w:val="16"/>
                <w:szCs w:val="16"/>
                <w:color w:val="214E93"/>
              </w:rPr>
              <w:t>119,628</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Verdana" w:cs="Verdana" w:eastAsia="Verdana" w:hAnsi="Verdana"/>
                <w:sz w:val="16"/>
                <w:szCs w:val="16"/>
                <w:color w:val="214E93"/>
              </w:rPr>
              <w:t>94</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181"/>
              <w:spacing w:after="0"/>
              <w:rPr>
                <w:sz w:val="20"/>
                <w:szCs w:val="20"/>
                <w:color w:val="auto"/>
              </w:rPr>
            </w:pPr>
            <w:r>
              <w:rPr>
                <w:rFonts w:ascii="Verdana" w:cs="Verdana" w:eastAsia="Verdana" w:hAnsi="Verdana"/>
                <w:sz w:val="16"/>
                <w:szCs w:val="16"/>
                <w:color w:val="214E93"/>
              </w:rPr>
              <w:t>1</w:t>
            </w:r>
          </w:p>
        </w:tc>
        <w:tc>
          <w:tcPr>
            <w:tcW w:w="780" w:type="dxa"/>
            <w:vAlign w:val="bottom"/>
            <w:gridSpan w:val="2"/>
          </w:tcPr>
          <w:p>
            <w:pPr>
              <w:ind w:left="100"/>
              <w:spacing w:after="0"/>
              <w:rPr>
                <w:sz w:val="20"/>
                <w:szCs w:val="20"/>
                <w:color w:val="auto"/>
              </w:rPr>
            </w:pPr>
            <w:r>
              <w:rPr>
                <w:rFonts w:ascii="Verdana" w:cs="Verdana" w:eastAsia="Verdana" w:hAnsi="Verdana"/>
                <w:sz w:val="16"/>
                <w:szCs w:val="16"/>
                <w:color w:val="214E93"/>
                <w:w w:val="98"/>
              </w:rPr>
              <w:t>119,723</w:t>
            </w:r>
          </w:p>
        </w:tc>
        <w:tc>
          <w:tcPr>
            <w:tcW w:w="220" w:type="dxa"/>
            <w:vAlign w:val="bottom"/>
          </w:tcPr>
          <w:p>
            <w:pPr>
              <w:spacing w:after="0"/>
              <w:rPr>
                <w:sz w:val="22"/>
                <w:szCs w:val="22"/>
                <w:color w:val="auto"/>
              </w:rPr>
            </w:pPr>
          </w:p>
        </w:tc>
      </w:tr>
      <w:tr>
        <w:trPr>
          <w:trHeight w:val="242"/>
        </w:trPr>
        <w:tc>
          <w:tcPr>
            <w:tcW w:w="3860" w:type="dxa"/>
            <w:vAlign w:val="bottom"/>
            <w:tcBorders>
              <w:bottom w:val="single" w:sz="8" w:color="214E93"/>
            </w:tcBorders>
          </w:tcPr>
          <w:p>
            <w:pPr>
              <w:ind w:left="40"/>
              <w:spacing w:after="0"/>
              <w:rPr>
                <w:sz w:val="20"/>
                <w:szCs w:val="20"/>
                <w:color w:val="auto"/>
              </w:rPr>
            </w:pPr>
            <w:r>
              <w:rPr>
                <w:rFonts w:ascii="Verdana" w:cs="Verdana" w:eastAsia="Verdana" w:hAnsi="Verdana"/>
                <w:sz w:val="16"/>
                <w:szCs w:val="16"/>
                <w:color w:val="auto"/>
              </w:rPr>
              <w:t>Natural gas (MMcf/d)</w:t>
            </w:r>
          </w:p>
        </w:tc>
        <w:tc>
          <w:tcPr>
            <w:tcW w:w="160" w:type="dxa"/>
            <w:vAlign w:val="bottom"/>
            <w:tcBorders>
              <w:bottom w:val="single" w:sz="8" w:color="214E93"/>
            </w:tcBorders>
          </w:tcPr>
          <w:p>
            <w:pPr>
              <w:spacing w:after="0"/>
              <w:rPr>
                <w:sz w:val="21"/>
                <w:szCs w:val="21"/>
                <w:color w:val="auto"/>
              </w:rPr>
            </w:pPr>
          </w:p>
        </w:tc>
        <w:tc>
          <w:tcPr>
            <w:tcW w:w="84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502.3</w:t>
            </w:r>
          </w:p>
        </w:tc>
        <w:tc>
          <w:tcPr>
            <w:tcW w:w="200" w:type="dxa"/>
            <w:vAlign w:val="bottom"/>
            <w:tcBorders>
              <w:bottom w:val="single" w:sz="8" w:color="214E93"/>
            </w:tcBorders>
          </w:tcPr>
          <w:p>
            <w:pPr>
              <w:spacing w:after="0"/>
              <w:rPr>
                <w:sz w:val="21"/>
                <w:szCs w:val="21"/>
                <w:color w:val="auto"/>
              </w:rPr>
            </w:pPr>
          </w:p>
        </w:tc>
        <w:tc>
          <w:tcPr>
            <w:tcW w:w="80" w:type="dxa"/>
            <w:vAlign w:val="bottom"/>
            <w:tcBorders>
              <w:bottom w:val="single" w:sz="8" w:color="214E93"/>
            </w:tcBorders>
          </w:tcPr>
          <w:p>
            <w:pPr>
              <w:spacing w:after="0"/>
              <w:rPr>
                <w:sz w:val="21"/>
                <w:szCs w:val="21"/>
                <w:color w:val="auto"/>
              </w:rPr>
            </w:pPr>
          </w:p>
        </w:tc>
        <w:tc>
          <w:tcPr>
            <w:tcW w:w="200" w:type="dxa"/>
            <w:vAlign w:val="bottom"/>
            <w:tcBorders>
              <w:bottom w:val="single" w:sz="8" w:color="214E93"/>
            </w:tcBorders>
          </w:tcPr>
          <w:p>
            <w:pPr>
              <w:spacing w:after="0"/>
              <w:rPr>
                <w:sz w:val="21"/>
                <w:szCs w:val="21"/>
                <w:color w:val="auto"/>
              </w:rPr>
            </w:pPr>
          </w:p>
        </w:tc>
        <w:tc>
          <w:tcPr>
            <w:tcW w:w="56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w:t>
            </w:r>
          </w:p>
        </w:tc>
        <w:tc>
          <w:tcPr>
            <w:tcW w:w="220" w:type="dxa"/>
            <w:vAlign w:val="bottom"/>
            <w:tcBorders>
              <w:bottom w:val="single" w:sz="8" w:color="214E93"/>
            </w:tcBorders>
          </w:tcPr>
          <w:p>
            <w:pPr>
              <w:spacing w:after="0"/>
              <w:rPr>
                <w:sz w:val="21"/>
                <w:szCs w:val="21"/>
                <w:color w:val="auto"/>
              </w:rPr>
            </w:pPr>
          </w:p>
        </w:tc>
        <w:tc>
          <w:tcPr>
            <w:tcW w:w="80" w:type="dxa"/>
            <w:vAlign w:val="bottom"/>
            <w:tcBorders>
              <w:bottom w:val="single" w:sz="8" w:color="214E93"/>
            </w:tcBorders>
          </w:tcPr>
          <w:p>
            <w:pPr>
              <w:spacing w:after="0"/>
              <w:rPr>
                <w:sz w:val="21"/>
                <w:szCs w:val="21"/>
                <w:color w:val="auto"/>
              </w:rPr>
            </w:pPr>
          </w:p>
        </w:tc>
        <w:tc>
          <w:tcPr>
            <w:tcW w:w="160" w:type="dxa"/>
            <w:vAlign w:val="bottom"/>
            <w:tcBorders>
              <w:bottom w:val="single" w:sz="8" w:color="214E93"/>
            </w:tcBorders>
          </w:tcPr>
          <w:p>
            <w:pPr>
              <w:spacing w:after="0"/>
              <w:rPr>
                <w:sz w:val="21"/>
                <w:szCs w:val="21"/>
                <w:color w:val="auto"/>
              </w:rPr>
            </w:pPr>
          </w:p>
        </w:tc>
        <w:tc>
          <w:tcPr>
            <w:tcW w:w="52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21.2</w:t>
            </w:r>
          </w:p>
        </w:tc>
        <w:tc>
          <w:tcPr>
            <w:tcW w:w="280" w:type="dxa"/>
            <w:vAlign w:val="bottom"/>
            <w:tcBorders>
              <w:bottom w:val="single" w:sz="8" w:color="214E93"/>
            </w:tcBorders>
          </w:tcPr>
          <w:p>
            <w:pPr>
              <w:spacing w:after="0"/>
              <w:rPr>
                <w:sz w:val="21"/>
                <w:szCs w:val="21"/>
                <w:color w:val="auto"/>
              </w:rPr>
            </w:pPr>
          </w:p>
        </w:tc>
        <w:tc>
          <w:tcPr>
            <w:tcW w:w="320" w:type="dxa"/>
            <w:vAlign w:val="bottom"/>
            <w:tcBorders>
              <w:bottom w:val="single" w:sz="8" w:color="214E93"/>
            </w:tcBorders>
          </w:tcPr>
          <w:p>
            <w:pPr>
              <w:spacing w:after="0"/>
              <w:rPr>
                <w:sz w:val="21"/>
                <w:szCs w:val="21"/>
                <w:color w:val="auto"/>
              </w:rPr>
            </w:pPr>
          </w:p>
        </w:tc>
        <w:tc>
          <w:tcPr>
            <w:tcW w:w="880" w:type="dxa"/>
            <w:vAlign w:val="bottom"/>
            <w:tcBorders>
              <w:bottom w:val="single" w:sz="8" w:color="214E93"/>
            </w:tcBorders>
          </w:tcPr>
          <w:p>
            <w:pPr>
              <w:jc w:val="right"/>
              <w:ind w:right="181"/>
              <w:spacing w:after="0"/>
              <w:rPr>
                <w:sz w:val="20"/>
                <w:szCs w:val="20"/>
                <w:color w:val="auto"/>
              </w:rPr>
            </w:pPr>
            <w:r>
              <w:rPr>
                <w:rFonts w:ascii="Verdana" w:cs="Verdana" w:eastAsia="Verdana" w:hAnsi="Verdana"/>
                <w:sz w:val="16"/>
                <w:szCs w:val="16"/>
                <w:color w:val="214E93"/>
              </w:rPr>
              <w:t>0.6</w:t>
            </w:r>
          </w:p>
        </w:tc>
        <w:tc>
          <w:tcPr>
            <w:tcW w:w="240" w:type="dxa"/>
            <w:vAlign w:val="bottom"/>
            <w:tcBorders>
              <w:bottom w:val="single" w:sz="8" w:color="214E93"/>
            </w:tcBorders>
          </w:tcPr>
          <w:p>
            <w:pPr>
              <w:spacing w:after="0"/>
              <w:rPr>
                <w:sz w:val="21"/>
                <w:szCs w:val="21"/>
                <w:color w:val="auto"/>
              </w:rPr>
            </w:pPr>
          </w:p>
        </w:tc>
        <w:tc>
          <w:tcPr>
            <w:tcW w:w="54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524.1</w:t>
            </w:r>
          </w:p>
        </w:tc>
        <w:tc>
          <w:tcPr>
            <w:tcW w:w="220" w:type="dxa"/>
            <w:vAlign w:val="bottom"/>
            <w:tcBorders>
              <w:bottom w:val="single" w:sz="8" w:color="214E93"/>
            </w:tcBorders>
          </w:tcPr>
          <w:p>
            <w:pPr>
              <w:spacing w:after="0"/>
              <w:rPr>
                <w:sz w:val="21"/>
                <w:szCs w:val="21"/>
                <w:color w:val="auto"/>
              </w:rPr>
            </w:pPr>
          </w:p>
        </w:tc>
      </w:tr>
      <w:tr>
        <w:trPr>
          <w:trHeight w:val="211"/>
        </w:trPr>
        <w:tc>
          <w:tcPr>
            <w:tcW w:w="3860" w:type="dxa"/>
            <w:vAlign w:val="bottom"/>
          </w:tcPr>
          <w:p>
            <w:pPr>
              <w:ind w:left="40"/>
              <w:spacing w:after="0"/>
              <w:rPr>
                <w:sz w:val="20"/>
                <w:szCs w:val="20"/>
                <w:color w:val="auto"/>
              </w:rPr>
            </w:pPr>
            <w:r>
              <w:rPr>
                <w:rFonts w:ascii="Verdana" w:cs="Verdana" w:eastAsia="Verdana" w:hAnsi="Verdana"/>
                <w:sz w:val="16"/>
                <w:szCs w:val="16"/>
                <w:color w:val="auto"/>
              </w:rPr>
              <w:t>Total oil equivalent (BOE/d)</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Verdana" w:cs="Verdana" w:eastAsia="Verdana" w:hAnsi="Verdana"/>
                <w:sz w:val="16"/>
                <w:szCs w:val="16"/>
                <w:color w:val="214E93"/>
              </w:rPr>
              <w:t>203,330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Verdana" w:cs="Verdana" w:eastAsia="Verdana" w:hAnsi="Verdana"/>
                <w:sz w:val="16"/>
                <w:szCs w:val="16"/>
                <w:color w:val="214E93"/>
              </w:rPr>
              <w:t>105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Verdana" w:cs="Verdana" w:eastAsia="Verdana" w:hAnsi="Verdana"/>
                <w:sz w:val="16"/>
                <w:szCs w:val="16"/>
                <w:color w:val="214E93"/>
                <w:w w:val="98"/>
              </w:rPr>
              <w:t>3,534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181"/>
              <w:spacing w:after="0"/>
              <w:rPr>
                <w:sz w:val="20"/>
                <w:szCs w:val="20"/>
                <w:color w:val="auto"/>
              </w:rPr>
            </w:pPr>
            <w:r>
              <w:rPr>
                <w:rFonts w:ascii="Verdana" w:cs="Verdana" w:eastAsia="Verdana" w:hAnsi="Verdana"/>
                <w:sz w:val="16"/>
                <w:szCs w:val="16"/>
                <w:color w:val="214E93"/>
              </w:rPr>
              <w:t>101</w:t>
            </w:r>
          </w:p>
        </w:tc>
        <w:tc>
          <w:tcPr>
            <w:tcW w:w="780" w:type="dxa"/>
            <w:vAlign w:val="bottom"/>
            <w:gridSpan w:val="2"/>
          </w:tcPr>
          <w:p>
            <w:pPr>
              <w:ind w:left="100"/>
              <w:spacing w:after="0"/>
              <w:rPr>
                <w:sz w:val="20"/>
                <w:szCs w:val="20"/>
                <w:color w:val="auto"/>
              </w:rPr>
            </w:pPr>
            <w:r>
              <w:rPr>
                <w:rFonts w:ascii="Verdana" w:cs="Verdana" w:eastAsia="Verdana" w:hAnsi="Verdana"/>
                <w:sz w:val="16"/>
                <w:szCs w:val="16"/>
                <w:color w:val="214E93"/>
                <w:w w:val="98"/>
              </w:rPr>
              <w:t>207,070</w:t>
            </w:r>
          </w:p>
        </w:tc>
        <w:tc>
          <w:tcPr>
            <w:tcW w:w="220" w:type="dxa"/>
            <w:vAlign w:val="bottom"/>
          </w:tcPr>
          <w:p>
            <w:pPr>
              <w:spacing w:after="0"/>
              <w:rPr>
                <w:sz w:val="18"/>
                <w:szCs w:val="18"/>
                <w:color w:val="auto"/>
              </w:rPr>
            </w:pPr>
          </w:p>
        </w:tc>
      </w:tr>
      <w:tr>
        <w:trPr>
          <w:trHeight w:val="304"/>
        </w:trPr>
        <w:tc>
          <w:tcPr>
            <w:tcW w:w="3860" w:type="dxa"/>
            <w:vAlign w:val="bottom"/>
          </w:tcPr>
          <w:p>
            <w:pPr>
              <w:ind w:left="40"/>
              <w:spacing w:after="0"/>
              <w:rPr>
                <w:sz w:val="20"/>
                <w:szCs w:val="20"/>
                <w:color w:val="auto"/>
              </w:rPr>
            </w:pPr>
            <w:r>
              <w:rPr>
                <w:rFonts w:ascii="Calibri" w:cs="Calibri" w:eastAsia="Calibri" w:hAnsi="Calibri"/>
                <w:sz w:val="19"/>
                <w:szCs w:val="19"/>
                <w:b w:val="1"/>
                <w:bCs w:val="1"/>
                <w:color w:val="214E93"/>
              </w:rPr>
              <w:t>Average Sales Prices</w:t>
            </w:r>
            <w:r>
              <w:rPr>
                <w:rFonts w:ascii="Calibri" w:cs="Calibri" w:eastAsia="Calibri" w:hAnsi="Calibri"/>
                <w:sz w:val="24"/>
                <w:szCs w:val="24"/>
                <w:b w:val="1"/>
                <w:bCs w:val="1"/>
                <w:color w:val="214E93"/>
                <w:vertAlign w:val="superscript"/>
              </w:rPr>
              <w:t>(4)</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1"/>
        </w:trPr>
        <w:tc>
          <w:tcPr>
            <w:tcW w:w="3860" w:type="dxa"/>
            <w:vAlign w:val="bottom"/>
          </w:tcPr>
          <w:p>
            <w:pPr>
              <w:ind w:left="40"/>
              <w:spacing w:after="0"/>
              <w:rPr>
                <w:sz w:val="20"/>
                <w:szCs w:val="20"/>
                <w:color w:val="auto"/>
              </w:rPr>
            </w:pPr>
            <w:r>
              <w:rPr>
                <w:rFonts w:ascii="Verdana" w:cs="Verdana" w:eastAsia="Verdana" w:hAnsi="Verdana"/>
                <w:sz w:val="16"/>
                <w:szCs w:val="16"/>
                <w:color w:val="auto"/>
              </w:rPr>
              <w:t>Oil (per Bbl)</w:t>
            </w:r>
          </w:p>
        </w:tc>
        <w:tc>
          <w:tcPr>
            <w:tcW w:w="160" w:type="dxa"/>
            <w:vAlign w:val="bottom"/>
          </w:tcPr>
          <w:p>
            <w:pPr>
              <w:ind w:left="60"/>
              <w:spacing w:after="0"/>
              <w:rPr>
                <w:sz w:val="20"/>
                <w:szCs w:val="20"/>
                <w:color w:val="auto"/>
              </w:rPr>
            </w:pPr>
            <w:r>
              <w:rPr>
                <w:rFonts w:ascii="Verdana" w:cs="Verdana" w:eastAsia="Verdana" w:hAnsi="Verdana"/>
                <w:sz w:val="16"/>
                <w:szCs w:val="16"/>
                <w:color w:val="214E93"/>
                <w:w w:val="77"/>
              </w:rPr>
              <w:t>$</w:t>
            </w:r>
          </w:p>
        </w:tc>
        <w:tc>
          <w:tcPr>
            <w:tcW w:w="840" w:type="dxa"/>
            <w:vAlign w:val="bottom"/>
          </w:tcPr>
          <w:p>
            <w:pPr>
              <w:jc w:val="right"/>
              <w:spacing w:after="0"/>
              <w:rPr>
                <w:sz w:val="20"/>
                <w:szCs w:val="20"/>
                <w:color w:val="auto"/>
              </w:rPr>
            </w:pPr>
            <w:r>
              <w:rPr>
                <w:rFonts w:ascii="Verdana" w:cs="Verdana" w:eastAsia="Verdana" w:hAnsi="Verdana"/>
                <w:sz w:val="16"/>
                <w:szCs w:val="16"/>
                <w:color w:val="214E93"/>
              </w:rPr>
              <w:t>64.99</w:t>
            </w:r>
          </w:p>
        </w:tc>
        <w:tc>
          <w:tcPr>
            <w:tcW w:w="20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Verdana" w:cs="Verdana" w:eastAsia="Verdana" w:hAnsi="Verdana"/>
                <w:sz w:val="16"/>
                <w:szCs w:val="16"/>
                <w:color w:val="214E93"/>
              </w:rPr>
              <w:t>$</w:t>
            </w:r>
          </w:p>
        </w:tc>
        <w:tc>
          <w:tcPr>
            <w:tcW w:w="560" w:type="dxa"/>
            <w:vAlign w:val="bottom"/>
          </w:tcPr>
          <w:p>
            <w:pPr>
              <w:jc w:val="right"/>
              <w:spacing w:after="0"/>
              <w:rPr>
                <w:sz w:val="20"/>
                <w:szCs w:val="20"/>
                <w:color w:val="auto"/>
              </w:rPr>
            </w:pPr>
            <w:r>
              <w:rPr>
                <w:rFonts w:ascii="Verdana" w:cs="Verdana" w:eastAsia="Verdana" w:hAnsi="Verdana"/>
                <w:sz w:val="16"/>
                <w:szCs w:val="16"/>
                <w:color w:val="214E93"/>
              </w:rPr>
              <w:t>70.73</w:t>
            </w:r>
          </w:p>
        </w:tc>
        <w:tc>
          <w:tcPr>
            <w:tcW w:w="22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Verdana" w:cs="Verdana" w:eastAsia="Verdana" w:hAnsi="Verdana"/>
                <w:sz w:val="16"/>
                <w:szCs w:val="16"/>
                <w:color w:val="214E93"/>
                <w:w w:val="97"/>
              </w:rPr>
              <w:t>$</w:t>
            </w:r>
          </w:p>
        </w:tc>
        <w:tc>
          <w:tcPr>
            <w:tcW w:w="52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2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Verdana" w:cs="Verdana" w:eastAsia="Verdana" w:hAnsi="Verdana"/>
                <w:sz w:val="16"/>
                <w:szCs w:val="16"/>
                <w:color w:val="214E93"/>
              </w:rPr>
              <w:t>$</w:t>
            </w:r>
          </w:p>
        </w:tc>
        <w:tc>
          <w:tcPr>
            <w:tcW w:w="880" w:type="dxa"/>
            <w:vAlign w:val="bottom"/>
          </w:tcPr>
          <w:p>
            <w:pPr>
              <w:jc w:val="right"/>
              <w:ind w:right="181"/>
              <w:spacing w:after="0"/>
              <w:rPr>
                <w:sz w:val="20"/>
                <w:szCs w:val="20"/>
                <w:color w:val="auto"/>
              </w:rPr>
            </w:pPr>
            <w:r>
              <w:rPr>
                <w:rFonts w:ascii="Verdana" w:cs="Verdana" w:eastAsia="Verdana" w:hAnsi="Verdana"/>
                <w:sz w:val="16"/>
                <w:szCs w:val="16"/>
                <w:color w:val="214E93"/>
              </w:rPr>
              <w:t>60.44</w:t>
            </w:r>
          </w:p>
        </w:tc>
        <w:tc>
          <w:tcPr>
            <w:tcW w:w="240" w:type="dxa"/>
            <w:vAlign w:val="bottom"/>
          </w:tcPr>
          <w:p>
            <w:pPr>
              <w:ind w:left="100"/>
              <w:spacing w:after="0"/>
              <w:rPr>
                <w:sz w:val="20"/>
                <w:szCs w:val="20"/>
                <w:color w:val="auto"/>
              </w:rPr>
            </w:pPr>
            <w:r>
              <w:rPr>
                <w:rFonts w:ascii="Verdana" w:cs="Verdana" w:eastAsia="Verdana" w:hAnsi="Verdana"/>
                <w:sz w:val="16"/>
                <w:szCs w:val="16"/>
                <w:color w:val="214E93"/>
              </w:rPr>
              <w:t>$</w:t>
            </w:r>
          </w:p>
        </w:tc>
        <w:tc>
          <w:tcPr>
            <w:tcW w:w="540" w:type="dxa"/>
            <w:vAlign w:val="bottom"/>
          </w:tcPr>
          <w:p>
            <w:pPr>
              <w:jc w:val="right"/>
              <w:spacing w:after="0"/>
              <w:rPr>
                <w:sz w:val="20"/>
                <w:szCs w:val="20"/>
                <w:color w:val="auto"/>
              </w:rPr>
            </w:pPr>
            <w:r>
              <w:rPr>
                <w:rFonts w:ascii="Verdana" w:cs="Verdana" w:eastAsia="Verdana" w:hAnsi="Verdana"/>
                <w:sz w:val="16"/>
                <w:szCs w:val="16"/>
                <w:color w:val="214E93"/>
              </w:rPr>
              <w:t>64.99</w:t>
            </w:r>
          </w:p>
        </w:tc>
        <w:tc>
          <w:tcPr>
            <w:tcW w:w="220" w:type="dxa"/>
            <w:vAlign w:val="bottom"/>
          </w:tcPr>
          <w:p>
            <w:pPr>
              <w:spacing w:after="0"/>
              <w:rPr>
                <w:sz w:val="18"/>
                <w:szCs w:val="18"/>
                <w:color w:val="auto"/>
              </w:rPr>
            </w:pPr>
          </w:p>
        </w:tc>
      </w:tr>
      <w:tr>
        <w:trPr>
          <w:trHeight w:val="236"/>
        </w:trPr>
        <w:tc>
          <w:tcPr>
            <w:tcW w:w="3860" w:type="dxa"/>
            <w:vAlign w:val="bottom"/>
          </w:tcPr>
          <w:p>
            <w:pPr>
              <w:ind w:left="40"/>
              <w:spacing w:after="0"/>
              <w:rPr>
                <w:sz w:val="20"/>
                <w:szCs w:val="20"/>
                <w:color w:val="auto"/>
              </w:rPr>
            </w:pPr>
            <w:r>
              <w:rPr>
                <w:rFonts w:ascii="Verdana" w:cs="Verdana" w:eastAsia="Verdana" w:hAnsi="Verdana"/>
                <w:sz w:val="16"/>
                <w:szCs w:val="16"/>
                <w:color w:val="auto"/>
              </w:rPr>
              <w:t>Natural gas (per Mcf)</w:t>
            </w:r>
          </w:p>
        </w:tc>
        <w:tc>
          <w:tcPr>
            <w:tcW w:w="160" w:type="dxa"/>
            <w:vAlign w:val="bottom"/>
          </w:tcPr>
          <w:p>
            <w:pPr>
              <w:ind w:left="60"/>
              <w:spacing w:after="0"/>
              <w:rPr>
                <w:sz w:val="20"/>
                <w:szCs w:val="20"/>
                <w:color w:val="auto"/>
              </w:rPr>
            </w:pPr>
            <w:r>
              <w:rPr>
                <w:rFonts w:ascii="Verdana" w:cs="Verdana" w:eastAsia="Verdana" w:hAnsi="Verdana"/>
                <w:sz w:val="16"/>
                <w:szCs w:val="16"/>
                <w:color w:val="214E93"/>
                <w:w w:val="77"/>
              </w:rPr>
              <w:t>$</w:t>
            </w:r>
          </w:p>
        </w:tc>
        <w:tc>
          <w:tcPr>
            <w:tcW w:w="840" w:type="dxa"/>
            <w:vAlign w:val="bottom"/>
          </w:tcPr>
          <w:p>
            <w:pPr>
              <w:jc w:val="right"/>
              <w:spacing w:after="0"/>
              <w:rPr>
                <w:sz w:val="20"/>
                <w:szCs w:val="20"/>
                <w:color w:val="auto"/>
              </w:rPr>
            </w:pPr>
            <w:r>
              <w:rPr>
                <w:rFonts w:ascii="Verdana" w:cs="Verdana" w:eastAsia="Verdana" w:hAnsi="Verdana"/>
                <w:sz w:val="16"/>
                <w:szCs w:val="16"/>
                <w:color w:val="214E93"/>
              </w:rPr>
              <w:t>2.04</w:t>
            </w:r>
          </w:p>
        </w:tc>
        <w:tc>
          <w:tcPr>
            <w:tcW w:w="200" w:type="dxa"/>
            <w:vAlign w:val="bottom"/>
          </w:tcPr>
          <w:p>
            <w:pPr>
              <w:spacing w:after="0"/>
              <w:rPr>
                <w:sz w:val="20"/>
                <w:szCs w:val="20"/>
                <w:color w:val="auto"/>
              </w:rPr>
            </w:pPr>
          </w:p>
        </w:tc>
        <w:tc>
          <w:tcPr>
            <w:tcW w:w="280" w:type="dxa"/>
            <w:vAlign w:val="bottom"/>
            <w:gridSpan w:val="2"/>
          </w:tcPr>
          <w:p>
            <w:pPr>
              <w:ind w:left="120"/>
              <w:spacing w:after="0"/>
              <w:rPr>
                <w:sz w:val="20"/>
                <w:szCs w:val="20"/>
                <w:color w:val="auto"/>
              </w:rPr>
            </w:pPr>
            <w:r>
              <w:rPr>
                <w:rFonts w:ascii="Verdana" w:cs="Verdana" w:eastAsia="Verdana" w:hAnsi="Verdana"/>
                <w:sz w:val="16"/>
                <w:szCs w:val="16"/>
                <w:color w:val="214E93"/>
              </w:rPr>
              <w:t>$</w:t>
            </w:r>
          </w:p>
        </w:tc>
        <w:tc>
          <w:tcPr>
            <w:tcW w:w="56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220" w:type="dxa"/>
            <w:vAlign w:val="bottom"/>
          </w:tcPr>
          <w:p>
            <w:pPr>
              <w:spacing w:after="0"/>
              <w:rPr>
                <w:sz w:val="20"/>
                <w:szCs w:val="20"/>
                <w:color w:val="auto"/>
              </w:rPr>
            </w:pPr>
          </w:p>
        </w:tc>
        <w:tc>
          <w:tcPr>
            <w:tcW w:w="240" w:type="dxa"/>
            <w:vAlign w:val="bottom"/>
            <w:gridSpan w:val="2"/>
          </w:tcPr>
          <w:p>
            <w:pPr>
              <w:ind w:left="120"/>
              <w:spacing w:after="0"/>
              <w:rPr>
                <w:sz w:val="20"/>
                <w:szCs w:val="20"/>
                <w:color w:val="auto"/>
              </w:rPr>
            </w:pPr>
            <w:r>
              <w:rPr>
                <w:rFonts w:ascii="Verdana" w:cs="Verdana" w:eastAsia="Verdana" w:hAnsi="Verdana"/>
                <w:sz w:val="16"/>
                <w:szCs w:val="16"/>
                <w:color w:val="214E93"/>
                <w:w w:val="97"/>
              </w:rPr>
              <w:t>$</w:t>
            </w:r>
          </w:p>
        </w:tc>
        <w:tc>
          <w:tcPr>
            <w:tcW w:w="520" w:type="dxa"/>
            <w:vAlign w:val="bottom"/>
          </w:tcPr>
          <w:p>
            <w:pPr>
              <w:jc w:val="right"/>
              <w:spacing w:after="0"/>
              <w:rPr>
                <w:sz w:val="20"/>
                <w:szCs w:val="20"/>
                <w:color w:val="auto"/>
              </w:rPr>
            </w:pPr>
            <w:r>
              <w:rPr>
                <w:rFonts w:ascii="Verdana" w:cs="Verdana" w:eastAsia="Verdana" w:hAnsi="Verdana"/>
                <w:sz w:val="16"/>
                <w:szCs w:val="16"/>
                <w:color w:val="214E93"/>
              </w:rPr>
              <w:t>3.11</w:t>
            </w:r>
          </w:p>
        </w:tc>
        <w:tc>
          <w:tcPr>
            <w:tcW w:w="280" w:type="dxa"/>
            <w:vAlign w:val="bottom"/>
          </w:tcPr>
          <w:p>
            <w:pPr>
              <w:spacing w:after="0"/>
              <w:rPr>
                <w:sz w:val="20"/>
                <w:szCs w:val="20"/>
                <w:color w:val="auto"/>
              </w:rPr>
            </w:pPr>
          </w:p>
        </w:tc>
        <w:tc>
          <w:tcPr>
            <w:tcW w:w="320" w:type="dxa"/>
            <w:vAlign w:val="bottom"/>
          </w:tcPr>
          <w:p>
            <w:pPr>
              <w:ind w:left="60"/>
              <w:spacing w:after="0"/>
              <w:rPr>
                <w:sz w:val="20"/>
                <w:szCs w:val="20"/>
                <w:color w:val="auto"/>
              </w:rPr>
            </w:pPr>
            <w:r>
              <w:rPr>
                <w:rFonts w:ascii="Verdana" w:cs="Verdana" w:eastAsia="Verdana" w:hAnsi="Verdana"/>
                <w:sz w:val="16"/>
                <w:szCs w:val="16"/>
                <w:color w:val="214E93"/>
              </w:rPr>
              <w:t>$</w:t>
            </w:r>
          </w:p>
        </w:tc>
        <w:tc>
          <w:tcPr>
            <w:tcW w:w="880" w:type="dxa"/>
            <w:vAlign w:val="bottom"/>
          </w:tcPr>
          <w:p>
            <w:pPr>
              <w:jc w:val="right"/>
              <w:ind w:right="181"/>
              <w:spacing w:after="0"/>
              <w:rPr>
                <w:sz w:val="20"/>
                <w:szCs w:val="20"/>
                <w:color w:val="auto"/>
              </w:rPr>
            </w:pPr>
            <w:r>
              <w:rPr>
                <w:rFonts w:ascii="Verdana" w:cs="Verdana" w:eastAsia="Verdana" w:hAnsi="Verdana"/>
                <w:sz w:val="16"/>
                <w:szCs w:val="16"/>
                <w:color w:val="214E93"/>
              </w:rPr>
              <w:t>3.08</w:t>
            </w:r>
          </w:p>
        </w:tc>
        <w:tc>
          <w:tcPr>
            <w:tcW w:w="240" w:type="dxa"/>
            <w:vAlign w:val="bottom"/>
          </w:tcPr>
          <w:p>
            <w:pPr>
              <w:ind w:left="100"/>
              <w:spacing w:after="0"/>
              <w:rPr>
                <w:sz w:val="20"/>
                <w:szCs w:val="20"/>
                <w:color w:val="auto"/>
              </w:rPr>
            </w:pPr>
            <w:r>
              <w:rPr>
                <w:rFonts w:ascii="Verdana" w:cs="Verdana" w:eastAsia="Verdana" w:hAnsi="Verdana"/>
                <w:sz w:val="16"/>
                <w:szCs w:val="16"/>
                <w:color w:val="214E93"/>
              </w:rPr>
              <w:t>$</w:t>
            </w:r>
          </w:p>
        </w:tc>
        <w:tc>
          <w:tcPr>
            <w:tcW w:w="540" w:type="dxa"/>
            <w:vAlign w:val="bottom"/>
          </w:tcPr>
          <w:p>
            <w:pPr>
              <w:jc w:val="right"/>
              <w:spacing w:after="0"/>
              <w:rPr>
                <w:sz w:val="20"/>
                <w:szCs w:val="20"/>
                <w:color w:val="auto"/>
              </w:rPr>
            </w:pPr>
            <w:r>
              <w:rPr>
                <w:rFonts w:ascii="Verdana" w:cs="Verdana" w:eastAsia="Verdana" w:hAnsi="Verdana"/>
                <w:sz w:val="16"/>
                <w:szCs w:val="16"/>
                <w:color w:val="214E93"/>
              </w:rPr>
              <w:t>2.08</w:t>
            </w:r>
          </w:p>
        </w:tc>
        <w:tc>
          <w:tcPr>
            <w:tcW w:w="220" w:type="dxa"/>
            <w:vAlign w:val="bottom"/>
          </w:tcPr>
          <w:p>
            <w:pPr>
              <w:spacing w:after="0"/>
              <w:rPr>
                <w:sz w:val="20"/>
                <w:szCs w:val="20"/>
                <w:color w:val="auto"/>
              </w:rPr>
            </w:pPr>
          </w:p>
        </w:tc>
      </w:tr>
      <w:tr>
        <w:trPr>
          <w:trHeight w:val="236"/>
        </w:trPr>
        <w:tc>
          <w:tcPr>
            <w:tcW w:w="3860" w:type="dxa"/>
            <w:vAlign w:val="bottom"/>
          </w:tcPr>
          <w:p>
            <w:pPr>
              <w:ind w:left="40"/>
              <w:spacing w:after="0"/>
              <w:rPr>
                <w:sz w:val="20"/>
                <w:szCs w:val="20"/>
                <w:color w:val="auto"/>
              </w:rPr>
            </w:pPr>
            <w:r>
              <w:rPr>
                <w:rFonts w:ascii="Verdana" w:cs="Verdana" w:eastAsia="Verdana" w:hAnsi="Verdana"/>
                <w:sz w:val="16"/>
                <w:szCs w:val="16"/>
                <w:color w:val="auto"/>
              </w:rPr>
              <w:t>Total oil equivalent (per BOE)</w:t>
            </w:r>
          </w:p>
        </w:tc>
        <w:tc>
          <w:tcPr>
            <w:tcW w:w="160" w:type="dxa"/>
            <w:vAlign w:val="bottom"/>
          </w:tcPr>
          <w:p>
            <w:pPr>
              <w:ind w:left="60"/>
              <w:spacing w:after="0"/>
              <w:rPr>
                <w:sz w:val="20"/>
                <w:szCs w:val="20"/>
                <w:color w:val="auto"/>
              </w:rPr>
            </w:pPr>
            <w:r>
              <w:rPr>
                <w:rFonts w:ascii="Verdana" w:cs="Verdana" w:eastAsia="Verdana" w:hAnsi="Verdana"/>
                <w:sz w:val="16"/>
                <w:szCs w:val="16"/>
                <w:color w:val="214E93"/>
                <w:w w:val="77"/>
              </w:rPr>
              <w:t>$</w:t>
            </w:r>
          </w:p>
        </w:tc>
        <w:tc>
          <w:tcPr>
            <w:tcW w:w="840" w:type="dxa"/>
            <w:vAlign w:val="bottom"/>
          </w:tcPr>
          <w:p>
            <w:pPr>
              <w:jc w:val="right"/>
              <w:spacing w:after="0"/>
              <w:rPr>
                <w:sz w:val="20"/>
                <w:szCs w:val="20"/>
                <w:color w:val="auto"/>
              </w:rPr>
            </w:pPr>
            <w:r>
              <w:rPr>
                <w:rFonts w:ascii="Verdana" w:cs="Verdana" w:eastAsia="Verdana" w:hAnsi="Verdana"/>
                <w:sz w:val="16"/>
                <w:szCs w:val="16"/>
                <w:color w:val="214E93"/>
              </w:rPr>
              <w:t>43.27</w:t>
            </w:r>
          </w:p>
        </w:tc>
        <w:tc>
          <w:tcPr>
            <w:tcW w:w="200" w:type="dxa"/>
            <w:vAlign w:val="bottom"/>
          </w:tcPr>
          <w:p>
            <w:pPr>
              <w:spacing w:after="0"/>
              <w:rPr>
                <w:sz w:val="20"/>
                <w:szCs w:val="20"/>
                <w:color w:val="auto"/>
              </w:rPr>
            </w:pPr>
          </w:p>
        </w:tc>
        <w:tc>
          <w:tcPr>
            <w:tcW w:w="280" w:type="dxa"/>
            <w:vAlign w:val="bottom"/>
            <w:gridSpan w:val="2"/>
          </w:tcPr>
          <w:p>
            <w:pPr>
              <w:ind w:left="120"/>
              <w:spacing w:after="0"/>
              <w:rPr>
                <w:sz w:val="20"/>
                <w:szCs w:val="20"/>
                <w:color w:val="auto"/>
              </w:rPr>
            </w:pPr>
            <w:r>
              <w:rPr>
                <w:rFonts w:ascii="Verdana" w:cs="Verdana" w:eastAsia="Verdana" w:hAnsi="Verdana"/>
                <w:sz w:val="16"/>
                <w:szCs w:val="16"/>
                <w:color w:val="214E93"/>
              </w:rPr>
              <w:t>$</w:t>
            </w:r>
          </w:p>
        </w:tc>
        <w:tc>
          <w:tcPr>
            <w:tcW w:w="560" w:type="dxa"/>
            <w:vAlign w:val="bottom"/>
          </w:tcPr>
          <w:p>
            <w:pPr>
              <w:jc w:val="right"/>
              <w:spacing w:after="0"/>
              <w:rPr>
                <w:sz w:val="20"/>
                <w:szCs w:val="20"/>
                <w:color w:val="auto"/>
              </w:rPr>
            </w:pPr>
            <w:r>
              <w:rPr>
                <w:rFonts w:ascii="Verdana" w:cs="Verdana" w:eastAsia="Verdana" w:hAnsi="Verdana"/>
                <w:sz w:val="16"/>
                <w:szCs w:val="16"/>
                <w:color w:val="214E93"/>
              </w:rPr>
              <w:t>67.55</w:t>
            </w:r>
          </w:p>
        </w:tc>
        <w:tc>
          <w:tcPr>
            <w:tcW w:w="220" w:type="dxa"/>
            <w:vAlign w:val="bottom"/>
          </w:tcPr>
          <w:p>
            <w:pPr>
              <w:spacing w:after="0"/>
              <w:rPr>
                <w:sz w:val="20"/>
                <w:szCs w:val="20"/>
                <w:color w:val="auto"/>
              </w:rPr>
            </w:pPr>
          </w:p>
        </w:tc>
        <w:tc>
          <w:tcPr>
            <w:tcW w:w="240" w:type="dxa"/>
            <w:vAlign w:val="bottom"/>
            <w:gridSpan w:val="2"/>
          </w:tcPr>
          <w:p>
            <w:pPr>
              <w:ind w:left="120"/>
              <w:spacing w:after="0"/>
              <w:rPr>
                <w:sz w:val="20"/>
                <w:szCs w:val="20"/>
                <w:color w:val="auto"/>
              </w:rPr>
            </w:pPr>
            <w:r>
              <w:rPr>
                <w:rFonts w:ascii="Verdana" w:cs="Verdana" w:eastAsia="Verdana" w:hAnsi="Verdana"/>
                <w:sz w:val="16"/>
                <w:szCs w:val="16"/>
                <w:color w:val="214E93"/>
                <w:w w:val="97"/>
              </w:rPr>
              <w:t>$</w:t>
            </w:r>
          </w:p>
        </w:tc>
        <w:tc>
          <w:tcPr>
            <w:tcW w:w="520" w:type="dxa"/>
            <w:vAlign w:val="bottom"/>
          </w:tcPr>
          <w:p>
            <w:pPr>
              <w:jc w:val="right"/>
              <w:spacing w:after="0"/>
              <w:rPr>
                <w:sz w:val="20"/>
                <w:szCs w:val="20"/>
                <w:color w:val="auto"/>
              </w:rPr>
            </w:pPr>
            <w:r>
              <w:rPr>
                <w:rFonts w:ascii="Verdana" w:cs="Verdana" w:eastAsia="Verdana" w:hAnsi="Verdana"/>
                <w:sz w:val="16"/>
                <w:szCs w:val="16"/>
                <w:color w:val="214E93"/>
                <w:w w:val="98"/>
              </w:rPr>
              <w:t>18.67</w:t>
            </w:r>
          </w:p>
        </w:tc>
        <w:tc>
          <w:tcPr>
            <w:tcW w:w="280" w:type="dxa"/>
            <w:vAlign w:val="bottom"/>
          </w:tcPr>
          <w:p>
            <w:pPr>
              <w:spacing w:after="0"/>
              <w:rPr>
                <w:sz w:val="20"/>
                <w:szCs w:val="20"/>
                <w:color w:val="auto"/>
              </w:rPr>
            </w:pPr>
          </w:p>
        </w:tc>
        <w:tc>
          <w:tcPr>
            <w:tcW w:w="320" w:type="dxa"/>
            <w:vAlign w:val="bottom"/>
          </w:tcPr>
          <w:p>
            <w:pPr>
              <w:ind w:left="60"/>
              <w:spacing w:after="0"/>
              <w:rPr>
                <w:sz w:val="20"/>
                <w:szCs w:val="20"/>
                <w:color w:val="auto"/>
              </w:rPr>
            </w:pPr>
            <w:r>
              <w:rPr>
                <w:rFonts w:ascii="Verdana" w:cs="Verdana" w:eastAsia="Verdana" w:hAnsi="Verdana"/>
                <w:sz w:val="16"/>
                <w:szCs w:val="16"/>
                <w:color w:val="214E93"/>
              </w:rPr>
              <w:t>$</w:t>
            </w:r>
          </w:p>
        </w:tc>
        <w:tc>
          <w:tcPr>
            <w:tcW w:w="880" w:type="dxa"/>
            <w:vAlign w:val="bottom"/>
          </w:tcPr>
          <w:p>
            <w:pPr>
              <w:jc w:val="right"/>
              <w:ind w:right="181"/>
              <w:spacing w:after="0"/>
              <w:rPr>
                <w:sz w:val="20"/>
                <w:szCs w:val="20"/>
                <w:color w:val="auto"/>
              </w:rPr>
            </w:pPr>
            <w:r>
              <w:rPr>
                <w:rFonts w:ascii="Verdana" w:cs="Verdana" w:eastAsia="Verdana" w:hAnsi="Verdana"/>
                <w:sz w:val="16"/>
                <w:szCs w:val="16"/>
                <w:color w:val="214E93"/>
              </w:rPr>
              <w:t>19.04</w:t>
            </w:r>
          </w:p>
        </w:tc>
        <w:tc>
          <w:tcPr>
            <w:tcW w:w="240" w:type="dxa"/>
            <w:vAlign w:val="bottom"/>
          </w:tcPr>
          <w:p>
            <w:pPr>
              <w:ind w:left="100"/>
              <w:spacing w:after="0"/>
              <w:rPr>
                <w:sz w:val="20"/>
                <w:szCs w:val="20"/>
                <w:color w:val="auto"/>
              </w:rPr>
            </w:pPr>
            <w:r>
              <w:rPr>
                <w:rFonts w:ascii="Verdana" w:cs="Verdana" w:eastAsia="Verdana" w:hAnsi="Verdana"/>
                <w:sz w:val="16"/>
                <w:szCs w:val="16"/>
                <w:color w:val="214E93"/>
              </w:rPr>
              <w:t>$</w:t>
            </w:r>
          </w:p>
        </w:tc>
        <w:tc>
          <w:tcPr>
            <w:tcW w:w="540" w:type="dxa"/>
            <w:vAlign w:val="bottom"/>
          </w:tcPr>
          <w:p>
            <w:pPr>
              <w:jc w:val="right"/>
              <w:spacing w:after="0"/>
              <w:rPr>
                <w:sz w:val="20"/>
                <w:szCs w:val="20"/>
                <w:color w:val="auto"/>
              </w:rPr>
            </w:pPr>
            <w:r>
              <w:rPr>
                <w:rFonts w:ascii="Verdana" w:cs="Verdana" w:eastAsia="Verdana" w:hAnsi="Verdana"/>
                <w:sz w:val="16"/>
                <w:szCs w:val="16"/>
                <w:color w:val="214E93"/>
              </w:rPr>
              <w:t>42.85</w:t>
            </w:r>
          </w:p>
        </w:tc>
        <w:tc>
          <w:tcPr>
            <w:tcW w:w="220" w:type="dxa"/>
            <w:vAlign w:val="bottom"/>
          </w:tcPr>
          <w:p>
            <w:pPr>
              <w:spacing w:after="0"/>
              <w:rPr>
                <w:sz w:val="20"/>
                <w:szCs w:val="20"/>
                <w:color w:val="auto"/>
              </w:rPr>
            </w:pPr>
          </w:p>
        </w:tc>
      </w:tr>
      <w:tr>
        <w:trPr>
          <w:trHeight w:val="308"/>
        </w:trPr>
        <w:tc>
          <w:tcPr>
            <w:tcW w:w="3860" w:type="dxa"/>
            <w:vAlign w:val="bottom"/>
          </w:tcPr>
          <w:p>
            <w:pPr>
              <w:ind w:left="40"/>
              <w:spacing w:after="0"/>
              <w:rPr>
                <w:sz w:val="20"/>
                <w:szCs w:val="20"/>
                <w:color w:val="auto"/>
              </w:rPr>
            </w:pPr>
            <w:r>
              <w:rPr>
                <w:rFonts w:ascii="Calibri" w:cs="Calibri" w:eastAsia="Calibri" w:hAnsi="Calibri"/>
                <w:sz w:val="19"/>
                <w:szCs w:val="19"/>
                <w:b w:val="1"/>
                <w:bCs w:val="1"/>
                <w:color w:val="214E93"/>
              </w:rPr>
              <w:t>Production Costs</w:t>
            </w:r>
            <w:r>
              <w:rPr>
                <w:rFonts w:ascii="Calibri" w:cs="Calibri" w:eastAsia="Calibri" w:hAnsi="Calibri"/>
                <w:sz w:val="24"/>
                <w:szCs w:val="24"/>
                <w:b w:val="1"/>
                <w:bCs w:val="1"/>
                <w:color w:val="214E93"/>
                <w:vertAlign w:val="superscript"/>
              </w:rPr>
              <w:t>(5)</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89"/>
        </w:trPr>
        <w:tc>
          <w:tcPr>
            <w:tcW w:w="3860" w:type="dxa"/>
            <w:vAlign w:val="bottom"/>
          </w:tcPr>
          <w:p>
            <w:pPr>
              <w:ind w:left="40"/>
              <w:spacing w:after="0" w:line="189" w:lineRule="exact"/>
              <w:rPr>
                <w:sz w:val="20"/>
                <w:szCs w:val="20"/>
                <w:color w:val="auto"/>
              </w:rPr>
            </w:pPr>
            <w:r>
              <w:rPr>
                <w:rFonts w:ascii="Verdana" w:cs="Verdana" w:eastAsia="Verdana" w:hAnsi="Verdana"/>
                <w:sz w:val="16"/>
                <w:szCs w:val="16"/>
                <w:color w:val="auto"/>
              </w:rPr>
              <w:t>Lease operating, transportation and</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1"/>
        </w:trPr>
        <w:tc>
          <w:tcPr>
            <w:tcW w:w="3860" w:type="dxa"/>
            <w:vAlign w:val="bottom"/>
          </w:tcPr>
          <w:p>
            <w:pPr>
              <w:ind w:left="40"/>
              <w:spacing w:after="0"/>
              <w:rPr>
                <w:sz w:val="20"/>
                <w:szCs w:val="20"/>
                <w:color w:val="auto"/>
              </w:rPr>
            </w:pPr>
            <w:r>
              <w:rPr>
                <w:rFonts w:ascii="Verdana" w:cs="Verdana" w:eastAsia="Verdana" w:hAnsi="Verdana"/>
                <w:sz w:val="16"/>
                <w:szCs w:val="16"/>
                <w:color w:val="auto"/>
              </w:rPr>
              <w:t>processing (per BOE)</w:t>
            </w:r>
          </w:p>
        </w:tc>
        <w:tc>
          <w:tcPr>
            <w:tcW w:w="160" w:type="dxa"/>
            <w:vAlign w:val="bottom"/>
          </w:tcPr>
          <w:p>
            <w:pPr>
              <w:ind w:left="60"/>
              <w:spacing w:after="0"/>
              <w:rPr>
                <w:sz w:val="20"/>
                <w:szCs w:val="20"/>
                <w:color w:val="auto"/>
              </w:rPr>
            </w:pPr>
            <w:r>
              <w:rPr>
                <w:rFonts w:ascii="Verdana" w:cs="Verdana" w:eastAsia="Verdana" w:hAnsi="Verdana"/>
                <w:sz w:val="16"/>
                <w:szCs w:val="16"/>
                <w:color w:val="214E93"/>
                <w:w w:val="77"/>
              </w:rPr>
              <w:t>$</w:t>
            </w:r>
          </w:p>
        </w:tc>
        <w:tc>
          <w:tcPr>
            <w:tcW w:w="840" w:type="dxa"/>
            <w:vAlign w:val="bottom"/>
          </w:tcPr>
          <w:p>
            <w:pPr>
              <w:jc w:val="right"/>
              <w:spacing w:after="0"/>
              <w:rPr>
                <w:sz w:val="20"/>
                <w:szCs w:val="20"/>
                <w:color w:val="auto"/>
              </w:rPr>
            </w:pPr>
            <w:r>
              <w:rPr>
                <w:rFonts w:ascii="Verdana" w:cs="Verdana" w:eastAsia="Verdana" w:hAnsi="Verdana"/>
                <w:sz w:val="16"/>
                <w:szCs w:val="16"/>
                <w:color w:val="214E93"/>
              </w:rPr>
              <w:t>6.40</w:t>
            </w:r>
          </w:p>
        </w:tc>
        <w:tc>
          <w:tcPr>
            <w:tcW w:w="20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Verdana" w:cs="Verdana" w:eastAsia="Verdana" w:hAnsi="Verdana"/>
                <w:sz w:val="16"/>
                <w:szCs w:val="16"/>
                <w:color w:val="214E93"/>
              </w:rPr>
              <w:t>$</w:t>
            </w:r>
          </w:p>
        </w:tc>
        <w:tc>
          <w:tcPr>
            <w:tcW w:w="560" w:type="dxa"/>
            <w:vAlign w:val="bottom"/>
          </w:tcPr>
          <w:p>
            <w:pPr>
              <w:jc w:val="right"/>
              <w:spacing w:after="0"/>
              <w:rPr>
                <w:sz w:val="20"/>
                <w:szCs w:val="20"/>
                <w:color w:val="auto"/>
              </w:rPr>
            </w:pPr>
            <w:r>
              <w:rPr>
                <w:rFonts w:ascii="Verdana" w:cs="Verdana" w:eastAsia="Verdana" w:hAnsi="Verdana"/>
                <w:sz w:val="16"/>
                <w:szCs w:val="16"/>
                <w:color w:val="214E93"/>
              </w:rPr>
              <w:t>33.02</w:t>
            </w:r>
          </w:p>
        </w:tc>
        <w:tc>
          <w:tcPr>
            <w:tcW w:w="22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Verdana" w:cs="Verdana" w:eastAsia="Verdana" w:hAnsi="Verdana"/>
                <w:sz w:val="16"/>
                <w:szCs w:val="16"/>
                <w:color w:val="214E93"/>
                <w:w w:val="97"/>
              </w:rPr>
              <w:t>$</w:t>
            </w:r>
          </w:p>
        </w:tc>
        <w:tc>
          <w:tcPr>
            <w:tcW w:w="520" w:type="dxa"/>
            <w:vAlign w:val="bottom"/>
          </w:tcPr>
          <w:p>
            <w:pPr>
              <w:jc w:val="right"/>
              <w:spacing w:after="0"/>
              <w:rPr>
                <w:sz w:val="20"/>
                <w:szCs w:val="20"/>
                <w:color w:val="auto"/>
              </w:rPr>
            </w:pPr>
            <w:r>
              <w:rPr>
                <w:rFonts w:ascii="Verdana" w:cs="Verdana" w:eastAsia="Verdana" w:hAnsi="Verdana"/>
                <w:sz w:val="16"/>
                <w:szCs w:val="16"/>
                <w:color w:val="214E93"/>
              </w:rPr>
              <w:t>3.84</w:t>
            </w:r>
          </w:p>
        </w:tc>
        <w:tc>
          <w:tcPr>
            <w:tcW w:w="2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Verdana" w:cs="Verdana" w:eastAsia="Verdana" w:hAnsi="Verdana"/>
                <w:sz w:val="16"/>
                <w:szCs w:val="16"/>
                <w:color w:val="214E93"/>
              </w:rPr>
              <w:t>$</w:t>
            </w:r>
          </w:p>
        </w:tc>
        <w:tc>
          <w:tcPr>
            <w:tcW w:w="880" w:type="dxa"/>
            <w:vAlign w:val="bottom"/>
          </w:tcPr>
          <w:p>
            <w:pPr>
              <w:jc w:val="right"/>
              <w:ind w:right="181"/>
              <w:spacing w:after="0"/>
              <w:rPr>
                <w:sz w:val="20"/>
                <w:szCs w:val="20"/>
                <w:color w:val="auto"/>
              </w:rPr>
            </w:pPr>
            <w:r>
              <w:rPr>
                <w:rFonts w:ascii="Verdana" w:cs="Verdana" w:eastAsia="Verdana" w:hAnsi="Verdana"/>
                <w:sz w:val="16"/>
                <w:szCs w:val="16"/>
                <w:color w:val="214E93"/>
              </w:rPr>
              <w:t>39.87</w:t>
            </w:r>
          </w:p>
        </w:tc>
        <w:tc>
          <w:tcPr>
            <w:tcW w:w="240" w:type="dxa"/>
            <w:vAlign w:val="bottom"/>
          </w:tcPr>
          <w:p>
            <w:pPr>
              <w:ind w:left="100"/>
              <w:spacing w:after="0"/>
              <w:rPr>
                <w:sz w:val="20"/>
                <w:szCs w:val="20"/>
                <w:color w:val="auto"/>
              </w:rPr>
            </w:pPr>
            <w:r>
              <w:rPr>
                <w:rFonts w:ascii="Verdana" w:cs="Verdana" w:eastAsia="Verdana" w:hAnsi="Verdana"/>
                <w:sz w:val="16"/>
                <w:szCs w:val="16"/>
                <w:color w:val="214E93"/>
              </w:rPr>
              <w:t>$</w:t>
            </w:r>
          </w:p>
        </w:tc>
        <w:tc>
          <w:tcPr>
            <w:tcW w:w="540" w:type="dxa"/>
            <w:vAlign w:val="bottom"/>
          </w:tcPr>
          <w:p>
            <w:pPr>
              <w:jc w:val="right"/>
              <w:spacing w:after="0"/>
              <w:rPr>
                <w:sz w:val="20"/>
                <w:szCs w:val="20"/>
                <w:color w:val="auto"/>
              </w:rPr>
            </w:pPr>
            <w:r>
              <w:rPr>
                <w:rFonts w:ascii="Verdana" w:cs="Verdana" w:eastAsia="Verdana" w:hAnsi="Verdana"/>
                <w:sz w:val="16"/>
                <w:szCs w:val="16"/>
                <w:color w:val="214E93"/>
              </w:rPr>
              <w:t>6.38</w:t>
            </w:r>
          </w:p>
        </w:tc>
        <w:tc>
          <w:tcPr>
            <w:tcW w:w="220" w:type="dxa"/>
            <w:vAlign w:val="bottom"/>
          </w:tcPr>
          <w:p>
            <w:pPr>
              <w:spacing w:after="0"/>
              <w:rPr>
                <w:sz w:val="18"/>
                <w:szCs w:val="18"/>
                <w:color w:val="auto"/>
              </w:rPr>
            </w:pPr>
          </w:p>
        </w:tc>
      </w:tr>
    </w:tbl>
    <w:p>
      <w:pPr>
        <w:spacing w:after="0" w:line="20" w:lineRule="exact"/>
        <w:rPr>
          <w:sz w:val="20"/>
          <w:szCs w:val="20"/>
          <w:color w:val="auto"/>
        </w:rPr>
      </w:pPr>
    </w:p>
    <w:p>
      <w:pPr>
        <w:spacing w:after="0" w:line="132" w:lineRule="exact"/>
        <w:rPr>
          <w:sz w:val="20"/>
          <w:szCs w:val="20"/>
          <w:color w:val="auto"/>
        </w:rPr>
      </w:pPr>
    </w:p>
    <w:p>
      <w:pPr>
        <w:ind w:left="1200" w:hanging="350"/>
        <w:spacing w:after="0"/>
        <w:tabs>
          <w:tab w:leader="none" w:pos="1200" w:val="left"/>
        </w:tabs>
        <w:numPr>
          <w:ilvl w:val="0"/>
          <w:numId w:val="24"/>
        </w:numPr>
        <w:rPr>
          <w:rFonts w:ascii="Calibri" w:cs="Calibri" w:eastAsia="Calibri" w:hAnsi="Calibri"/>
          <w:sz w:val="14"/>
          <w:szCs w:val="14"/>
          <w:color w:val="auto"/>
        </w:rPr>
      </w:pPr>
      <w:r>
        <w:rPr>
          <w:rFonts w:ascii="Calibri" w:cs="Calibri" w:eastAsia="Calibri" w:hAnsi="Calibri"/>
          <w:sz w:val="14"/>
          <w:szCs w:val="14"/>
          <w:color w:val="auto"/>
        </w:rPr>
        <w:t>Includes 41 gross (32.3 net) wells from the Eagle Ford formation that were divested in the first quarter of 2025.</w:t>
      </w:r>
    </w:p>
    <w:p>
      <w:pPr>
        <w:spacing w:after="0" w:line="73" w:lineRule="exact"/>
        <w:rPr>
          <w:rFonts w:ascii="Calibri" w:cs="Calibri" w:eastAsia="Calibri" w:hAnsi="Calibri"/>
          <w:sz w:val="14"/>
          <w:szCs w:val="14"/>
          <w:color w:val="auto"/>
        </w:rPr>
      </w:pPr>
    </w:p>
    <w:p>
      <w:pPr>
        <w:ind w:left="1200" w:hanging="350"/>
        <w:spacing w:after="0"/>
        <w:tabs>
          <w:tab w:leader="none" w:pos="1200" w:val="left"/>
        </w:tabs>
        <w:numPr>
          <w:ilvl w:val="0"/>
          <w:numId w:val="24"/>
        </w:numPr>
        <w:rPr>
          <w:rFonts w:ascii="Calibri" w:cs="Calibri" w:eastAsia="Calibri" w:hAnsi="Calibri"/>
          <w:sz w:val="14"/>
          <w:szCs w:val="14"/>
          <w:color w:val="auto"/>
        </w:rPr>
      </w:pPr>
      <w:r>
        <w:rPr>
          <w:rFonts w:ascii="Calibri" w:cs="Calibri" w:eastAsia="Calibri" w:hAnsi="Calibri"/>
          <w:sz w:val="14"/>
          <w:szCs w:val="14"/>
          <w:color w:val="auto"/>
        </w:rPr>
        <w:t>Includes the Cotton Valley formation and shallower zones.</w:t>
      </w:r>
    </w:p>
    <w:p>
      <w:pPr>
        <w:spacing w:after="0" w:line="86" w:lineRule="exact"/>
        <w:rPr>
          <w:rFonts w:ascii="Calibri" w:cs="Calibri" w:eastAsia="Calibri" w:hAnsi="Calibri"/>
          <w:sz w:val="14"/>
          <w:szCs w:val="14"/>
          <w:color w:val="auto"/>
        </w:rPr>
      </w:pPr>
    </w:p>
    <w:p>
      <w:pPr>
        <w:ind w:left="1200" w:hanging="350"/>
        <w:spacing w:after="0" w:line="226" w:lineRule="auto"/>
        <w:tabs>
          <w:tab w:leader="none" w:pos="1200" w:val="left"/>
        </w:tabs>
        <w:numPr>
          <w:ilvl w:val="0"/>
          <w:numId w:val="24"/>
        </w:numPr>
        <w:rPr>
          <w:rFonts w:ascii="Calibri" w:cs="Calibri" w:eastAsia="Calibri" w:hAnsi="Calibri"/>
          <w:sz w:val="14"/>
          <w:szCs w:val="14"/>
          <w:color w:val="auto"/>
        </w:rPr>
      </w:pPr>
      <w:r>
        <w:rPr>
          <w:rFonts w:ascii="Calibri" w:cs="Calibri" w:eastAsia="Calibri" w:hAnsi="Calibri"/>
          <w:sz w:val="14"/>
          <w:szCs w:val="14"/>
          <w:color w:val="auto"/>
        </w:rPr>
        <w:t>Production volumes reported in two streams: oil and natural gas, including both dry and liquids-rich natural gas. Estimated using a conversion ratio of one Bbl of oil per six Mcf of natural gas.</w:t>
      </w:r>
    </w:p>
    <w:p>
      <w:pPr>
        <w:spacing w:after="0" w:line="73" w:lineRule="exact"/>
        <w:rPr>
          <w:rFonts w:ascii="Calibri" w:cs="Calibri" w:eastAsia="Calibri" w:hAnsi="Calibri"/>
          <w:sz w:val="14"/>
          <w:szCs w:val="14"/>
          <w:color w:val="auto"/>
        </w:rPr>
      </w:pPr>
    </w:p>
    <w:p>
      <w:pPr>
        <w:ind w:left="1200" w:hanging="350"/>
        <w:spacing w:after="0"/>
        <w:tabs>
          <w:tab w:leader="none" w:pos="1200" w:val="left"/>
        </w:tabs>
        <w:numPr>
          <w:ilvl w:val="0"/>
          <w:numId w:val="24"/>
        </w:numPr>
        <w:rPr>
          <w:rFonts w:ascii="Calibri" w:cs="Calibri" w:eastAsia="Calibri" w:hAnsi="Calibri"/>
          <w:sz w:val="14"/>
          <w:szCs w:val="14"/>
          <w:color w:val="auto"/>
        </w:rPr>
      </w:pPr>
      <w:r>
        <w:rPr>
          <w:rFonts w:ascii="Calibri" w:cs="Calibri" w:eastAsia="Calibri" w:hAnsi="Calibri"/>
          <w:sz w:val="14"/>
          <w:szCs w:val="14"/>
          <w:color w:val="auto"/>
        </w:rPr>
        <w:t>Excludes impact of derivative settlements.</w:t>
      </w:r>
    </w:p>
    <w:p>
      <w:pPr>
        <w:spacing w:after="0" w:line="73" w:lineRule="exact"/>
        <w:rPr>
          <w:rFonts w:ascii="Calibri" w:cs="Calibri" w:eastAsia="Calibri" w:hAnsi="Calibri"/>
          <w:sz w:val="14"/>
          <w:szCs w:val="14"/>
          <w:color w:val="auto"/>
        </w:rPr>
      </w:pPr>
    </w:p>
    <w:p>
      <w:pPr>
        <w:ind w:left="1200" w:hanging="350"/>
        <w:spacing w:after="0"/>
        <w:tabs>
          <w:tab w:leader="none" w:pos="1200" w:val="left"/>
        </w:tabs>
        <w:numPr>
          <w:ilvl w:val="0"/>
          <w:numId w:val="24"/>
        </w:numPr>
        <w:rPr>
          <w:rFonts w:ascii="Calibri" w:cs="Calibri" w:eastAsia="Calibri" w:hAnsi="Calibri"/>
          <w:sz w:val="14"/>
          <w:szCs w:val="14"/>
          <w:color w:val="auto"/>
        </w:rPr>
      </w:pPr>
      <w:r>
        <w:rPr>
          <w:rFonts w:ascii="Calibri" w:cs="Calibri" w:eastAsia="Calibri" w:hAnsi="Calibri"/>
          <w:sz w:val="14"/>
          <w:szCs w:val="14"/>
          <w:color w:val="auto"/>
        </w:rPr>
        <w:t>Excludes midstream operating expenses, ad valorem taxes and oil and natural gas production taxes.</w:t>
      </w:r>
    </w:p>
    <w:p>
      <w:pPr>
        <w:sectPr>
          <w:pgSz w:w="11880" w:h="15480" w:orient="portrait"/>
          <w:cols w:equalWidth="0" w:num="1">
            <w:col w:w="10160"/>
          </w:cols>
          <w:pgMar w:left="440" w:top="498"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160"/>
          </w:cols>
          <w:pgMar w:left="440" w:top="498" w:right="1280" w:bottom="0" w:gutter="0" w:footer="0" w:header="0"/>
          <w:type w:val="continuous"/>
        </w:sectPr>
      </w:pPr>
    </w:p>
    <w:bookmarkStart w:id="30" w:name="page31"/>
    <w:bookmarkEnd w:id="30"/>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17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200" w:firstLine="241"/>
        <w:spacing w:after="0" w:line="261" w:lineRule="auto"/>
        <w:rPr>
          <w:sz w:val="20"/>
          <w:szCs w:val="20"/>
          <w:color w:val="auto"/>
        </w:rPr>
      </w:pPr>
      <w:r>
        <w:rPr>
          <w:rFonts w:ascii="Calibri" w:cs="Calibri" w:eastAsia="Calibri" w:hAnsi="Calibri"/>
          <w:sz w:val="18"/>
          <w:szCs w:val="18"/>
          <w:color w:val="auto"/>
        </w:rPr>
        <w:t>The following table sets forth information regarding our production volumes, sales prices and production costs for the year ended December 31, 2024 from our operating areas, which we consider to be distinct fields for purposes of accounting for production.</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Verdana" w:cs="Verdana" w:eastAsia="Verdana" w:hAnsi="Verdana"/>
                <w:sz w:val="14"/>
                <w:szCs w:val="14"/>
                <w:color w:val="auto"/>
                <w:w w:val="98"/>
              </w:rPr>
              <w:t>Southeast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5"/>
        </w:trPr>
        <w:tc>
          <w:tcPr>
            <w:tcW w:w="3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41"/>
              <w:spacing w:after="0" w:line="166" w:lineRule="exact"/>
              <w:rPr>
                <w:sz w:val="20"/>
                <w:szCs w:val="20"/>
                <w:color w:val="auto"/>
              </w:rPr>
            </w:pPr>
            <w:r>
              <w:rPr>
                <w:rFonts w:ascii="Verdana" w:cs="Verdana" w:eastAsia="Verdana" w:hAnsi="Verdana"/>
                <w:sz w:val="14"/>
                <w:szCs w:val="14"/>
                <w:color w:val="auto"/>
                <w:w w:val="98"/>
              </w:rPr>
              <w:t>New Mexico/</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93"/>
        </w:trPr>
        <w:tc>
          <w:tcPr>
            <w:tcW w:w="3860" w:type="dxa"/>
            <w:vAlign w:val="bottom"/>
          </w:tcPr>
          <w:p>
            <w:pPr>
              <w:spacing w:after="0"/>
              <w:rPr>
                <w:sz w:val="16"/>
                <w:szCs w:val="16"/>
                <w:color w:val="auto"/>
              </w:rPr>
            </w:pPr>
          </w:p>
        </w:tc>
        <w:tc>
          <w:tcPr>
            <w:tcW w:w="180" w:type="dxa"/>
            <w:vAlign w:val="bottom"/>
            <w:tcBorders>
              <w:bottom w:val="single" w:sz="8" w:color="214E93"/>
            </w:tcBorders>
          </w:tcPr>
          <w:p>
            <w:pPr>
              <w:spacing w:after="0"/>
              <w:rPr>
                <w:sz w:val="16"/>
                <w:szCs w:val="16"/>
                <w:color w:val="auto"/>
              </w:rPr>
            </w:pPr>
          </w:p>
        </w:tc>
        <w:tc>
          <w:tcPr>
            <w:tcW w:w="88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auto"/>
                <w:w w:val="98"/>
              </w:rPr>
              <w:t>West Texas</w:t>
            </w:r>
          </w:p>
        </w:tc>
        <w:tc>
          <w:tcPr>
            <w:tcW w:w="200" w:type="dxa"/>
            <w:vAlign w:val="bottom"/>
            <w:tcBorders>
              <w:bottom w:val="single" w:sz="8" w:color="214E93"/>
            </w:tcBorders>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214E93"/>
            </w:tcBorders>
            <w:gridSpan w:val="3"/>
          </w:tcPr>
          <w:p>
            <w:pPr>
              <w:ind w:left="60"/>
              <w:spacing w:after="0"/>
              <w:rPr>
                <w:sz w:val="20"/>
                <w:szCs w:val="20"/>
                <w:color w:val="auto"/>
              </w:rPr>
            </w:pPr>
            <w:r>
              <w:rPr>
                <w:rFonts w:ascii="Verdana" w:cs="Verdana" w:eastAsia="Verdana" w:hAnsi="Verdana"/>
                <w:sz w:val="14"/>
                <w:szCs w:val="14"/>
                <w:color w:val="auto"/>
              </w:rPr>
              <w:t>South Texas</w:t>
            </w:r>
          </w:p>
        </w:tc>
        <w:tc>
          <w:tcPr>
            <w:tcW w:w="80" w:type="dxa"/>
            <w:vAlign w:val="bottom"/>
          </w:tcPr>
          <w:p>
            <w:pPr>
              <w:spacing w:after="0"/>
              <w:rPr>
                <w:sz w:val="16"/>
                <w:szCs w:val="16"/>
                <w:color w:val="auto"/>
              </w:rPr>
            </w:pPr>
          </w:p>
        </w:tc>
        <w:tc>
          <w:tcPr>
            <w:tcW w:w="180" w:type="dxa"/>
            <w:vAlign w:val="bottom"/>
            <w:tcBorders>
              <w:bottom w:val="single" w:sz="8" w:color="214E93"/>
            </w:tcBorders>
          </w:tcPr>
          <w:p>
            <w:pPr>
              <w:spacing w:after="0"/>
              <w:rPr>
                <w:sz w:val="16"/>
                <w:szCs w:val="16"/>
                <w:color w:val="auto"/>
              </w:rPr>
            </w:pPr>
          </w:p>
        </w:tc>
        <w:tc>
          <w:tcPr>
            <w:tcW w:w="1780" w:type="dxa"/>
            <w:vAlign w:val="bottom"/>
            <w:tcBorders>
              <w:bottom w:val="single" w:sz="8" w:color="214E93"/>
            </w:tcBorders>
            <w:gridSpan w:val="4"/>
          </w:tcPr>
          <w:p>
            <w:pPr>
              <w:jc w:val="right"/>
              <w:ind w:right="81"/>
              <w:spacing w:after="0"/>
              <w:rPr>
                <w:sz w:val="20"/>
                <w:szCs w:val="20"/>
                <w:color w:val="auto"/>
              </w:rPr>
            </w:pPr>
            <w:r>
              <w:rPr>
                <w:rFonts w:ascii="Verdana" w:cs="Verdana" w:eastAsia="Verdana" w:hAnsi="Verdana"/>
                <w:sz w:val="14"/>
                <w:szCs w:val="14"/>
                <w:color w:val="auto"/>
              </w:rPr>
              <w:t>Northwest Louisiana</w:t>
            </w:r>
          </w:p>
        </w:tc>
        <w:tc>
          <w:tcPr>
            <w:tcW w:w="220" w:type="dxa"/>
            <w:vAlign w:val="bottom"/>
            <w:tcBorders>
              <w:bottom w:val="single" w:sz="8" w:color="214E93"/>
            </w:tcBorders>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1"/>
        </w:trPr>
        <w:tc>
          <w:tcPr>
            <w:tcW w:w="3860" w:type="dxa"/>
            <w:vAlign w:val="bottom"/>
            <w:tcBorders>
              <w:bottom w:val="single" w:sz="8" w:color="214E93"/>
            </w:tcBorders>
          </w:tcPr>
          <w:p>
            <w:pPr>
              <w:spacing w:after="0"/>
              <w:rPr>
                <w:sz w:val="17"/>
                <w:szCs w:val="17"/>
                <w:color w:val="auto"/>
              </w:rPr>
            </w:pPr>
          </w:p>
        </w:tc>
        <w:tc>
          <w:tcPr>
            <w:tcW w:w="1260" w:type="dxa"/>
            <w:vAlign w:val="bottom"/>
            <w:tcBorders>
              <w:bottom w:val="single" w:sz="8" w:color="214E93"/>
            </w:tcBorders>
            <w:gridSpan w:val="3"/>
          </w:tcPr>
          <w:p>
            <w:pPr>
              <w:jc w:val="center"/>
              <w:spacing w:after="0"/>
              <w:rPr>
                <w:sz w:val="20"/>
                <w:szCs w:val="20"/>
                <w:color w:val="auto"/>
              </w:rPr>
            </w:pPr>
            <w:r>
              <w:rPr>
                <w:rFonts w:ascii="Verdana" w:cs="Verdana" w:eastAsia="Verdana" w:hAnsi="Verdana"/>
                <w:sz w:val="14"/>
                <w:szCs w:val="14"/>
                <w:color w:val="auto"/>
                <w:w w:val="97"/>
              </w:rPr>
              <w:t>Delaware Basin</w:t>
            </w:r>
          </w:p>
        </w:tc>
        <w:tc>
          <w:tcPr>
            <w:tcW w:w="80" w:type="dxa"/>
            <w:vAlign w:val="bottom"/>
            <w:tcBorders>
              <w:bottom w:val="single" w:sz="8" w:color="214E93"/>
            </w:tcBorders>
          </w:tcPr>
          <w:p>
            <w:pPr>
              <w:spacing w:after="0"/>
              <w:rPr>
                <w:sz w:val="17"/>
                <w:szCs w:val="17"/>
                <w:color w:val="auto"/>
              </w:rPr>
            </w:pPr>
          </w:p>
        </w:tc>
        <w:tc>
          <w:tcPr>
            <w:tcW w:w="980" w:type="dxa"/>
            <w:vAlign w:val="bottom"/>
            <w:tcBorders>
              <w:bottom w:val="single" w:sz="8" w:color="214E93"/>
            </w:tcBorders>
            <w:gridSpan w:val="3"/>
          </w:tcPr>
          <w:p>
            <w:pPr>
              <w:ind w:left="60"/>
              <w:spacing w:after="0" w:line="201" w:lineRule="exact"/>
              <w:rPr>
                <w:sz w:val="20"/>
                <w:szCs w:val="20"/>
                <w:color w:val="auto"/>
              </w:rPr>
            </w:pPr>
            <w:r>
              <w:rPr>
                <w:rFonts w:ascii="Verdana" w:cs="Verdana" w:eastAsia="Verdana" w:hAnsi="Verdana"/>
                <w:sz w:val="14"/>
                <w:szCs w:val="14"/>
                <w:color w:val="auto"/>
                <w:w w:val="97"/>
              </w:rPr>
              <w:t>Eagle Ford</w:t>
            </w:r>
            <w:r>
              <w:rPr>
                <w:rFonts w:ascii="Verdana" w:cs="Verdana" w:eastAsia="Verdana" w:hAnsi="Verdana"/>
                <w:sz w:val="17"/>
                <w:szCs w:val="17"/>
                <w:color w:val="auto"/>
                <w:w w:val="97"/>
                <w:vertAlign w:val="superscript"/>
              </w:rPr>
              <w:t>(1)</w:t>
            </w:r>
          </w:p>
        </w:tc>
        <w:tc>
          <w:tcPr>
            <w:tcW w:w="80" w:type="dxa"/>
            <w:vAlign w:val="bottom"/>
            <w:tcBorders>
              <w:bottom w:val="single" w:sz="8" w:color="214E93"/>
            </w:tcBorders>
          </w:tcPr>
          <w:p>
            <w:pPr>
              <w:spacing w:after="0"/>
              <w:rPr>
                <w:sz w:val="17"/>
                <w:szCs w:val="17"/>
                <w:color w:val="auto"/>
              </w:rPr>
            </w:pPr>
          </w:p>
        </w:tc>
        <w:tc>
          <w:tcPr>
            <w:tcW w:w="1000" w:type="dxa"/>
            <w:vAlign w:val="bottom"/>
            <w:tcBorders>
              <w:bottom w:val="single" w:sz="8" w:color="214E93"/>
            </w:tcBorders>
            <w:gridSpan w:val="3"/>
          </w:tcPr>
          <w:p>
            <w:pPr>
              <w:jc w:val="right"/>
              <w:ind w:right="61"/>
              <w:spacing w:after="0"/>
              <w:rPr>
                <w:sz w:val="20"/>
                <w:szCs w:val="20"/>
                <w:color w:val="auto"/>
              </w:rPr>
            </w:pPr>
            <w:r>
              <w:rPr>
                <w:rFonts w:ascii="Verdana" w:cs="Verdana" w:eastAsia="Verdana" w:hAnsi="Verdana"/>
                <w:sz w:val="14"/>
                <w:szCs w:val="14"/>
                <w:color w:val="auto"/>
              </w:rPr>
              <w:t>Haynesville</w:t>
            </w:r>
          </w:p>
        </w:tc>
        <w:tc>
          <w:tcPr>
            <w:tcW w:w="1180" w:type="dxa"/>
            <w:vAlign w:val="bottom"/>
            <w:tcBorders>
              <w:bottom w:val="single" w:sz="8" w:color="214E93"/>
            </w:tcBorders>
            <w:gridSpan w:val="3"/>
          </w:tcPr>
          <w:p>
            <w:pPr>
              <w:ind w:left="60"/>
              <w:spacing w:after="0" w:line="201" w:lineRule="exact"/>
              <w:rPr>
                <w:sz w:val="20"/>
                <w:szCs w:val="20"/>
                <w:color w:val="auto"/>
              </w:rPr>
            </w:pPr>
            <w:r>
              <w:rPr>
                <w:rFonts w:ascii="Verdana" w:cs="Verdana" w:eastAsia="Verdana" w:hAnsi="Verdana"/>
                <w:sz w:val="14"/>
                <w:szCs w:val="14"/>
                <w:color w:val="auto"/>
                <w:w w:val="98"/>
              </w:rPr>
              <w:t>Cotton Valley</w:t>
            </w:r>
            <w:r>
              <w:rPr>
                <w:rFonts w:ascii="Verdana" w:cs="Verdana" w:eastAsia="Verdana" w:hAnsi="Verdana"/>
                <w:sz w:val="17"/>
                <w:szCs w:val="17"/>
                <w:color w:val="auto"/>
                <w:w w:val="98"/>
                <w:vertAlign w:val="superscript"/>
              </w:rPr>
              <w:t>(2)</w:t>
            </w:r>
          </w:p>
        </w:tc>
        <w:tc>
          <w:tcPr>
            <w:tcW w:w="260" w:type="dxa"/>
            <w:vAlign w:val="bottom"/>
            <w:tcBorders>
              <w:bottom w:val="single" w:sz="8" w:color="214E93"/>
            </w:tcBorders>
          </w:tcPr>
          <w:p>
            <w:pPr>
              <w:spacing w:after="0"/>
              <w:rPr>
                <w:sz w:val="17"/>
                <w:szCs w:val="17"/>
                <w:color w:val="auto"/>
              </w:rPr>
            </w:pPr>
          </w:p>
        </w:tc>
        <w:tc>
          <w:tcPr>
            <w:tcW w:w="640" w:type="dxa"/>
            <w:vAlign w:val="bottom"/>
            <w:tcBorders>
              <w:bottom w:val="single" w:sz="8" w:color="214E93"/>
            </w:tcBorders>
          </w:tcPr>
          <w:p>
            <w:pPr>
              <w:jc w:val="right"/>
              <w:ind w:right="42"/>
              <w:spacing w:after="0"/>
              <w:rPr>
                <w:sz w:val="20"/>
                <w:szCs w:val="20"/>
                <w:color w:val="auto"/>
              </w:rPr>
            </w:pPr>
            <w:r>
              <w:rPr>
                <w:rFonts w:ascii="Verdana" w:cs="Verdana" w:eastAsia="Verdana" w:hAnsi="Verdana"/>
                <w:sz w:val="14"/>
                <w:szCs w:val="14"/>
                <w:color w:val="auto"/>
              </w:rPr>
              <w:t>Total</w:t>
            </w:r>
          </w:p>
        </w:tc>
        <w:tc>
          <w:tcPr>
            <w:tcW w:w="220" w:type="dxa"/>
            <w:vAlign w:val="bottom"/>
            <w:tcBorders>
              <w:bottom w:val="single" w:sz="8" w:color="214E93"/>
            </w:tcBorders>
          </w:tcPr>
          <w:p>
            <w:pPr>
              <w:spacing w:after="0"/>
              <w:rPr>
                <w:sz w:val="17"/>
                <w:szCs w:val="17"/>
                <w:color w:val="auto"/>
              </w:rPr>
            </w:pPr>
          </w:p>
        </w:tc>
      </w:tr>
      <w:tr>
        <w:trPr>
          <w:trHeight w:val="230"/>
        </w:trPr>
        <w:tc>
          <w:tcPr>
            <w:tcW w:w="3860" w:type="dxa"/>
            <w:vAlign w:val="bottom"/>
          </w:tcPr>
          <w:p>
            <w:pPr>
              <w:ind w:left="40"/>
              <w:spacing w:after="0" w:line="231" w:lineRule="exact"/>
              <w:rPr>
                <w:sz w:val="20"/>
                <w:szCs w:val="20"/>
                <w:color w:val="auto"/>
              </w:rPr>
            </w:pPr>
            <w:r>
              <w:rPr>
                <w:rFonts w:ascii="Calibri" w:cs="Calibri" w:eastAsia="Calibri" w:hAnsi="Calibri"/>
                <w:sz w:val="19"/>
                <w:szCs w:val="19"/>
                <w:b w:val="1"/>
                <w:bCs w:val="1"/>
                <w:color w:val="214E93"/>
              </w:rPr>
              <w:t>Annual Net Production Volumes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60"/>
        </w:trPr>
        <w:tc>
          <w:tcPr>
            <w:tcW w:w="3860" w:type="dxa"/>
            <w:vAlign w:val="bottom"/>
          </w:tcPr>
          <w:p>
            <w:pPr>
              <w:ind w:left="40"/>
              <w:spacing w:after="0"/>
              <w:rPr>
                <w:sz w:val="20"/>
                <w:szCs w:val="20"/>
                <w:color w:val="auto"/>
              </w:rPr>
            </w:pPr>
            <w:r>
              <w:rPr>
                <w:rFonts w:ascii="Verdana" w:cs="Verdana" w:eastAsia="Verdana" w:hAnsi="Verdana"/>
                <w:sz w:val="16"/>
                <w:szCs w:val="16"/>
                <w:color w:val="auto"/>
              </w:rPr>
              <w:t>Oil (MBbl)</w:t>
            </w: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Verdana" w:cs="Verdana" w:eastAsia="Verdana" w:hAnsi="Verdana"/>
                <w:sz w:val="16"/>
                <w:szCs w:val="16"/>
                <w:color w:val="131313"/>
              </w:rPr>
              <w:t>36,265</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Verdana" w:cs="Verdana" w:eastAsia="Verdana" w:hAnsi="Verdana"/>
                <w:sz w:val="16"/>
                <w:szCs w:val="16"/>
                <w:color w:val="131313"/>
              </w:rPr>
              <w:t>263</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Verdana" w:cs="Verdana" w:eastAsia="Verdana" w:hAnsi="Verdana"/>
                <w:sz w:val="16"/>
                <w:szCs w:val="16"/>
                <w:color w:val="131313"/>
              </w:rPr>
              <w:t>—</w:t>
            </w: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Verdana" w:cs="Verdana" w:eastAsia="Verdana" w:hAnsi="Verdana"/>
                <w:sz w:val="16"/>
                <w:szCs w:val="16"/>
                <w:color w:val="131313"/>
              </w:rPr>
              <w:t>2</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Verdana" w:cs="Verdana" w:eastAsia="Verdana" w:hAnsi="Verdana"/>
                <w:sz w:val="16"/>
                <w:szCs w:val="16"/>
                <w:color w:val="131313"/>
              </w:rPr>
              <w:t>36,530</w:t>
            </w:r>
          </w:p>
        </w:tc>
        <w:tc>
          <w:tcPr>
            <w:tcW w:w="220" w:type="dxa"/>
            <w:vAlign w:val="bottom"/>
          </w:tcPr>
          <w:p>
            <w:pPr>
              <w:spacing w:after="0"/>
              <w:rPr>
                <w:sz w:val="22"/>
                <w:szCs w:val="22"/>
                <w:color w:val="auto"/>
              </w:rPr>
            </w:pPr>
          </w:p>
        </w:tc>
      </w:tr>
      <w:tr>
        <w:trPr>
          <w:trHeight w:val="242"/>
        </w:trPr>
        <w:tc>
          <w:tcPr>
            <w:tcW w:w="3860" w:type="dxa"/>
            <w:vAlign w:val="bottom"/>
            <w:tcBorders>
              <w:bottom w:val="single" w:sz="8" w:color="214E93"/>
            </w:tcBorders>
          </w:tcPr>
          <w:p>
            <w:pPr>
              <w:ind w:left="40"/>
              <w:spacing w:after="0"/>
              <w:rPr>
                <w:sz w:val="20"/>
                <w:szCs w:val="20"/>
                <w:color w:val="auto"/>
              </w:rPr>
            </w:pPr>
            <w:r>
              <w:rPr>
                <w:rFonts w:ascii="Verdana" w:cs="Verdana" w:eastAsia="Verdana" w:hAnsi="Verdana"/>
                <w:sz w:val="16"/>
                <w:szCs w:val="16"/>
                <w:color w:val="auto"/>
              </w:rPr>
              <w:t>Natural gas (Bcf)</w:t>
            </w:r>
          </w:p>
        </w:tc>
        <w:tc>
          <w:tcPr>
            <w:tcW w:w="180" w:type="dxa"/>
            <w:vAlign w:val="bottom"/>
            <w:tcBorders>
              <w:bottom w:val="single" w:sz="8" w:color="214E93"/>
            </w:tcBorders>
          </w:tcPr>
          <w:p>
            <w:pPr>
              <w:spacing w:after="0"/>
              <w:rPr>
                <w:sz w:val="21"/>
                <w:szCs w:val="21"/>
                <w:color w:val="auto"/>
              </w:rPr>
            </w:pPr>
          </w:p>
        </w:tc>
        <w:tc>
          <w:tcPr>
            <w:tcW w:w="88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131313"/>
              </w:rPr>
              <w:t>147.5</w:t>
            </w:r>
          </w:p>
        </w:tc>
        <w:tc>
          <w:tcPr>
            <w:tcW w:w="200" w:type="dxa"/>
            <w:vAlign w:val="bottom"/>
            <w:tcBorders>
              <w:bottom w:val="single" w:sz="8" w:color="214E93"/>
            </w:tcBorders>
          </w:tcPr>
          <w:p>
            <w:pPr>
              <w:spacing w:after="0"/>
              <w:rPr>
                <w:sz w:val="21"/>
                <w:szCs w:val="21"/>
                <w:color w:val="auto"/>
              </w:rPr>
            </w:pPr>
          </w:p>
        </w:tc>
        <w:tc>
          <w:tcPr>
            <w:tcW w:w="80" w:type="dxa"/>
            <w:vAlign w:val="bottom"/>
            <w:tcBorders>
              <w:bottom w:val="single" w:sz="8" w:color="214E93"/>
            </w:tcBorders>
          </w:tcPr>
          <w:p>
            <w:pPr>
              <w:spacing w:after="0"/>
              <w:rPr>
                <w:sz w:val="21"/>
                <w:szCs w:val="21"/>
                <w:color w:val="auto"/>
              </w:rPr>
            </w:pPr>
          </w:p>
        </w:tc>
        <w:tc>
          <w:tcPr>
            <w:tcW w:w="200" w:type="dxa"/>
            <w:vAlign w:val="bottom"/>
            <w:tcBorders>
              <w:bottom w:val="single" w:sz="8" w:color="214E93"/>
            </w:tcBorders>
          </w:tcPr>
          <w:p>
            <w:pPr>
              <w:spacing w:after="0"/>
              <w:rPr>
                <w:sz w:val="21"/>
                <w:szCs w:val="21"/>
                <w:color w:val="auto"/>
              </w:rPr>
            </w:pPr>
          </w:p>
        </w:tc>
        <w:tc>
          <w:tcPr>
            <w:tcW w:w="56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131313"/>
              </w:rPr>
              <w:t>0.6</w:t>
            </w:r>
          </w:p>
        </w:tc>
        <w:tc>
          <w:tcPr>
            <w:tcW w:w="220" w:type="dxa"/>
            <w:vAlign w:val="bottom"/>
            <w:tcBorders>
              <w:bottom w:val="single" w:sz="8" w:color="214E93"/>
            </w:tcBorders>
          </w:tcPr>
          <w:p>
            <w:pPr>
              <w:spacing w:after="0"/>
              <w:rPr>
                <w:sz w:val="21"/>
                <w:szCs w:val="21"/>
                <w:color w:val="auto"/>
              </w:rPr>
            </w:pPr>
          </w:p>
        </w:tc>
        <w:tc>
          <w:tcPr>
            <w:tcW w:w="80" w:type="dxa"/>
            <w:vAlign w:val="bottom"/>
            <w:tcBorders>
              <w:bottom w:val="single" w:sz="8" w:color="214E93"/>
            </w:tcBorders>
          </w:tcPr>
          <w:p>
            <w:pPr>
              <w:spacing w:after="0"/>
              <w:rPr>
                <w:sz w:val="21"/>
                <w:szCs w:val="21"/>
                <w:color w:val="auto"/>
              </w:rPr>
            </w:pPr>
          </w:p>
        </w:tc>
        <w:tc>
          <w:tcPr>
            <w:tcW w:w="180" w:type="dxa"/>
            <w:vAlign w:val="bottom"/>
            <w:tcBorders>
              <w:bottom w:val="single" w:sz="8" w:color="214E93"/>
            </w:tcBorders>
          </w:tcPr>
          <w:p>
            <w:pPr>
              <w:spacing w:after="0"/>
              <w:rPr>
                <w:sz w:val="21"/>
                <w:szCs w:val="21"/>
                <w:color w:val="auto"/>
              </w:rPr>
            </w:pPr>
          </w:p>
        </w:tc>
        <w:tc>
          <w:tcPr>
            <w:tcW w:w="54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131313"/>
              </w:rPr>
              <w:t>6.3</w:t>
            </w:r>
          </w:p>
        </w:tc>
        <w:tc>
          <w:tcPr>
            <w:tcW w:w="280" w:type="dxa"/>
            <w:vAlign w:val="bottom"/>
            <w:tcBorders>
              <w:bottom w:val="single" w:sz="8" w:color="214E93"/>
            </w:tcBorders>
          </w:tcPr>
          <w:p>
            <w:pPr>
              <w:spacing w:after="0"/>
              <w:rPr>
                <w:sz w:val="21"/>
                <w:szCs w:val="21"/>
                <w:color w:val="auto"/>
              </w:rPr>
            </w:pPr>
          </w:p>
        </w:tc>
        <w:tc>
          <w:tcPr>
            <w:tcW w:w="320" w:type="dxa"/>
            <w:vAlign w:val="bottom"/>
            <w:tcBorders>
              <w:bottom w:val="single" w:sz="8" w:color="214E93"/>
            </w:tcBorders>
          </w:tcPr>
          <w:p>
            <w:pPr>
              <w:spacing w:after="0"/>
              <w:rPr>
                <w:sz w:val="21"/>
                <w:szCs w:val="21"/>
                <w:color w:val="auto"/>
              </w:rPr>
            </w:pPr>
          </w:p>
        </w:tc>
        <w:tc>
          <w:tcPr>
            <w:tcW w:w="64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131313"/>
              </w:rPr>
              <w:t>1.4</w:t>
            </w:r>
          </w:p>
        </w:tc>
        <w:tc>
          <w:tcPr>
            <w:tcW w:w="220" w:type="dxa"/>
            <w:vAlign w:val="bottom"/>
            <w:tcBorders>
              <w:bottom w:val="single" w:sz="8" w:color="214E93"/>
            </w:tcBorders>
          </w:tcPr>
          <w:p>
            <w:pPr>
              <w:spacing w:after="0"/>
              <w:rPr>
                <w:sz w:val="21"/>
                <w:szCs w:val="21"/>
                <w:color w:val="auto"/>
              </w:rPr>
            </w:pPr>
          </w:p>
        </w:tc>
        <w:tc>
          <w:tcPr>
            <w:tcW w:w="260" w:type="dxa"/>
            <w:vAlign w:val="bottom"/>
            <w:tcBorders>
              <w:bottom w:val="single" w:sz="8" w:color="214E93"/>
            </w:tcBorders>
          </w:tcPr>
          <w:p>
            <w:pPr>
              <w:spacing w:after="0"/>
              <w:rPr>
                <w:sz w:val="21"/>
                <w:szCs w:val="21"/>
                <w:color w:val="auto"/>
              </w:rPr>
            </w:pPr>
          </w:p>
        </w:tc>
        <w:tc>
          <w:tcPr>
            <w:tcW w:w="64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131313"/>
              </w:rPr>
              <w:t>155.8</w:t>
            </w:r>
          </w:p>
        </w:tc>
        <w:tc>
          <w:tcPr>
            <w:tcW w:w="220" w:type="dxa"/>
            <w:vAlign w:val="bottom"/>
            <w:tcBorders>
              <w:bottom w:val="single" w:sz="8" w:color="214E93"/>
            </w:tcBorders>
          </w:tcPr>
          <w:p>
            <w:pPr>
              <w:spacing w:after="0"/>
              <w:rPr>
                <w:sz w:val="21"/>
                <w:szCs w:val="21"/>
                <w:color w:val="auto"/>
              </w:rPr>
            </w:pPr>
          </w:p>
        </w:tc>
      </w:tr>
      <w:tr>
        <w:trPr>
          <w:trHeight w:val="235"/>
        </w:trPr>
        <w:tc>
          <w:tcPr>
            <w:tcW w:w="3860" w:type="dxa"/>
            <w:vAlign w:val="bottom"/>
          </w:tcPr>
          <w:p>
            <w:pPr>
              <w:ind w:left="40"/>
              <w:spacing w:after="0" w:line="234" w:lineRule="exact"/>
              <w:rPr>
                <w:sz w:val="20"/>
                <w:szCs w:val="20"/>
                <w:color w:val="auto"/>
              </w:rPr>
            </w:pPr>
            <w:r>
              <w:rPr>
                <w:rFonts w:ascii="Verdana" w:cs="Verdana" w:eastAsia="Verdana" w:hAnsi="Verdana"/>
                <w:sz w:val="16"/>
                <w:szCs w:val="16"/>
                <w:color w:val="auto"/>
              </w:rPr>
              <w:t>Total oil equivalent (MBOE)</w:t>
            </w:r>
            <w:r>
              <w:rPr>
                <w:rFonts w:ascii="Verdana" w:cs="Verdana" w:eastAsia="Verdana" w:hAnsi="Verdana"/>
                <w:sz w:val="20"/>
                <w:szCs w:val="20"/>
                <w:color w:val="auto"/>
                <w:vertAlign w:val="superscript"/>
              </w:rPr>
              <w:t>(3)</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Verdana" w:cs="Verdana" w:eastAsia="Verdana" w:hAnsi="Verdana"/>
                <w:sz w:val="16"/>
                <w:szCs w:val="16"/>
                <w:color w:val="131313"/>
              </w:rPr>
              <w:t>60,856</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Verdana" w:cs="Verdana" w:eastAsia="Verdana" w:hAnsi="Verdana"/>
                <w:sz w:val="16"/>
                <w:szCs w:val="16"/>
                <w:color w:val="131313"/>
              </w:rPr>
              <w:t>361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Verdana" w:cs="Verdana" w:eastAsia="Verdana" w:hAnsi="Verdana"/>
                <w:sz w:val="16"/>
                <w:szCs w:val="16"/>
                <w:color w:val="131313"/>
              </w:rPr>
              <w:t>1,046</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Verdana" w:cs="Verdana" w:eastAsia="Verdana" w:hAnsi="Verdana"/>
                <w:sz w:val="16"/>
                <w:szCs w:val="16"/>
                <w:color w:val="131313"/>
              </w:rPr>
              <w:t>232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Verdana" w:cs="Verdana" w:eastAsia="Verdana" w:hAnsi="Verdana"/>
                <w:sz w:val="16"/>
                <w:szCs w:val="16"/>
                <w:color w:val="131313"/>
              </w:rPr>
              <w:t>62,495</w:t>
            </w:r>
          </w:p>
        </w:tc>
        <w:tc>
          <w:tcPr>
            <w:tcW w:w="220" w:type="dxa"/>
            <w:vAlign w:val="bottom"/>
          </w:tcPr>
          <w:p>
            <w:pPr>
              <w:spacing w:after="0"/>
              <w:rPr>
                <w:sz w:val="20"/>
                <w:szCs w:val="20"/>
                <w:color w:val="auto"/>
              </w:rPr>
            </w:pPr>
          </w:p>
        </w:tc>
      </w:tr>
      <w:tr>
        <w:trPr>
          <w:trHeight w:val="211"/>
        </w:trPr>
        <w:tc>
          <w:tcPr>
            <w:tcW w:w="3860" w:type="dxa"/>
            <w:vAlign w:val="bottom"/>
          </w:tcPr>
          <w:p>
            <w:pPr>
              <w:ind w:left="40"/>
              <w:spacing w:after="0"/>
              <w:rPr>
                <w:sz w:val="20"/>
                <w:szCs w:val="20"/>
                <w:color w:val="auto"/>
              </w:rPr>
            </w:pPr>
            <w:r>
              <w:rPr>
                <w:rFonts w:ascii="Verdana" w:cs="Verdana" w:eastAsia="Verdana" w:hAnsi="Verdana"/>
                <w:sz w:val="16"/>
                <w:szCs w:val="16"/>
                <w:color w:val="auto"/>
              </w:rPr>
              <w:t>Percentage of total annual net production</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Verdana" w:cs="Verdana" w:eastAsia="Verdana" w:hAnsi="Verdana"/>
                <w:sz w:val="16"/>
                <w:szCs w:val="16"/>
                <w:color w:val="131313"/>
              </w:rPr>
              <w:t>97.4</w:t>
            </w:r>
          </w:p>
        </w:tc>
        <w:tc>
          <w:tcPr>
            <w:tcW w:w="200" w:type="dxa"/>
            <w:vAlign w:val="bottom"/>
          </w:tcPr>
          <w:p>
            <w:pPr>
              <w:jc w:val="right"/>
              <w:spacing w:after="0"/>
              <w:rPr>
                <w:sz w:val="20"/>
                <w:szCs w:val="20"/>
                <w:color w:val="auto"/>
              </w:rPr>
            </w:pPr>
            <w:r>
              <w:rPr>
                <w:rFonts w:ascii="Verdana" w:cs="Verdana" w:eastAsia="Verdana" w:hAnsi="Verdana"/>
                <w:sz w:val="16"/>
                <w:szCs w:val="16"/>
                <w:color w:val="131313"/>
                <w:w w:val="92"/>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Verdana" w:cs="Verdana" w:eastAsia="Verdana" w:hAnsi="Verdana"/>
                <w:sz w:val="16"/>
                <w:szCs w:val="16"/>
                <w:color w:val="131313"/>
              </w:rPr>
              <w:t>0.6</w:t>
            </w:r>
          </w:p>
        </w:tc>
        <w:tc>
          <w:tcPr>
            <w:tcW w:w="220" w:type="dxa"/>
            <w:vAlign w:val="bottom"/>
          </w:tcPr>
          <w:p>
            <w:pPr>
              <w:jc w:val="right"/>
              <w:spacing w:after="0"/>
              <w:rPr>
                <w:sz w:val="20"/>
                <w:szCs w:val="20"/>
                <w:color w:val="auto"/>
              </w:rPr>
            </w:pPr>
            <w:r>
              <w:rPr>
                <w:rFonts w:ascii="Verdana" w:cs="Verdana" w:eastAsia="Verdana" w:hAnsi="Verdana"/>
                <w:sz w:val="16"/>
                <w:szCs w:val="16"/>
                <w:color w:val="131313"/>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Verdana" w:cs="Verdana" w:eastAsia="Verdana" w:hAnsi="Verdana"/>
                <w:sz w:val="16"/>
                <w:szCs w:val="16"/>
                <w:color w:val="131313"/>
              </w:rPr>
              <w:t>1.7</w:t>
            </w:r>
          </w:p>
        </w:tc>
        <w:tc>
          <w:tcPr>
            <w:tcW w:w="280" w:type="dxa"/>
            <w:vAlign w:val="bottom"/>
          </w:tcPr>
          <w:p>
            <w:pPr>
              <w:jc w:val="right"/>
              <w:ind w:right="1"/>
              <w:spacing w:after="0"/>
              <w:rPr>
                <w:sz w:val="20"/>
                <w:szCs w:val="20"/>
                <w:color w:val="auto"/>
              </w:rPr>
            </w:pPr>
            <w:r>
              <w:rPr>
                <w:rFonts w:ascii="Verdana" w:cs="Verdana" w:eastAsia="Verdana" w:hAnsi="Verdana"/>
                <w:sz w:val="16"/>
                <w:szCs w:val="16"/>
                <w:color w:val="131313"/>
              </w:rPr>
              <w:t>%</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Verdana" w:cs="Verdana" w:eastAsia="Verdana" w:hAnsi="Verdana"/>
                <w:sz w:val="16"/>
                <w:szCs w:val="16"/>
                <w:color w:val="131313"/>
              </w:rPr>
              <w:t>0.3</w:t>
            </w:r>
          </w:p>
        </w:tc>
        <w:tc>
          <w:tcPr>
            <w:tcW w:w="220" w:type="dxa"/>
            <w:vAlign w:val="bottom"/>
          </w:tcPr>
          <w:p>
            <w:pPr>
              <w:jc w:val="right"/>
              <w:spacing w:after="0"/>
              <w:rPr>
                <w:sz w:val="20"/>
                <w:szCs w:val="20"/>
                <w:color w:val="auto"/>
              </w:rPr>
            </w:pPr>
            <w:r>
              <w:rPr>
                <w:rFonts w:ascii="Verdana" w:cs="Verdana" w:eastAsia="Verdana" w:hAnsi="Verdana"/>
                <w:sz w:val="16"/>
                <w:szCs w:val="16"/>
                <w:color w:val="131313"/>
              </w:rPr>
              <w:t>%</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Verdana" w:cs="Verdana" w:eastAsia="Verdana" w:hAnsi="Verdana"/>
                <w:sz w:val="16"/>
                <w:szCs w:val="16"/>
                <w:color w:val="131313"/>
              </w:rPr>
              <w:t>100.0</w:t>
            </w:r>
          </w:p>
        </w:tc>
        <w:tc>
          <w:tcPr>
            <w:tcW w:w="220" w:type="dxa"/>
            <w:vAlign w:val="bottom"/>
          </w:tcPr>
          <w:p>
            <w:pPr>
              <w:jc w:val="right"/>
              <w:spacing w:after="0"/>
              <w:rPr>
                <w:sz w:val="20"/>
                <w:szCs w:val="20"/>
                <w:color w:val="auto"/>
              </w:rPr>
            </w:pPr>
            <w:r>
              <w:rPr>
                <w:rFonts w:ascii="Verdana" w:cs="Verdana" w:eastAsia="Verdana" w:hAnsi="Verdana"/>
                <w:sz w:val="16"/>
                <w:szCs w:val="16"/>
                <w:color w:val="131313"/>
              </w:rPr>
              <w:t>%</w:t>
            </w:r>
          </w:p>
        </w:tc>
      </w:tr>
      <w:tr>
        <w:trPr>
          <w:trHeight w:val="250"/>
        </w:trPr>
        <w:tc>
          <w:tcPr>
            <w:tcW w:w="3860" w:type="dxa"/>
            <w:vAlign w:val="bottom"/>
          </w:tcPr>
          <w:p>
            <w:pPr>
              <w:ind w:left="40"/>
              <w:spacing w:after="0"/>
              <w:rPr>
                <w:sz w:val="20"/>
                <w:szCs w:val="20"/>
                <w:color w:val="auto"/>
              </w:rPr>
            </w:pPr>
            <w:r>
              <w:rPr>
                <w:rFonts w:ascii="Calibri" w:cs="Calibri" w:eastAsia="Calibri" w:hAnsi="Calibri"/>
                <w:sz w:val="19"/>
                <w:szCs w:val="19"/>
                <w:b w:val="1"/>
                <w:bCs w:val="1"/>
                <w:color w:val="214E93"/>
              </w:rPr>
              <w:t>Average Net Daily Production Volumes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67"/>
        </w:trPr>
        <w:tc>
          <w:tcPr>
            <w:tcW w:w="3860" w:type="dxa"/>
            <w:vAlign w:val="bottom"/>
          </w:tcPr>
          <w:p>
            <w:pPr>
              <w:ind w:left="40"/>
              <w:spacing w:after="0"/>
              <w:rPr>
                <w:sz w:val="20"/>
                <w:szCs w:val="20"/>
                <w:color w:val="auto"/>
              </w:rPr>
            </w:pPr>
            <w:r>
              <w:rPr>
                <w:rFonts w:ascii="Verdana" w:cs="Verdana" w:eastAsia="Verdana" w:hAnsi="Verdana"/>
                <w:sz w:val="16"/>
                <w:szCs w:val="16"/>
                <w:color w:val="auto"/>
              </w:rPr>
              <w:t>Oil (Bbl/d)</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Verdana" w:cs="Verdana" w:eastAsia="Verdana" w:hAnsi="Verdana"/>
                <w:sz w:val="16"/>
                <w:szCs w:val="16"/>
                <w:color w:val="131313"/>
              </w:rPr>
              <w:t>99,086</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Verdana" w:cs="Verdana" w:eastAsia="Verdana" w:hAnsi="Verdana"/>
                <w:sz w:val="16"/>
                <w:szCs w:val="16"/>
                <w:color w:val="131313"/>
              </w:rPr>
              <w:t>719</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Verdana" w:cs="Verdana" w:eastAsia="Verdana" w:hAnsi="Verdana"/>
                <w:sz w:val="16"/>
                <w:szCs w:val="16"/>
                <w:color w:val="131313"/>
              </w:rPr>
              <w:t>—</w:t>
            </w: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Verdana" w:cs="Verdana" w:eastAsia="Verdana" w:hAnsi="Verdana"/>
                <w:sz w:val="16"/>
                <w:szCs w:val="16"/>
                <w:color w:val="131313"/>
              </w:rPr>
              <w:t>3</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Verdana" w:cs="Verdana" w:eastAsia="Verdana" w:hAnsi="Verdana"/>
                <w:sz w:val="16"/>
                <w:szCs w:val="16"/>
                <w:color w:val="131313"/>
              </w:rPr>
              <w:t>99,808</w:t>
            </w:r>
          </w:p>
        </w:tc>
        <w:tc>
          <w:tcPr>
            <w:tcW w:w="220" w:type="dxa"/>
            <w:vAlign w:val="bottom"/>
          </w:tcPr>
          <w:p>
            <w:pPr>
              <w:spacing w:after="0"/>
              <w:rPr>
                <w:sz w:val="23"/>
                <w:szCs w:val="23"/>
                <w:color w:val="auto"/>
              </w:rPr>
            </w:pPr>
          </w:p>
        </w:tc>
      </w:tr>
      <w:tr>
        <w:trPr>
          <w:trHeight w:val="242"/>
        </w:trPr>
        <w:tc>
          <w:tcPr>
            <w:tcW w:w="3860" w:type="dxa"/>
            <w:vAlign w:val="bottom"/>
            <w:tcBorders>
              <w:bottom w:val="single" w:sz="8" w:color="214E93"/>
            </w:tcBorders>
          </w:tcPr>
          <w:p>
            <w:pPr>
              <w:ind w:left="40"/>
              <w:spacing w:after="0"/>
              <w:rPr>
                <w:sz w:val="20"/>
                <w:szCs w:val="20"/>
                <w:color w:val="auto"/>
              </w:rPr>
            </w:pPr>
            <w:r>
              <w:rPr>
                <w:rFonts w:ascii="Verdana" w:cs="Verdana" w:eastAsia="Verdana" w:hAnsi="Verdana"/>
                <w:sz w:val="16"/>
                <w:szCs w:val="16"/>
                <w:color w:val="auto"/>
              </w:rPr>
              <w:t>Natural gas (MMcf/d)</w:t>
            </w:r>
          </w:p>
        </w:tc>
        <w:tc>
          <w:tcPr>
            <w:tcW w:w="180" w:type="dxa"/>
            <w:vAlign w:val="bottom"/>
            <w:tcBorders>
              <w:bottom w:val="single" w:sz="8" w:color="214E93"/>
            </w:tcBorders>
          </w:tcPr>
          <w:p>
            <w:pPr>
              <w:spacing w:after="0"/>
              <w:rPr>
                <w:sz w:val="21"/>
                <w:szCs w:val="21"/>
                <w:color w:val="auto"/>
              </w:rPr>
            </w:pPr>
          </w:p>
        </w:tc>
        <w:tc>
          <w:tcPr>
            <w:tcW w:w="88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131313"/>
              </w:rPr>
              <w:t>403.1</w:t>
            </w:r>
          </w:p>
        </w:tc>
        <w:tc>
          <w:tcPr>
            <w:tcW w:w="200" w:type="dxa"/>
            <w:vAlign w:val="bottom"/>
            <w:tcBorders>
              <w:bottom w:val="single" w:sz="8" w:color="214E93"/>
            </w:tcBorders>
          </w:tcPr>
          <w:p>
            <w:pPr>
              <w:spacing w:after="0"/>
              <w:rPr>
                <w:sz w:val="21"/>
                <w:szCs w:val="21"/>
                <w:color w:val="auto"/>
              </w:rPr>
            </w:pPr>
          </w:p>
        </w:tc>
        <w:tc>
          <w:tcPr>
            <w:tcW w:w="80" w:type="dxa"/>
            <w:vAlign w:val="bottom"/>
            <w:tcBorders>
              <w:bottom w:val="single" w:sz="8" w:color="214E93"/>
            </w:tcBorders>
          </w:tcPr>
          <w:p>
            <w:pPr>
              <w:spacing w:after="0"/>
              <w:rPr>
                <w:sz w:val="21"/>
                <w:szCs w:val="21"/>
                <w:color w:val="auto"/>
              </w:rPr>
            </w:pPr>
          </w:p>
        </w:tc>
        <w:tc>
          <w:tcPr>
            <w:tcW w:w="200" w:type="dxa"/>
            <w:vAlign w:val="bottom"/>
            <w:tcBorders>
              <w:bottom w:val="single" w:sz="8" w:color="214E93"/>
            </w:tcBorders>
          </w:tcPr>
          <w:p>
            <w:pPr>
              <w:spacing w:after="0"/>
              <w:rPr>
                <w:sz w:val="21"/>
                <w:szCs w:val="21"/>
                <w:color w:val="auto"/>
              </w:rPr>
            </w:pPr>
          </w:p>
        </w:tc>
        <w:tc>
          <w:tcPr>
            <w:tcW w:w="56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131313"/>
              </w:rPr>
              <w:t>1.6</w:t>
            </w:r>
          </w:p>
        </w:tc>
        <w:tc>
          <w:tcPr>
            <w:tcW w:w="220" w:type="dxa"/>
            <w:vAlign w:val="bottom"/>
            <w:tcBorders>
              <w:bottom w:val="single" w:sz="8" w:color="214E93"/>
            </w:tcBorders>
          </w:tcPr>
          <w:p>
            <w:pPr>
              <w:spacing w:after="0"/>
              <w:rPr>
                <w:sz w:val="21"/>
                <w:szCs w:val="21"/>
                <w:color w:val="auto"/>
              </w:rPr>
            </w:pPr>
          </w:p>
        </w:tc>
        <w:tc>
          <w:tcPr>
            <w:tcW w:w="80" w:type="dxa"/>
            <w:vAlign w:val="bottom"/>
            <w:tcBorders>
              <w:bottom w:val="single" w:sz="8" w:color="214E93"/>
            </w:tcBorders>
          </w:tcPr>
          <w:p>
            <w:pPr>
              <w:spacing w:after="0"/>
              <w:rPr>
                <w:sz w:val="21"/>
                <w:szCs w:val="21"/>
                <w:color w:val="auto"/>
              </w:rPr>
            </w:pPr>
          </w:p>
        </w:tc>
        <w:tc>
          <w:tcPr>
            <w:tcW w:w="180" w:type="dxa"/>
            <w:vAlign w:val="bottom"/>
            <w:tcBorders>
              <w:bottom w:val="single" w:sz="8" w:color="214E93"/>
            </w:tcBorders>
          </w:tcPr>
          <w:p>
            <w:pPr>
              <w:spacing w:after="0"/>
              <w:rPr>
                <w:sz w:val="21"/>
                <w:szCs w:val="21"/>
                <w:color w:val="auto"/>
              </w:rPr>
            </w:pPr>
          </w:p>
        </w:tc>
        <w:tc>
          <w:tcPr>
            <w:tcW w:w="54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131313"/>
              </w:rPr>
              <w:t>17.2</w:t>
            </w:r>
          </w:p>
        </w:tc>
        <w:tc>
          <w:tcPr>
            <w:tcW w:w="280" w:type="dxa"/>
            <w:vAlign w:val="bottom"/>
            <w:tcBorders>
              <w:bottom w:val="single" w:sz="8" w:color="214E93"/>
            </w:tcBorders>
          </w:tcPr>
          <w:p>
            <w:pPr>
              <w:spacing w:after="0"/>
              <w:rPr>
                <w:sz w:val="21"/>
                <w:szCs w:val="21"/>
                <w:color w:val="auto"/>
              </w:rPr>
            </w:pPr>
          </w:p>
        </w:tc>
        <w:tc>
          <w:tcPr>
            <w:tcW w:w="320" w:type="dxa"/>
            <w:vAlign w:val="bottom"/>
            <w:tcBorders>
              <w:bottom w:val="single" w:sz="8" w:color="214E93"/>
            </w:tcBorders>
          </w:tcPr>
          <w:p>
            <w:pPr>
              <w:spacing w:after="0"/>
              <w:rPr>
                <w:sz w:val="21"/>
                <w:szCs w:val="21"/>
                <w:color w:val="auto"/>
              </w:rPr>
            </w:pPr>
          </w:p>
        </w:tc>
        <w:tc>
          <w:tcPr>
            <w:tcW w:w="64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131313"/>
              </w:rPr>
              <w:t>3.8</w:t>
            </w:r>
          </w:p>
        </w:tc>
        <w:tc>
          <w:tcPr>
            <w:tcW w:w="220" w:type="dxa"/>
            <w:vAlign w:val="bottom"/>
            <w:tcBorders>
              <w:bottom w:val="single" w:sz="8" w:color="214E93"/>
            </w:tcBorders>
          </w:tcPr>
          <w:p>
            <w:pPr>
              <w:spacing w:after="0"/>
              <w:rPr>
                <w:sz w:val="21"/>
                <w:szCs w:val="21"/>
                <w:color w:val="auto"/>
              </w:rPr>
            </w:pPr>
          </w:p>
        </w:tc>
        <w:tc>
          <w:tcPr>
            <w:tcW w:w="260" w:type="dxa"/>
            <w:vAlign w:val="bottom"/>
            <w:tcBorders>
              <w:bottom w:val="single" w:sz="8" w:color="214E93"/>
            </w:tcBorders>
          </w:tcPr>
          <w:p>
            <w:pPr>
              <w:spacing w:after="0"/>
              <w:rPr>
                <w:sz w:val="21"/>
                <w:szCs w:val="21"/>
                <w:color w:val="auto"/>
              </w:rPr>
            </w:pPr>
          </w:p>
        </w:tc>
        <w:tc>
          <w:tcPr>
            <w:tcW w:w="64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131313"/>
              </w:rPr>
              <w:t>425.7</w:t>
            </w:r>
          </w:p>
        </w:tc>
        <w:tc>
          <w:tcPr>
            <w:tcW w:w="220" w:type="dxa"/>
            <w:vAlign w:val="bottom"/>
            <w:tcBorders>
              <w:bottom w:val="single" w:sz="8" w:color="214E93"/>
            </w:tcBorders>
          </w:tcPr>
          <w:p>
            <w:pPr>
              <w:spacing w:after="0"/>
              <w:rPr>
                <w:sz w:val="21"/>
                <w:szCs w:val="21"/>
                <w:color w:val="auto"/>
              </w:rPr>
            </w:pPr>
          </w:p>
        </w:tc>
      </w:tr>
      <w:tr>
        <w:trPr>
          <w:trHeight w:val="211"/>
        </w:trPr>
        <w:tc>
          <w:tcPr>
            <w:tcW w:w="3860" w:type="dxa"/>
            <w:vAlign w:val="bottom"/>
          </w:tcPr>
          <w:p>
            <w:pPr>
              <w:ind w:left="40"/>
              <w:spacing w:after="0"/>
              <w:rPr>
                <w:sz w:val="20"/>
                <w:szCs w:val="20"/>
                <w:color w:val="auto"/>
              </w:rPr>
            </w:pPr>
            <w:r>
              <w:rPr>
                <w:rFonts w:ascii="Verdana" w:cs="Verdana" w:eastAsia="Verdana" w:hAnsi="Verdana"/>
                <w:sz w:val="16"/>
                <w:szCs w:val="16"/>
                <w:color w:val="auto"/>
              </w:rPr>
              <w:t>Total oil equivalent (BOE/d)</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Verdana" w:cs="Verdana" w:eastAsia="Verdana" w:hAnsi="Verdana"/>
                <w:sz w:val="16"/>
                <w:szCs w:val="16"/>
                <w:color w:val="131313"/>
              </w:rPr>
              <w:t>166,273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Verdana" w:cs="Verdana" w:eastAsia="Verdana" w:hAnsi="Verdana"/>
                <w:sz w:val="16"/>
                <w:szCs w:val="16"/>
                <w:color w:val="131313"/>
              </w:rPr>
              <w:t>986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Verdana" w:cs="Verdana" w:eastAsia="Verdana" w:hAnsi="Verdana"/>
                <w:sz w:val="16"/>
                <w:szCs w:val="16"/>
                <w:color w:val="131313"/>
              </w:rPr>
              <w:t>2,859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Verdana" w:cs="Verdana" w:eastAsia="Verdana" w:hAnsi="Verdana"/>
                <w:sz w:val="16"/>
                <w:szCs w:val="16"/>
                <w:color w:val="131313"/>
              </w:rPr>
              <w:t>633</w:t>
            </w:r>
          </w:p>
        </w:tc>
        <w:tc>
          <w:tcPr>
            <w:tcW w:w="2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Verdana" w:cs="Verdana" w:eastAsia="Verdana" w:hAnsi="Verdana"/>
                <w:sz w:val="16"/>
                <w:szCs w:val="16"/>
                <w:color w:val="131313"/>
              </w:rPr>
              <w:t>170,751</w:t>
            </w:r>
          </w:p>
        </w:tc>
        <w:tc>
          <w:tcPr>
            <w:tcW w:w="220" w:type="dxa"/>
            <w:vAlign w:val="bottom"/>
          </w:tcPr>
          <w:p>
            <w:pPr>
              <w:spacing w:after="0"/>
              <w:rPr>
                <w:sz w:val="18"/>
                <w:szCs w:val="18"/>
                <w:color w:val="auto"/>
              </w:rPr>
            </w:pPr>
          </w:p>
        </w:tc>
      </w:tr>
      <w:tr>
        <w:trPr>
          <w:trHeight w:val="304"/>
        </w:trPr>
        <w:tc>
          <w:tcPr>
            <w:tcW w:w="3860" w:type="dxa"/>
            <w:vAlign w:val="bottom"/>
          </w:tcPr>
          <w:p>
            <w:pPr>
              <w:ind w:left="40"/>
              <w:spacing w:after="0"/>
              <w:rPr>
                <w:sz w:val="20"/>
                <w:szCs w:val="20"/>
                <w:color w:val="auto"/>
              </w:rPr>
            </w:pPr>
            <w:r>
              <w:rPr>
                <w:rFonts w:ascii="Calibri" w:cs="Calibri" w:eastAsia="Calibri" w:hAnsi="Calibri"/>
                <w:sz w:val="19"/>
                <w:szCs w:val="19"/>
                <w:b w:val="1"/>
                <w:bCs w:val="1"/>
                <w:color w:val="214E93"/>
              </w:rPr>
              <w:t>Average Sales Prices</w:t>
            </w:r>
            <w:r>
              <w:rPr>
                <w:rFonts w:ascii="Calibri" w:cs="Calibri" w:eastAsia="Calibri" w:hAnsi="Calibri"/>
                <w:sz w:val="24"/>
                <w:szCs w:val="24"/>
                <w:b w:val="1"/>
                <w:bCs w:val="1"/>
                <w:color w:val="214E93"/>
                <w:vertAlign w:val="superscript"/>
              </w:rPr>
              <w:t>(4)</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1"/>
        </w:trPr>
        <w:tc>
          <w:tcPr>
            <w:tcW w:w="3860" w:type="dxa"/>
            <w:vAlign w:val="bottom"/>
          </w:tcPr>
          <w:p>
            <w:pPr>
              <w:ind w:left="40"/>
              <w:spacing w:after="0"/>
              <w:rPr>
                <w:sz w:val="20"/>
                <w:szCs w:val="20"/>
                <w:color w:val="auto"/>
              </w:rPr>
            </w:pPr>
            <w:r>
              <w:rPr>
                <w:rFonts w:ascii="Verdana" w:cs="Verdana" w:eastAsia="Verdana" w:hAnsi="Verdana"/>
                <w:sz w:val="16"/>
                <w:szCs w:val="16"/>
                <w:color w:val="auto"/>
              </w:rPr>
              <w:t>Oil (per Bbl)</w:t>
            </w:r>
          </w:p>
        </w:tc>
        <w:tc>
          <w:tcPr>
            <w:tcW w:w="180" w:type="dxa"/>
            <w:vAlign w:val="bottom"/>
          </w:tcPr>
          <w:p>
            <w:pPr>
              <w:jc w:val="right"/>
              <w:spacing w:after="0"/>
              <w:rPr>
                <w:sz w:val="20"/>
                <w:szCs w:val="20"/>
                <w:color w:val="auto"/>
              </w:rPr>
            </w:pPr>
            <w:r>
              <w:rPr>
                <w:rFonts w:ascii="Verdana" w:cs="Verdana" w:eastAsia="Verdana" w:hAnsi="Verdana"/>
                <w:sz w:val="16"/>
                <w:szCs w:val="16"/>
                <w:color w:val="131313"/>
              </w:rPr>
              <w:t>$</w:t>
            </w:r>
          </w:p>
        </w:tc>
        <w:tc>
          <w:tcPr>
            <w:tcW w:w="880" w:type="dxa"/>
            <w:vAlign w:val="bottom"/>
          </w:tcPr>
          <w:p>
            <w:pPr>
              <w:jc w:val="right"/>
              <w:spacing w:after="0"/>
              <w:rPr>
                <w:sz w:val="20"/>
                <w:szCs w:val="20"/>
                <w:color w:val="auto"/>
              </w:rPr>
            </w:pPr>
            <w:r>
              <w:rPr>
                <w:rFonts w:ascii="Verdana" w:cs="Verdana" w:eastAsia="Verdana" w:hAnsi="Verdana"/>
                <w:sz w:val="16"/>
                <w:szCs w:val="16"/>
                <w:color w:val="131313"/>
              </w:rPr>
              <w:t>75.90</w:t>
            </w:r>
          </w:p>
        </w:tc>
        <w:tc>
          <w:tcPr>
            <w:tcW w:w="20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Verdana" w:cs="Verdana" w:eastAsia="Verdana" w:hAnsi="Verdana"/>
                <w:sz w:val="16"/>
                <w:szCs w:val="16"/>
                <w:color w:val="131313"/>
              </w:rPr>
              <w:t>$</w:t>
            </w:r>
          </w:p>
        </w:tc>
        <w:tc>
          <w:tcPr>
            <w:tcW w:w="560" w:type="dxa"/>
            <w:vAlign w:val="bottom"/>
          </w:tcPr>
          <w:p>
            <w:pPr>
              <w:jc w:val="right"/>
              <w:spacing w:after="0"/>
              <w:rPr>
                <w:sz w:val="20"/>
                <w:szCs w:val="20"/>
                <w:color w:val="auto"/>
              </w:rPr>
            </w:pPr>
            <w:r>
              <w:rPr>
                <w:rFonts w:ascii="Verdana" w:cs="Verdana" w:eastAsia="Verdana" w:hAnsi="Verdana"/>
                <w:sz w:val="16"/>
                <w:szCs w:val="16"/>
                <w:color w:val="131313"/>
              </w:rPr>
              <w:t>75.64</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Verdana" w:cs="Verdana" w:eastAsia="Verdana" w:hAnsi="Verdana"/>
                <w:sz w:val="16"/>
                <w:szCs w:val="16"/>
                <w:color w:val="131313"/>
              </w:rPr>
              <w:t>$</w:t>
            </w:r>
          </w:p>
        </w:tc>
        <w:tc>
          <w:tcPr>
            <w:tcW w:w="540" w:type="dxa"/>
            <w:vAlign w:val="bottom"/>
          </w:tcPr>
          <w:p>
            <w:pPr>
              <w:jc w:val="right"/>
              <w:spacing w:after="0"/>
              <w:rPr>
                <w:sz w:val="20"/>
                <w:szCs w:val="20"/>
                <w:color w:val="auto"/>
              </w:rPr>
            </w:pPr>
            <w:r>
              <w:rPr>
                <w:rFonts w:ascii="Verdana" w:cs="Verdana" w:eastAsia="Verdana" w:hAnsi="Verdana"/>
                <w:sz w:val="16"/>
                <w:szCs w:val="16"/>
                <w:color w:val="131313"/>
              </w:rPr>
              <w:t>—</w:t>
            </w:r>
          </w:p>
        </w:tc>
        <w:tc>
          <w:tcPr>
            <w:tcW w:w="2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Verdana" w:cs="Verdana" w:eastAsia="Verdana" w:hAnsi="Verdana"/>
                <w:sz w:val="16"/>
                <w:szCs w:val="16"/>
                <w:color w:val="131313"/>
              </w:rPr>
              <w:t>$</w:t>
            </w:r>
          </w:p>
        </w:tc>
        <w:tc>
          <w:tcPr>
            <w:tcW w:w="640" w:type="dxa"/>
            <w:vAlign w:val="bottom"/>
          </w:tcPr>
          <w:p>
            <w:pPr>
              <w:jc w:val="right"/>
              <w:spacing w:after="0"/>
              <w:rPr>
                <w:sz w:val="20"/>
                <w:szCs w:val="20"/>
                <w:color w:val="auto"/>
              </w:rPr>
            </w:pPr>
            <w:r>
              <w:rPr>
                <w:rFonts w:ascii="Verdana" w:cs="Verdana" w:eastAsia="Verdana" w:hAnsi="Verdana"/>
                <w:sz w:val="16"/>
                <w:szCs w:val="16"/>
                <w:color w:val="131313"/>
              </w:rPr>
              <w:t>70.13</w:t>
            </w: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Verdana" w:cs="Verdana" w:eastAsia="Verdana" w:hAnsi="Verdana"/>
                <w:sz w:val="16"/>
                <w:szCs w:val="16"/>
                <w:color w:val="131313"/>
              </w:rPr>
              <w:t>$</w:t>
            </w:r>
          </w:p>
        </w:tc>
        <w:tc>
          <w:tcPr>
            <w:tcW w:w="640" w:type="dxa"/>
            <w:vAlign w:val="bottom"/>
          </w:tcPr>
          <w:p>
            <w:pPr>
              <w:jc w:val="right"/>
              <w:spacing w:after="0"/>
              <w:rPr>
                <w:sz w:val="20"/>
                <w:szCs w:val="20"/>
                <w:color w:val="auto"/>
              </w:rPr>
            </w:pPr>
            <w:r>
              <w:rPr>
                <w:rFonts w:ascii="Verdana" w:cs="Verdana" w:eastAsia="Verdana" w:hAnsi="Verdana"/>
                <w:sz w:val="16"/>
                <w:szCs w:val="16"/>
                <w:color w:val="131313"/>
              </w:rPr>
              <w:t>75.89</w:t>
            </w:r>
          </w:p>
        </w:tc>
        <w:tc>
          <w:tcPr>
            <w:tcW w:w="220" w:type="dxa"/>
            <w:vAlign w:val="bottom"/>
          </w:tcPr>
          <w:p>
            <w:pPr>
              <w:spacing w:after="0"/>
              <w:rPr>
                <w:sz w:val="18"/>
                <w:szCs w:val="18"/>
                <w:color w:val="auto"/>
              </w:rPr>
            </w:pPr>
          </w:p>
        </w:tc>
      </w:tr>
      <w:tr>
        <w:trPr>
          <w:trHeight w:val="236"/>
        </w:trPr>
        <w:tc>
          <w:tcPr>
            <w:tcW w:w="3860" w:type="dxa"/>
            <w:vAlign w:val="bottom"/>
          </w:tcPr>
          <w:p>
            <w:pPr>
              <w:ind w:left="40"/>
              <w:spacing w:after="0"/>
              <w:rPr>
                <w:sz w:val="20"/>
                <w:szCs w:val="20"/>
                <w:color w:val="auto"/>
              </w:rPr>
            </w:pPr>
            <w:r>
              <w:rPr>
                <w:rFonts w:ascii="Verdana" w:cs="Verdana" w:eastAsia="Verdana" w:hAnsi="Verdana"/>
                <w:sz w:val="16"/>
                <w:szCs w:val="16"/>
                <w:color w:val="auto"/>
              </w:rPr>
              <w:t>Natural gas (per Mcf)</w:t>
            </w:r>
          </w:p>
        </w:tc>
        <w:tc>
          <w:tcPr>
            <w:tcW w:w="180" w:type="dxa"/>
            <w:vAlign w:val="bottom"/>
          </w:tcPr>
          <w:p>
            <w:pPr>
              <w:jc w:val="right"/>
              <w:spacing w:after="0"/>
              <w:rPr>
                <w:sz w:val="20"/>
                <w:szCs w:val="20"/>
                <w:color w:val="auto"/>
              </w:rPr>
            </w:pPr>
            <w:r>
              <w:rPr>
                <w:rFonts w:ascii="Verdana" w:cs="Verdana" w:eastAsia="Verdana" w:hAnsi="Verdana"/>
                <w:sz w:val="16"/>
                <w:szCs w:val="16"/>
                <w:color w:val="131313"/>
              </w:rPr>
              <w:t>$</w:t>
            </w:r>
          </w:p>
        </w:tc>
        <w:tc>
          <w:tcPr>
            <w:tcW w:w="880" w:type="dxa"/>
            <w:vAlign w:val="bottom"/>
          </w:tcPr>
          <w:p>
            <w:pPr>
              <w:jc w:val="right"/>
              <w:spacing w:after="0"/>
              <w:rPr>
                <w:sz w:val="20"/>
                <w:szCs w:val="20"/>
                <w:color w:val="auto"/>
              </w:rPr>
            </w:pPr>
            <w:r>
              <w:rPr>
                <w:rFonts w:ascii="Verdana" w:cs="Verdana" w:eastAsia="Verdana" w:hAnsi="Verdana"/>
                <w:sz w:val="16"/>
                <w:szCs w:val="16"/>
                <w:color w:val="131313"/>
              </w:rPr>
              <w:t>2.40</w:t>
            </w:r>
          </w:p>
        </w:tc>
        <w:tc>
          <w:tcPr>
            <w:tcW w:w="200" w:type="dxa"/>
            <w:vAlign w:val="bottom"/>
          </w:tcPr>
          <w:p>
            <w:pPr>
              <w:spacing w:after="0"/>
              <w:rPr>
                <w:sz w:val="20"/>
                <w:szCs w:val="20"/>
                <w:color w:val="auto"/>
              </w:rPr>
            </w:pPr>
          </w:p>
        </w:tc>
        <w:tc>
          <w:tcPr>
            <w:tcW w:w="280" w:type="dxa"/>
            <w:vAlign w:val="bottom"/>
            <w:gridSpan w:val="2"/>
          </w:tcPr>
          <w:p>
            <w:pPr>
              <w:ind w:left="120"/>
              <w:spacing w:after="0"/>
              <w:rPr>
                <w:sz w:val="20"/>
                <w:szCs w:val="20"/>
                <w:color w:val="auto"/>
              </w:rPr>
            </w:pPr>
            <w:r>
              <w:rPr>
                <w:rFonts w:ascii="Verdana" w:cs="Verdana" w:eastAsia="Verdana" w:hAnsi="Verdana"/>
                <w:sz w:val="16"/>
                <w:szCs w:val="16"/>
                <w:color w:val="131313"/>
              </w:rPr>
              <w:t>$</w:t>
            </w:r>
          </w:p>
        </w:tc>
        <w:tc>
          <w:tcPr>
            <w:tcW w:w="560" w:type="dxa"/>
            <w:vAlign w:val="bottom"/>
          </w:tcPr>
          <w:p>
            <w:pPr>
              <w:jc w:val="right"/>
              <w:spacing w:after="0"/>
              <w:rPr>
                <w:sz w:val="20"/>
                <w:szCs w:val="20"/>
                <w:color w:val="auto"/>
              </w:rPr>
            </w:pPr>
            <w:r>
              <w:rPr>
                <w:rFonts w:ascii="Verdana" w:cs="Verdana" w:eastAsia="Verdana" w:hAnsi="Verdana"/>
                <w:sz w:val="16"/>
                <w:szCs w:val="16"/>
                <w:color w:val="131313"/>
              </w:rPr>
              <w:t>4.19</w:t>
            </w:r>
          </w:p>
        </w:tc>
        <w:tc>
          <w:tcPr>
            <w:tcW w:w="2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Verdana" w:cs="Verdana" w:eastAsia="Verdana" w:hAnsi="Verdana"/>
                <w:sz w:val="16"/>
                <w:szCs w:val="16"/>
                <w:color w:val="131313"/>
              </w:rPr>
              <w:t>$</w:t>
            </w:r>
          </w:p>
        </w:tc>
        <w:tc>
          <w:tcPr>
            <w:tcW w:w="540" w:type="dxa"/>
            <w:vAlign w:val="bottom"/>
          </w:tcPr>
          <w:p>
            <w:pPr>
              <w:jc w:val="right"/>
              <w:spacing w:after="0"/>
              <w:rPr>
                <w:sz w:val="20"/>
                <w:szCs w:val="20"/>
                <w:color w:val="auto"/>
              </w:rPr>
            </w:pPr>
            <w:r>
              <w:rPr>
                <w:rFonts w:ascii="Verdana" w:cs="Verdana" w:eastAsia="Verdana" w:hAnsi="Verdana"/>
                <w:sz w:val="16"/>
                <w:szCs w:val="16"/>
                <w:color w:val="131313"/>
              </w:rPr>
              <w:t>1.95</w:t>
            </w:r>
          </w:p>
        </w:tc>
        <w:tc>
          <w:tcPr>
            <w:tcW w:w="280" w:type="dxa"/>
            <w:vAlign w:val="bottom"/>
          </w:tcPr>
          <w:p>
            <w:pPr>
              <w:spacing w:after="0"/>
              <w:rPr>
                <w:sz w:val="20"/>
                <w:szCs w:val="20"/>
                <w:color w:val="auto"/>
              </w:rPr>
            </w:pPr>
          </w:p>
        </w:tc>
        <w:tc>
          <w:tcPr>
            <w:tcW w:w="320" w:type="dxa"/>
            <w:vAlign w:val="bottom"/>
          </w:tcPr>
          <w:p>
            <w:pPr>
              <w:ind w:left="60"/>
              <w:spacing w:after="0"/>
              <w:rPr>
                <w:sz w:val="20"/>
                <w:szCs w:val="20"/>
                <w:color w:val="auto"/>
              </w:rPr>
            </w:pPr>
            <w:r>
              <w:rPr>
                <w:rFonts w:ascii="Verdana" w:cs="Verdana" w:eastAsia="Verdana" w:hAnsi="Verdana"/>
                <w:sz w:val="16"/>
                <w:szCs w:val="16"/>
                <w:color w:val="131313"/>
              </w:rPr>
              <w:t>$</w:t>
            </w:r>
          </w:p>
        </w:tc>
        <w:tc>
          <w:tcPr>
            <w:tcW w:w="640" w:type="dxa"/>
            <w:vAlign w:val="bottom"/>
          </w:tcPr>
          <w:p>
            <w:pPr>
              <w:jc w:val="right"/>
              <w:spacing w:after="0"/>
              <w:rPr>
                <w:sz w:val="20"/>
                <w:szCs w:val="20"/>
                <w:color w:val="auto"/>
              </w:rPr>
            </w:pPr>
            <w:r>
              <w:rPr>
                <w:rFonts w:ascii="Verdana" w:cs="Verdana" w:eastAsia="Verdana" w:hAnsi="Verdana"/>
                <w:sz w:val="16"/>
                <w:szCs w:val="16"/>
                <w:color w:val="131313"/>
              </w:rPr>
              <w:t>2.02</w:t>
            </w:r>
          </w:p>
        </w:tc>
        <w:tc>
          <w:tcPr>
            <w:tcW w:w="2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Verdana" w:cs="Verdana" w:eastAsia="Verdana" w:hAnsi="Verdana"/>
                <w:sz w:val="16"/>
                <w:szCs w:val="16"/>
                <w:color w:val="131313"/>
              </w:rPr>
              <w:t>$</w:t>
            </w:r>
          </w:p>
        </w:tc>
        <w:tc>
          <w:tcPr>
            <w:tcW w:w="640" w:type="dxa"/>
            <w:vAlign w:val="bottom"/>
          </w:tcPr>
          <w:p>
            <w:pPr>
              <w:jc w:val="right"/>
              <w:spacing w:after="0"/>
              <w:rPr>
                <w:sz w:val="20"/>
                <w:szCs w:val="20"/>
                <w:color w:val="auto"/>
              </w:rPr>
            </w:pPr>
            <w:r>
              <w:rPr>
                <w:rFonts w:ascii="Verdana" w:cs="Verdana" w:eastAsia="Verdana" w:hAnsi="Verdana"/>
                <w:sz w:val="16"/>
                <w:szCs w:val="16"/>
                <w:color w:val="131313"/>
              </w:rPr>
              <w:t>2.38</w:t>
            </w:r>
          </w:p>
        </w:tc>
        <w:tc>
          <w:tcPr>
            <w:tcW w:w="220" w:type="dxa"/>
            <w:vAlign w:val="bottom"/>
          </w:tcPr>
          <w:p>
            <w:pPr>
              <w:spacing w:after="0"/>
              <w:rPr>
                <w:sz w:val="20"/>
                <w:szCs w:val="20"/>
                <w:color w:val="auto"/>
              </w:rPr>
            </w:pPr>
          </w:p>
        </w:tc>
      </w:tr>
      <w:tr>
        <w:trPr>
          <w:trHeight w:val="236"/>
        </w:trPr>
        <w:tc>
          <w:tcPr>
            <w:tcW w:w="3860" w:type="dxa"/>
            <w:vAlign w:val="bottom"/>
          </w:tcPr>
          <w:p>
            <w:pPr>
              <w:ind w:left="40"/>
              <w:spacing w:after="0"/>
              <w:rPr>
                <w:sz w:val="20"/>
                <w:szCs w:val="20"/>
                <w:color w:val="auto"/>
              </w:rPr>
            </w:pPr>
            <w:r>
              <w:rPr>
                <w:rFonts w:ascii="Verdana" w:cs="Verdana" w:eastAsia="Verdana" w:hAnsi="Verdana"/>
                <w:sz w:val="16"/>
                <w:szCs w:val="16"/>
                <w:color w:val="auto"/>
              </w:rPr>
              <w:t>Total oil equivalent (per BOE)</w:t>
            </w:r>
          </w:p>
        </w:tc>
        <w:tc>
          <w:tcPr>
            <w:tcW w:w="180" w:type="dxa"/>
            <w:vAlign w:val="bottom"/>
          </w:tcPr>
          <w:p>
            <w:pPr>
              <w:jc w:val="right"/>
              <w:spacing w:after="0"/>
              <w:rPr>
                <w:sz w:val="20"/>
                <w:szCs w:val="20"/>
                <w:color w:val="auto"/>
              </w:rPr>
            </w:pPr>
            <w:r>
              <w:rPr>
                <w:rFonts w:ascii="Verdana" w:cs="Verdana" w:eastAsia="Verdana" w:hAnsi="Verdana"/>
                <w:sz w:val="16"/>
                <w:szCs w:val="16"/>
                <w:color w:val="131313"/>
              </w:rPr>
              <w:t>$</w:t>
            </w:r>
          </w:p>
        </w:tc>
        <w:tc>
          <w:tcPr>
            <w:tcW w:w="880" w:type="dxa"/>
            <w:vAlign w:val="bottom"/>
          </w:tcPr>
          <w:p>
            <w:pPr>
              <w:jc w:val="right"/>
              <w:spacing w:after="0"/>
              <w:rPr>
                <w:sz w:val="20"/>
                <w:szCs w:val="20"/>
                <w:color w:val="auto"/>
              </w:rPr>
            </w:pPr>
            <w:r>
              <w:rPr>
                <w:rFonts w:ascii="Verdana" w:cs="Verdana" w:eastAsia="Verdana" w:hAnsi="Verdana"/>
                <w:sz w:val="16"/>
                <w:szCs w:val="16"/>
                <w:color w:val="131313"/>
              </w:rPr>
              <w:t>51.05</w:t>
            </w:r>
          </w:p>
        </w:tc>
        <w:tc>
          <w:tcPr>
            <w:tcW w:w="200" w:type="dxa"/>
            <w:vAlign w:val="bottom"/>
          </w:tcPr>
          <w:p>
            <w:pPr>
              <w:spacing w:after="0"/>
              <w:rPr>
                <w:sz w:val="20"/>
                <w:szCs w:val="20"/>
                <w:color w:val="auto"/>
              </w:rPr>
            </w:pPr>
          </w:p>
        </w:tc>
        <w:tc>
          <w:tcPr>
            <w:tcW w:w="280" w:type="dxa"/>
            <w:vAlign w:val="bottom"/>
            <w:gridSpan w:val="2"/>
          </w:tcPr>
          <w:p>
            <w:pPr>
              <w:ind w:left="120"/>
              <w:spacing w:after="0"/>
              <w:rPr>
                <w:sz w:val="20"/>
                <w:szCs w:val="20"/>
                <w:color w:val="auto"/>
              </w:rPr>
            </w:pPr>
            <w:r>
              <w:rPr>
                <w:rFonts w:ascii="Verdana" w:cs="Verdana" w:eastAsia="Verdana" w:hAnsi="Verdana"/>
                <w:sz w:val="16"/>
                <w:szCs w:val="16"/>
                <w:color w:val="131313"/>
              </w:rPr>
              <w:t>$</w:t>
            </w:r>
          </w:p>
        </w:tc>
        <w:tc>
          <w:tcPr>
            <w:tcW w:w="560" w:type="dxa"/>
            <w:vAlign w:val="bottom"/>
          </w:tcPr>
          <w:p>
            <w:pPr>
              <w:jc w:val="right"/>
              <w:spacing w:after="0"/>
              <w:rPr>
                <w:sz w:val="20"/>
                <w:szCs w:val="20"/>
                <w:color w:val="auto"/>
              </w:rPr>
            </w:pPr>
            <w:r>
              <w:rPr>
                <w:rFonts w:ascii="Verdana" w:cs="Verdana" w:eastAsia="Verdana" w:hAnsi="Verdana"/>
                <w:sz w:val="16"/>
                <w:szCs w:val="16"/>
                <w:color w:val="131313"/>
              </w:rPr>
              <w:t>61.97</w:t>
            </w:r>
          </w:p>
        </w:tc>
        <w:tc>
          <w:tcPr>
            <w:tcW w:w="2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Verdana" w:cs="Verdana" w:eastAsia="Verdana" w:hAnsi="Verdana"/>
                <w:sz w:val="16"/>
                <w:szCs w:val="16"/>
                <w:color w:val="131313"/>
              </w:rPr>
              <w:t>$</w:t>
            </w:r>
          </w:p>
        </w:tc>
        <w:tc>
          <w:tcPr>
            <w:tcW w:w="540" w:type="dxa"/>
            <w:vAlign w:val="bottom"/>
          </w:tcPr>
          <w:p>
            <w:pPr>
              <w:jc w:val="right"/>
              <w:spacing w:after="0"/>
              <w:rPr>
                <w:sz w:val="20"/>
                <w:szCs w:val="20"/>
                <w:color w:val="auto"/>
              </w:rPr>
            </w:pPr>
            <w:r>
              <w:rPr>
                <w:rFonts w:ascii="Verdana" w:cs="Verdana" w:eastAsia="Verdana" w:hAnsi="Verdana"/>
                <w:sz w:val="16"/>
                <w:szCs w:val="16"/>
                <w:color w:val="131313"/>
              </w:rPr>
              <w:t>11.67</w:t>
            </w:r>
          </w:p>
        </w:tc>
        <w:tc>
          <w:tcPr>
            <w:tcW w:w="280" w:type="dxa"/>
            <w:vAlign w:val="bottom"/>
          </w:tcPr>
          <w:p>
            <w:pPr>
              <w:spacing w:after="0"/>
              <w:rPr>
                <w:sz w:val="20"/>
                <w:szCs w:val="20"/>
                <w:color w:val="auto"/>
              </w:rPr>
            </w:pPr>
          </w:p>
        </w:tc>
        <w:tc>
          <w:tcPr>
            <w:tcW w:w="320" w:type="dxa"/>
            <w:vAlign w:val="bottom"/>
          </w:tcPr>
          <w:p>
            <w:pPr>
              <w:ind w:left="60"/>
              <w:spacing w:after="0"/>
              <w:rPr>
                <w:sz w:val="20"/>
                <w:szCs w:val="20"/>
                <w:color w:val="auto"/>
              </w:rPr>
            </w:pPr>
            <w:r>
              <w:rPr>
                <w:rFonts w:ascii="Verdana" w:cs="Verdana" w:eastAsia="Verdana" w:hAnsi="Verdana"/>
                <w:sz w:val="16"/>
                <w:szCs w:val="16"/>
                <w:color w:val="131313"/>
              </w:rPr>
              <w:t>$</w:t>
            </w:r>
          </w:p>
        </w:tc>
        <w:tc>
          <w:tcPr>
            <w:tcW w:w="640" w:type="dxa"/>
            <w:vAlign w:val="bottom"/>
          </w:tcPr>
          <w:p>
            <w:pPr>
              <w:jc w:val="right"/>
              <w:spacing w:after="0"/>
              <w:rPr>
                <w:sz w:val="20"/>
                <w:szCs w:val="20"/>
                <w:color w:val="auto"/>
              </w:rPr>
            </w:pPr>
            <w:r>
              <w:rPr>
                <w:rFonts w:ascii="Verdana" w:cs="Verdana" w:eastAsia="Verdana" w:hAnsi="Verdana"/>
                <w:sz w:val="16"/>
                <w:szCs w:val="16"/>
                <w:color w:val="131313"/>
              </w:rPr>
              <w:t>12.33</w:t>
            </w:r>
          </w:p>
        </w:tc>
        <w:tc>
          <w:tcPr>
            <w:tcW w:w="2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Verdana" w:cs="Verdana" w:eastAsia="Verdana" w:hAnsi="Verdana"/>
                <w:sz w:val="16"/>
                <w:szCs w:val="16"/>
                <w:color w:val="131313"/>
              </w:rPr>
              <w:t>$</w:t>
            </w:r>
          </w:p>
        </w:tc>
        <w:tc>
          <w:tcPr>
            <w:tcW w:w="640" w:type="dxa"/>
            <w:vAlign w:val="bottom"/>
          </w:tcPr>
          <w:p>
            <w:pPr>
              <w:jc w:val="right"/>
              <w:spacing w:after="0"/>
              <w:rPr>
                <w:sz w:val="20"/>
                <w:szCs w:val="20"/>
                <w:color w:val="auto"/>
              </w:rPr>
            </w:pPr>
            <w:r>
              <w:rPr>
                <w:rFonts w:ascii="Verdana" w:cs="Verdana" w:eastAsia="Verdana" w:hAnsi="Verdana"/>
                <w:sz w:val="16"/>
                <w:szCs w:val="16"/>
                <w:color w:val="131313"/>
              </w:rPr>
              <w:t>50.31</w:t>
            </w:r>
          </w:p>
        </w:tc>
        <w:tc>
          <w:tcPr>
            <w:tcW w:w="220" w:type="dxa"/>
            <w:vAlign w:val="bottom"/>
          </w:tcPr>
          <w:p>
            <w:pPr>
              <w:spacing w:after="0"/>
              <w:rPr>
                <w:sz w:val="20"/>
                <w:szCs w:val="20"/>
                <w:color w:val="auto"/>
              </w:rPr>
            </w:pPr>
          </w:p>
        </w:tc>
      </w:tr>
      <w:tr>
        <w:trPr>
          <w:trHeight w:val="308"/>
        </w:trPr>
        <w:tc>
          <w:tcPr>
            <w:tcW w:w="3860" w:type="dxa"/>
            <w:vAlign w:val="bottom"/>
          </w:tcPr>
          <w:p>
            <w:pPr>
              <w:ind w:left="40"/>
              <w:spacing w:after="0"/>
              <w:rPr>
                <w:sz w:val="20"/>
                <w:szCs w:val="20"/>
                <w:color w:val="auto"/>
              </w:rPr>
            </w:pPr>
            <w:r>
              <w:rPr>
                <w:rFonts w:ascii="Calibri" w:cs="Calibri" w:eastAsia="Calibri" w:hAnsi="Calibri"/>
                <w:sz w:val="19"/>
                <w:szCs w:val="19"/>
                <w:b w:val="1"/>
                <w:bCs w:val="1"/>
                <w:color w:val="214E93"/>
              </w:rPr>
              <w:t>Production Costs</w:t>
            </w:r>
            <w:r>
              <w:rPr>
                <w:rFonts w:ascii="Calibri" w:cs="Calibri" w:eastAsia="Calibri" w:hAnsi="Calibri"/>
                <w:sz w:val="24"/>
                <w:szCs w:val="24"/>
                <w:b w:val="1"/>
                <w:bCs w:val="1"/>
                <w:color w:val="214E93"/>
                <w:vertAlign w:val="superscript"/>
              </w:rPr>
              <w:t>(5)</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89"/>
        </w:trPr>
        <w:tc>
          <w:tcPr>
            <w:tcW w:w="3860" w:type="dxa"/>
            <w:vAlign w:val="bottom"/>
          </w:tcPr>
          <w:p>
            <w:pPr>
              <w:ind w:left="40"/>
              <w:spacing w:after="0" w:line="189" w:lineRule="exact"/>
              <w:rPr>
                <w:sz w:val="20"/>
                <w:szCs w:val="20"/>
                <w:color w:val="auto"/>
              </w:rPr>
            </w:pPr>
            <w:r>
              <w:rPr>
                <w:rFonts w:ascii="Verdana" w:cs="Verdana" w:eastAsia="Verdana" w:hAnsi="Verdana"/>
                <w:sz w:val="16"/>
                <w:szCs w:val="16"/>
                <w:color w:val="auto"/>
              </w:rPr>
              <w:t>Lease operating, transportation and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1"/>
        </w:trPr>
        <w:tc>
          <w:tcPr>
            <w:tcW w:w="3860" w:type="dxa"/>
            <w:vAlign w:val="bottom"/>
          </w:tcPr>
          <w:p>
            <w:pPr>
              <w:ind w:left="40"/>
              <w:spacing w:after="0"/>
              <w:rPr>
                <w:sz w:val="20"/>
                <w:szCs w:val="20"/>
                <w:color w:val="auto"/>
              </w:rPr>
            </w:pPr>
            <w:r>
              <w:rPr>
                <w:rFonts w:ascii="Verdana" w:cs="Verdana" w:eastAsia="Verdana" w:hAnsi="Verdana"/>
                <w:sz w:val="16"/>
                <w:szCs w:val="16"/>
                <w:color w:val="auto"/>
              </w:rPr>
              <w:t>processing (per BOE)</w:t>
            </w:r>
          </w:p>
        </w:tc>
        <w:tc>
          <w:tcPr>
            <w:tcW w:w="180" w:type="dxa"/>
            <w:vAlign w:val="bottom"/>
          </w:tcPr>
          <w:p>
            <w:pPr>
              <w:jc w:val="right"/>
              <w:spacing w:after="0"/>
              <w:rPr>
                <w:sz w:val="20"/>
                <w:szCs w:val="20"/>
                <w:color w:val="auto"/>
              </w:rPr>
            </w:pPr>
            <w:r>
              <w:rPr>
                <w:rFonts w:ascii="Verdana" w:cs="Verdana" w:eastAsia="Verdana" w:hAnsi="Verdana"/>
                <w:sz w:val="16"/>
                <w:szCs w:val="16"/>
                <w:color w:val="131313"/>
              </w:rPr>
              <w:t>$</w:t>
            </w:r>
          </w:p>
        </w:tc>
        <w:tc>
          <w:tcPr>
            <w:tcW w:w="880" w:type="dxa"/>
            <w:vAlign w:val="bottom"/>
          </w:tcPr>
          <w:p>
            <w:pPr>
              <w:jc w:val="right"/>
              <w:spacing w:after="0"/>
              <w:rPr>
                <w:sz w:val="20"/>
                <w:szCs w:val="20"/>
                <w:color w:val="auto"/>
              </w:rPr>
            </w:pPr>
            <w:r>
              <w:rPr>
                <w:rFonts w:ascii="Verdana" w:cs="Verdana" w:eastAsia="Verdana" w:hAnsi="Verdana"/>
                <w:sz w:val="16"/>
                <w:szCs w:val="16"/>
                <w:color w:val="131313"/>
              </w:rPr>
              <w:t>5.97</w:t>
            </w:r>
          </w:p>
        </w:tc>
        <w:tc>
          <w:tcPr>
            <w:tcW w:w="20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Verdana" w:cs="Verdana" w:eastAsia="Verdana" w:hAnsi="Verdana"/>
                <w:sz w:val="16"/>
                <w:szCs w:val="16"/>
                <w:color w:val="131313"/>
              </w:rPr>
              <w:t>$</w:t>
            </w:r>
          </w:p>
        </w:tc>
        <w:tc>
          <w:tcPr>
            <w:tcW w:w="560" w:type="dxa"/>
            <w:vAlign w:val="bottom"/>
          </w:tcPr>
          <w:p>
            <w:pPr>
              <w:jc w:val="right"/>
              <w:spacing w:after="0"/>
              <w:rPr>
                <w:sz w:val="20"/>
                <w:szCs w:val="20"/>
                <w:color w:val="auto"/>
              </w:rPr>
            </w:pPr>
            <w:r>
              <w:rPr>
                <w:rFonts w:ascii="Verdana" w:cs="Verdana" w:eastAsia="Verdana" w:hAnsi="Verdana"/>
                <w:sz w:val="16"/>
                <w:szCs w:val="16"/>
                <w:color w:val="131313"/>
              </w:rPr>
              <w:t>36.44</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Verdana" w:cs="Verdana" w:eastAsia="Verdana" w:hAnsi="Verdana"/>
                <w:sz w:val="16"/>
                <w:szCs w:val="16"/>
                <w:color w:val="131313"/>
              </w:rPr>
              <w:t>$</w:t>
            </w:r>
          </w:p>
        </w:tc>
        <w:tc>
          <w:tcPr>
            <w:tcW w:w="540" w:type="dxa"/>
            <w:vAlign w:val="bottom"/>
          </w:tcPr>
          <w:p>
            <w:pPr>
              <w:jc w:val="right"/>
              <w:spacing w:after="0"/>
              <w:rPr>
                <w:sz w:val="20"/>
                <w:szCs w:val="20"/>
                <w:color w:val="auto"/>
              </w:rPr>
            </w:pPr>
            <w:r>
              <w:rPr>
                <w:rFonts w:ascii="Verdana" w:cs="Verdana" w:eastAsia="Verdana" w:hAnsi="Verdana"/>
                <w:sz w:val="16"/>
                <w:szCs w:val="16"/>
                <w:color w:val="131313"/>
              </w:rPr>
              <w:t>5.46</w:t>
            </w:r>
          </w:p>
        </w:tc>
        <w:tc>
          <w:tcPr>
            <w:tcW w:w="2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Verdana" w:cs="Verdana" w:eastAsia="Verdana" w:hAnsi="Verdana"/>
                <w:sz w:val="16"/>
                <w:szCs w:val="16"/>
                <w:color w:val="131313"/>
              </w:rPr>
              <w:t>$</w:t>
            </w:r>
          </w:p>
        </w:tc>
        <w:tc>
          <w:tcPr>
            <w:tcW w:w="640" w:type="dxa"/>
            <w:vAlign w:val="bottom"/>
          </w:tcPr>
          <w:p>
            <w:pPr>
              <w:jc w:val="right"/>
              <w:spacing w:after="0"/>
              <w:rPr>
                <w:sz w:val="20"/>
                <w:szCs w:val="20"/>
                <w:color w:val="auto"/>
              </w:rPr>
            </w:pPr>
            <w:r>
              <w:rPr>
                <w:rFonts w:ascii="Verdana" w:cs="Verdana" w:eastAsia="Verdana" w:hAnsi="Verdana"/>
                <w:sz w:val="16"/>
                <w:szCs w:val="16"/>
                <w:color w:val="131313"/>
              </w:rPr>
              <w:t>8.00</w:t>
            </w: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Verdana" w:cs="Verdana" w:eastAsia="Verdana" w:hAnsi="Verdana"/>
                <w:sz w:val="16"/>
                <w:szCs w:val="16"/>
                <w:color w:val="131313"/>
              </w:rPr>
              <w:t>$</w:t>
            </w:r>
          </w:p>
        </w:tc>
        <w:tc>
          <w:tcPr>
            <w:tcW w:w="640" w:type="dxa"/>
            <w:vAlign w:val="bottom"/>
          </w:tcPr>
          <w:p>
            <w:pPr>
              <w:jc w:val="right"/>
              <w:spacing w:after="0"/>
              <w:rPr>
                <w:sz w:val="20"/>
                <w:szCs w:val="20"/>
                <w:color w:val="auto"/>
              </w:rPr>
            </w:pPr>
            <w:r>
              <w:rPr>
                <w:rFonts w:ascii="Verdana" w:cs="Verdana" w:eastAsia="Verdana" w:hAnsi="Verdana"/>
                <w:sz w:val="16"/>
                <w:szCs w:val="16"/>
                <w:color w:val="131313"/>
              </w:rPr>
              <w:t>6.14</w:t>
            </w:r>
          </w:p>
        </w:tc>
        <w:tc>
          <w:tcPr>
            <w:tcW w:w="220" w:type="dxa"/>
            <w:vAlign w:val="bottom"/>
          </w:tcPr>
          <w:p>
            <w:pPr>
              <w:spacing w:after="0"/>
              <w:rPr>
                <w:sz w:val="18"/>
                <w:szCs w:val="18"/>
                <w:color w:val="auto"/>
              </w:rPr>
            </w:pPr>
          </w:p>
        </w:tc>
      </w:tr>
    </w:tbl>
    <w:p>
      <w:pPr>
        <w:spacing w:after="0" w:line="20" w:lineRule="exact"/>
        <w:rPr>
          <w:sz w:val="20"/>
          <w:szCs w:val="20"/>
          <w:color w:val="auto"/>
        </w:rPr>
      </w:pPr>
    </w:p>
    <w:p>
      <w:pPr>
        <w:spacing w:after="0" w:line="145" w:lineRule="exact"/>
        <w:rPr>
          <w:sz w:val="20"/>
          <w:szCs w:val="20"/>
          <w:color w:val="auto"/>
        </w:rPr>
      </w:pPr>
    </w:p>
    <w:p>
      <w:pPr>
        <w:ind w:left="480" w:right="760" w:hanging="350"/>
        <w:spacing w:after="0" w:line="226" w:lineRule="auto"/>
        <w:tabs>
          <w:tab w:leader="none" w:pos="480" w:val="left"/>
        </w:tabs>
        <w:numPr>
          <w:ilvl w:val="0"/>
          <w:numId w:val="25"/>
        </w:numPr>
        <w:rPr>
          <w:rFonts w:ascii="Calibri" w:cs="Calibri" w:eastAsia="Calibri" w:hAnsi="Calibri"/>
          <w:sz w:val="14"/>
          <w:szCs w:val="14"/>
          <w:color w:val="auto"/>
        </w:rPr>
      </w:pPr>
      <w:r>
        <w:rPr>
          <w:rFonts w:ascii="Calibri" w:cs="Calibri" w:eastAsia="Calibri" w:hAnsi="Calibri"/>
          <w:sz w:val="14"/>
          <w:szCs w:val="14"/>
          <w:color w:val="auto"/>
        </w:rPr>
        <w:t>Includes 61 gross (41.0 net) wells from the Eagle Ford formation that were divested in 2024 and one well producing oil from the Austin Chalk formation in La Salle County, Texas that was divested in November 2024.</w:t>
      </w:r>
    </w:p>
    <w:p>
      <w:pPr>
        <w:spacing w:after="0" w:line="73" w:lineRule="exact"/>
        <w:rPr>
          <w:rFonts w:ascii="Calibri" w:cs="Calibri" w:eastAsia="Calibri" w:hAnsi="Calibri"/>
          <w:sz w:val="14"/>
          <w:szCs w:val="14"/>
          <w:color w:val="auto"/>
        </w:rPr>
      </w:pPr>
    </w:p>
    <w:p>
      <w:pPr>
        <w:ind w:left="480" w:hanging="350"/>
        <w:spacing w:after="0"/>
        <w:tabs>
          <w:tab w:leader="none" w:pos="480" w:val="left"/>
        </w:tabs>
        <w:numPr>
          <w:ilvl w:val="0"/>
          <w:numId w:val="25"/>
        </w:numPr>
        <w:rPr>
          <w:rFonts w:ascii="Calibri" w:cs="Calibri" w:eastAsia="Calibri" w:hAnsi="Calibri"/>
          <w:sz w:val="14"/>
          <w:szCs w:val="14"/>
          <w:color w:val="auto"/>
        </w:rPr>
      </w:pPr>
      <w:r>
        <w:rPr>
          <w:rFonts w:ascii="Calibri" w:cs="Calibri" w:eastAsia="Calibri" w:hAnsi="Calibri"/>
          <w:sz w:val="14"/>
          <w:szCs w:val="14"/>
          <w:color w:val="auto"/>
        </w:rPr>
        <w:t>Includes the Cotton Valley formation and shallower zones.</w:t>
      </w:r>
    </w:p>
    <w:p>
      <w:pPr>
        <w:spacing w:after="0" w:line="86" w:lineRule="exact"/>
        <w:rPr>
          <w:rFonts w:ascii="Calibri" w:cs="Calibri" w:eastAsia="Calibri" w:hAnsi="Calibri"/>
          <w:sz w:val="14"/>
          <w:szCs w:val="14"/>
          <w:color w:val="auto"/>
        </w:rPr>
      </w:pPr>
    </w:p>
    <w:p>
      <w:pPr>
        <w:ind w:left="480" w:right="840" w:hanging="350"/>
        <w:spacing w:after="0" w:line="226" w:lineRule="auto"/>
        <w:tabs>
          <w:tab w:leader="none" w:pos="480" w:val="left"/>
        </w:tabs>
        <w:numPr>
          <w:ilvl w:val="0"/>
          <w:numId w:val="25"/>
        </w:numPr>
        <w:rPr>
          <w:rFonts w:ascii="Calibri" w:cs="Calibri" w:eastAsia="Calibri" w:hAnsi="Calibri"/>
          <w:sz w:val="14"/>
          <w:szCs w:val="14"/>
          <w:color w:val="auto"/>
        </w:rPr>
      </w:pPr>
      <w:r>
        <w:rPr>
          <w:rFonts w:ascii="Calibri" w:cs="Calibri" w:eastAsia="Calibri" w:hAnsi="Calibri"/>
          <w:sz w:val="14"/>
          <w:szCs w:val="14"/>
          <w:color w:val="auto"/>
        </w:rPr>
        <w:t>Production volumes reported in two streams: oil and natural gas, including both dry and liquids-rich natural gas. Estimated using a conversion ratio of one Bbl of oil per six Mcf of natural gas.</w:t>
      </w:r>
    </w:p>
    <w:p>
      <w:pPr>
        <w:spacing w:after="0" w:line="73" w:lineRule="exact"/>
        <w:rPr>
          <w:rFonts w:ascii="Calibri" w:cs="Calibri" w:eastAsia="Calibri" w:hAnsi="Calibri"/>
          <w:sz w:val="14"/>
          <w:szCs w:val="14"/>
          <w:color w:val="auto"/>
        </w:rPr>
      </w:pPr>
    </w:p>
    <w:p>
      <w:pPr>
        <w:ind w:left="480" w:hanging="350"/>
        <w:spacing w:after="0"/>
        <w:tabs>
          <w:tab w:leader="none" w:pos="480" w:val="left"/>
        </w:tabs>
        <w:numPr>
          <w:ilvl w:val="0"/>
          <w:numId w:val="25"/>
        </w:numPr>
        <w:rPr>
          <w:rFonts w:ascii="Calibri" w:cs="Calibri" w:eastAsia="Calibri" w:hAnsi="Calibri"/>
          <w:sz w:val="14"/>
          <w:szCs w:val="14"/>
          <w:color w:val="auto"/>
        </w:rPr>
      </w:pPr>
      <w:r>
        <w:rPr>
          <w:rFonts w:ascii="Calibri" w:cs="Calibri" w:eastAsia="Calibri" w:hAnsi="Calibri"/>
          <w:sz w:val="14"/>
          <w:szCs w:val="14"/>
          <w:color w:val="auto"/>
        </w:rPr>
        <w:t>Excludes impact of derivative settlements.</w:t>
      </w:r>
    </w:p>
    <w:p>
      <w:pPr>
        <w:spacing w:after="0" w:line="73" w:lineRule="exact"/>
        <w:rPr>
          <w:rFonts w:ascii="Calibri" w:cs="Calibri" w:eastAsia="Calibri" w:hAnsi="Calibri"/>
          <w:sz w:val="14"/>
          <w:szCs w:val="14"/>
          <w:color w:val="auto"/>
        </w:rPr>
      </w:pPr>
    </w:p>
    <w:p>
      <w:pPr>
        <w:ind w:left="480" w:hanging="350"/>
        <w:spacing w:after="0"/>
        <w:tabs>
          <w:tab w:leader="none" w:pos="480" w:val="left"/>
        </w:tabs>
        <w:numPr>
          <w:ilvl w:val="0"/>
          <w:numId w:val="25"/>
        </w:numPr>
        <w:rPr>
          <w:rFonts w:ascii="Calibri" w:cs="Calibri" w:eastAsia="Calibri" w:hAnsi="Calibri"/>
          <w:sz w:val="14"/>
          <w:szCs w:val="14"/>
          <w:color w:val="auto"/>
        </w:rPr>
      </w:pPr>
      <w:r>
        <w:rPr>
          <w:rFonts w:ascii="Calibri" w:cs="Calibri" w:eastAsia="Calibri" w:hAnsi="Calibri"/>
          <w:sz w:val="14"/>
          <w:szCs w:val="14"/>
          <w:color w:val="auto"/>
        </w:rPr>
        <w:t>Excludes midstream operating expenses, ad valorem taxes and oil and natural gas production taxes.</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92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1160" w:top="498" w:right="440" w:bottom="0" w:gutter="0" w:footer="0" w:header="0"/>
          <w:type w:val="continuous"/>
        </w:sectPr>
      </w:pPr>
    </w:p>
    <w:bookmarkStart w:id="31" w:name="page32"/>
    <w:bookmarkEnd w:id="31"/>
    <w:p>
      <w:pPr>
        <w:spacing w:after="0"/>
        <w:tabs>
          <w:tab w:leader="none" w:pos="740" w:val="left"/>
        </w:tabs>
        <w:rPr>
          <w:sz w:val="20"/>
          <w:szCs w:val="20"/>
          <w:color w:val="auto"/>
        </w:rPr>
      </w:pPr>
      <w:r>
        <w:rPr>
          <w:rFonts w:ascii="Calibri" w:cs="Calibri" w:eastAsia="Calibri" w:hAnsi="Calibri"/>
          <w:sz w:val="18"/>
          <w:szCs w:val="18"/>
          <w:color w:val="auto"/>
        </w:rPr>
        <w:t>18</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20" w:right="500" w:firstLine="241"/>
        <w:spacing w:after="0" w:line="261" w:lineRule="auto"/>
        <w:rPr>
          <w:sz w:val="20"/>
          <w:szCs w:val="20"/>
          <w:color w:val="auto"/>
        </w:rPr>
      </w:pPr>
      <w:r>
        <w:rPr>
          <w:rFonts w:ascii="Calibri" w:cs="Calibri" w:eastAsia="Calibri" w:hAnsi="Calibri"/>
          <w:sz w:val="18"/>
          <w:szCs w:val="18"/>
          <w:color w:val="auto"/>
        </w:rPr>
        <w:t>The following table sets forth information regarding our production volumes, sales prices and production costs for the year ended December 31, 2023 from our operating areas, which we consider to be distinct fields for purposes of accounting for production.</w:t>
      </w:r>
    </w:p>
    <w:p>
      <w:pPr>
        <w:spacing w:after="0" w:line="174"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Verdana" w:cs="Verdana" w:eastAsia="Verdana" w:hAnsi="Verdana"/>
                <w:sz w:val="14"/>
                <w:szCs w:val="14"/>
                <w:color w:val="auto"/>
                <w:w w:val="98"/>
              </w:rPr>
              <w:t>Southeast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5"/>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41"/>
              <w:spacing w:after="0" w:line="166" w:lineRule="exact"/>
              <w:rPr>
                <w:sz w:val="20"/>
                <w:szCs w:val="20"/>
                <w:color w:val="auto"/>
              </w:rPr>
            </w:pPr>
            <w:r>
              <w:rPr>
                <w:rFonts w:ascii="Verdana" w:cs="Verdana" w:eastAsia="Verdana" w:hAnsi="Verdana"/>
                <w:sz w:val="14"/>
                <w:szCs w:val="14"/>
                <w:color w:val="auto"/>
                <w:w w:val="98"/>
              </w:rPr>
              <w:t>New Mexico/</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93"/>
        </w:trPr>
        <w:tc>
          <w:tcPr>
            <w:tcW w:w="3600" w:type="dxa"/>
            <w:vAlign w:val="bottom"/>
          </w:tcPr>
          <w:p>
            <w:pPr>
              <w:spacing w:after="0"/>
              <w:rPr>
                <w:sz w:val="16"/>
                <w:szCs w:val="16"/>
                <w:color w:val="auto"/>
              </w:rPr>
            </w:pPr>
          </w:p>
        </w:tc>
        <w:tc>
          <w:tcPr>
            <w:tcW w:w="180" w:type="dxa"/>
            <w:vAlign w:val="bottom"/>
            <w:tcBorders>
              <w:bottom w:val="single" w:sz="8" w:color="214E93"/>
            </w:tcBorders>
          </w:tcPr>
          <w:p>
            <w:pPr>
              <w:spacing w:after="0"/>
              <w:rPr>
                <w:sz w:val="16"/>
                <w:szCs w:val="16"/>
                <w:color w:val="auto"/>
              </w:rPr>
            </w:pPr>
          </w:p>
        </w:tc>
        <w:tc>
          <w:tcPr>
            <w:tcW w:w="86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auto"/>
                <w:w w:val="98"/>
              </w:rPr>
              <w:t>West Texas</w:t>
            </w:r>
          </w:p>
        </w:tc>
        <w:tc>
          <w:tcPr>
            <w:tcW w:w="220" w:type="dxa"/>
            <w:vAlign w:val="bottom"/>
            <w:tcBorders>
              <w:bottom w:val="single" w:sz="8" w:color="214E93"/>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214E93"/>
            </w:tcBorders>
          </w:tcPr>
          <w:p>
            <w:pPr>
              <w:spacing w:after="0"/>
              <w:rPr>
                <w:sz w:val="16"/>
                <w:szCs w:val="16"/>
                <w:color w:val="auto"/>
              </w:rPr>
            </w:pPr>
          </w:p>
        </w:tc>
        <w:tc>
          <w:tcPr>
            <w:tcW w:w="900" w:type="dxa"/>
            <w:vAlign w:val="bottom"/>
            <w:tcBorders>
              <w:bottom w:val="single" w:sz="8" w:color="214E93"/>
            </w:tcBorders>
          </w:tcPr>
          <w:p>
            <w:pPr>
              <w:jc w:val="right"/>
              <w:spacing w:after="0"/>
              <w:rPr>
                <w:sz w:val="20"/>
                <w:szCs w:val="20"/>
                <w:color w:val="auto"/>
              </w:rPr>
            </w:pPr>
            <w:r>
              <w:rPr>
                <w:rFonts w:ascii="Verdana" w:cs="Verdana" w:eastAsia="Verdana" w:hAnsi="Verdana"/>
                <w:sz w:val="14"/>
                <w:szCs w:val="14"/>
                <w:color w:val="auto"/>
                <w:w w:val="98"/>
              </w:rPr>
              <w:t>South Texas</w:t>
            </w:r>
          </w:p>
        </w:tc>
        <w:tc>
          <w:tcPr>
            <w:tcW w:w="180" w:type="dxa"/>
            <w:vAlign w:val="bottom"/>
            <w:tcBorders>
              <w:bottom w:val="single" w:sz="8" w:color="214E93"/>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214E93"/>
            </w:tcBorders>
          </w:tcPr>
          <w:p>
            <w:pPr>
              <w:spacing w:after="0"/>
              <w:rPr>
                <w:sz w:val="16"/>
                <w:szCs w:val="16"/>
                <w:color w:val="auto"/>
              </w:rPr>
            </w:pPr>
          </w:p>
        </w:tc>
        <w:tc>
          <w:tcPr>
            <w:tcW w:w="1780" w:type="dxa"/>
            <w:vAlign w:val="bottom"/>
            <w:tcBorders>
              <w:bottom w:val="single" w:sz="8" w:color="214E93"/>
            </w:tcBorders>
            <w:gridSpan w:val="4"/>
          </w:tcPr>
          <w:p>
            <w:pPr>
              <w:jc w:val="right"/>
              <w:ind w:right="81"/>
              <w:spacing w:after="0"/>
              <w:rPr>
                <w:sz w:val="20"/>
                <w:szCs w:val="20"/>
                <w:color w:val="auto"/>
              </w:rPr>
            </w:pPr>
            <w:r>
              <w:rPr>
                <w:rFonts w:ascii="Verdana" w:cs="Verdana" w:eastAsia="Verdana" w:hAnsi="Verdana"/>
                <w:sz w:val="14"/>
                <w:szCs w:val="14"/>
                <w:color w:val="auto"/>
              </w:rPr>
              <w:t>Northwest Louisiana</w:t>
            </w:r>
          </w:p>
        </w:tc>
        <w:tc>
          <w:tcPr>
            <w:tcW w:w="220" w:type="dxa"/>
            <w:vAlign w:val="bottom"/>
            <w:tcBorders>
              <w:bottom w:val="single" w:sz="8" w:color="214E93"/>
            </w:tcBorders>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1"/>
        </w:trPr>
        <w:tc>
          <w:tcPr>
            <w:tcW w:w="3600" w:type="dxa"/>
            <w:vAlign w:val="bottom"/>
            <w:tcBorders>
              <w:bottom w:val="single" w:sz="8" w:color="214E93"/>
            </w:tcBorders>
          </w:tcPr>
          <w:p>
            <w:pPr>
              <w:spacing w:after="0"/>
              <w:rPr>
                <w:sz w:val="20"/>
                <w:szCs w:val="20"/>
                <w:color w:val="auto"/>
              </w:rPr>
            </w:pPr>
          </w:p>
        </w:tc>
        <w:tc>
          <w:tcPr>
            <w:tcW w:w="1260" w:type="dxa"/>
            <w:vAlign w:val="bottom"/>
            <w:tcBorders>
              <w:bottom w:val="single" w:sz="8" w:color="214E93"/>
            </w:tcBorders>
            <w:gridSpan w:val="3"/>
          </w:tcPr>
          <w:p>
            <w:pPr>
              <w:jc w:val="center"/>
              <w:spacing w:after="0"/>
              <w:rPr>
                <w:sz w:val="20"/>
                <w:szCs w:val="20"/>
                <w:color w:val="auto"/>
              </w:rPr>
            </w:pPr>
            <w:r>
              <w:rPr>
                <w:rFonts w:ascii="Verdana" w:cs="Verdana" w:eastAsia="Verdana" w:hAnsi="Verdana"/>
                <w:sz w:val="14"/>
                <w:szCs w:val="14"/>
                <w:color w:val="auto"/>
                <w:w w:val="97"/>
              </w:rPr>
              <w:t>Delaware Basin</w:t>
            </w:r>
          </w:p>
        </w:tc>
        <w:tc>
          <w:tcPr>
            <w:tcW w:w="60" w:type="dxa"/>
            <w:vAlign w:val="bottom"/>
            <w:tcBorders>
              <w:bottom w:val="single" w:sz="8" w:color="214E93"/>
            </w:tcBorders>
          </w:tcPr>
          <w:p>
            <w:pPr>
              <w:spacing w:after="0"/>
              <w:rPr>
                <w:sz w:val="20"/>
                <w:szCs w:val="20"/>
                <w:color w:val="auto"/>
              </w:rPr>
            </w:pPr>
          </w:p>
        </w:tc>
        <w:tc>
          <w:tcPr>
            <w:tcW w:w="180" w:type="dxa"/>
            <w:vAlign w:val="bottom"/>
            <w:tcBorders>
              <w:bottom w:val="single" w:sz="8" w:color="214E93"/>
            </w:tcBorders>
          </w:tcPr>
          <w:p>
            <w:pPr>
              <w:spacing w:after="0"/>
              <w:rPr>
                <w:sz w:val="20"/>
                <w:szCs w:val="20"/>
                <w:color w:val="auto"/>
              </w:rPr>
            </w:pPr>
          </w:p>
        </w:tc>
        <w:tc>
          <w:tcPr>
            <w:tcW w:w="900" w:type="dxa"/>
            <w:vAlign w:val="bottom"/>
            <w:tcBorders>
              <w:bottom w:val="single" w:sz="8" w:color="214E93"/>
            </w:tcBorders>
          </w:tcPr>
          <w:p>
            <w:pPr>
              <w:jc w:val="right"/>
              <w:spacing w:after="0"/>
              <w:rPr>
                <w:sz w:val="20"/>
                <w:szCs w:val="20"/>
                <w:color w:val="auto"/>
              </w:rPr>
            </w:pPr>
            <w:r>
              <w:rPr>
                <w:rFonts w:ascii="Verdana" w:cs="Verdana" w:eastAsia="Verdana" w:hAnsi="Verdana"/>
                <w:sz w:val="14"/>
                <w:szCs w:val="14"/>
                <w:color w:val="auto"/>
                <w:w w:val="93"/>
              </w:rPr>
              <w:t>Eagle Ford</w:t>
            </w:r>
            <w:r>
              <w:rPr>
                <w:rFonts w:ascii="Verdana" w:cs="Verdana" w:eastAsia="Verdana" w:hAnsi="Verdana"/>
                <w:sz w:val="17"/>
                <w:szCs w:val="17"/>
                <w:color w:val="auto"/>
                <w:w w:val="93"/>
                <w:vertAlign w:val="superscript"/>
              </w:rPr>
              <w:t>(1)</w:t>
            </w:r>
          </w:p>
        </w:tc>
        <w:tc>
          <w:tcPr>
            <w:tcW w:w="180" w:type="dxa"/>
            <w:vAlign w:val="bottom"/>
            <w:tcBorders>
              <w:bottom w:val="single" w:sz="8" w:color="214E93"/>
            </w:tcBorders>
          </w:tcPr>
          <w:p>
            <w:pPr>
              <w:spacing w:after="0"/>
              <w:rPr>
                <w:sz w:val="20"/>
                <w:szCs w:val="20"/>
                <w:color w:val="auto"/>
              </w:rPr>
            </w:pPr>
          </w:p>
        </w:tc>
        <w:tc>
          <w:tcPr>
            <w:tcW w:w="80" w:type="dxa"/>
            <w:vAlign w:val="bottom"/>
            <w:tcBorders>
              <w:bottom w:val="single" w:sz="8" w:color="214E93"/>
            </w:tcBorders>
          </w:tcPr>
          <w:p>
            <w:pPr>
              <w:spacing w:after="0"/>
              <w:rPr>
                <w:sz w:val="20"/>
                <w:szCs w:val="20"/>
                <w:color w:val="auto"/>
              </w:rPr>
            </w:pPr>
          </w:p>
        </w:tc>
        <w:tc>
          <w:tcPr>
            <w:tcW w:w="1000" w:type="dxa"/>
            <w:vAlign w:val="bottom"/>
            <w:tcBorders>
              <w:bottom w:val="single" w:sz="8" w:color="214E93"/>
            </w:tcBorders>
            <w:gridSpan w:val="3"/>
          </w:tcPr>
          <w:p>
            <w:pPr>
              <w:jc w:val="right"/>
              <w:ind w:right="61"/>
              <w:spacing w:after="0"/>
              <w:rPr>
                <w:sz w:val="20"/>
                <w:szCs w:val="20"/>
                <w:color w:val="auto"/>
              </w:rPr>
            </w:pPr>
            <w:r>
              <w:rPr>
                <w:rFonts w:ascii="Verdana" w:cs="Verdana" w:eastAsia="Verdana" w:hAnsi="Verdana"/>
                <w:sz w:val="14"/>
                <w:szCs w:val="14"/>
                <w:color w:val="auto"/>
              </w:rPr>
              <w:t>Haynesville</w:t>
            </w:r>
          </w:p>
        </w:tc>
        <w:tc>
          <w:tcPr>
            <w:tcW w:w="1180" w:type="dxa"/>
            <w:vAlign w:val="bottom"/>
            <w:tcBorders>
              <w:bottom w:val="single" w:sz="8" w:color="214E93"/>
            </w:tcBorders>
            <w:gridSpan w:val="3"/>
          </w:tcPr>
          <w:p>
            <w:pPr>
              <w:ind w:left="60"/>
              <w:spacing w:after="0"/>
              <w:rPr>
                <w:sz w:val="20"/>
                <w:szCs w:val="20"/>
                <w:color w:val="auto"/>
              </w:rPr>
            </w:pPr>
            <w:r>
              <w:rPr>
                <w:rFonts w:ascii="Verdana" w:cs="Verdana" w:eastAsia="Verdana" w:hAnsi="Verdana"/>
                <w:sz w:val="14"/>
                <w:szCs w:val="14"/>
                <w:color w:val="auto"/>
                <w:w w:val="98"/>
              </w:rPr>
              <w:t>Cotton Valley</w:t>
            </w:r>
            <w:r>
              <w:rPr>
                <w:rFonts w:ascii="Verdana" w:cs="Verdana" w:eastAsia="Verdana" w:hAnsi="Verdana"/>
                <w:sz w:val="17"/>
                <w:szCs w:val="17"/>
                <w:color w:val="auto"/>
                <w:w w:val="98"/>
                <w:vertAlign w:val="superscript"/>
              </w:rPr>
              <w:t>(2)</w:t>
            </w:r>
          </w:p>
        </w:tc>
        <w:tc>
          <w:tcPr>
            <w:tcW w:w="260" w:type="dxa"/>
            <w:vAlign w:val="bottom"/>
            <w:tcBorders>
              <w:bottom w:val="single" w:sz="8" w:color="214E93"/>
            </w:tcBorders>
          </w:tcPr>
          <w:p>
            <w:pPr>
              <w:spacing w:after="0"/>
              <w:rPr>
                <w:sz w:val="20"/>
                <w:szCs w:val="20"/>
                <w:color w:val="auto"/>
              </w:rPr>
            </w:pPr>
          </w:p>
        </w:tc>
        <w:tc>
          <w:tcPr>
            <w:tcW w:w="640" w:type="dxa"/>
            <w:vAlign w:val="bottom"/>
            <w:tcBorders>
              <w:bottom w:val="single" w:sz="8" w:color="214E93"/>
            </w:tcBorders>
          </w:tcPr>
          <w:p>
            <w:pPr>
              <w:jc w:val="right"/>
              <w:ind w:right="42"/>
              <w:spacing w:after="0"/>
              <w:rPr>
                <w:sz w:val="20"/>
                <w:szCs w:val="20"/>
                <w:color w:val="auto"/>
              </w:rPr>
            </w:pPr>
            <w:r>
              <w:rPr>
                <w:rFonts w:ascii="Verdana" w:cs="Verdana" w:eastAsia="Verdana" w:hAnsi="Verdana"/>
                <w:sz w:val="14"/>
                <w:szCs w:val="14"/>
                <w:color w:val="auto"/>
              </w:rPr>
              <w:t>Total</w:t>
            </w:r>
          </w:p>
        </w:tc>
        <w:tc>
          <w:tcPr>
            <w:tcW w:w="220" w:type="dxa"/>
            <w:vAlign w:val="bottom"/>
            <w:tcBorders>
              <w:bottom w:val="single" w:sz="8" w:color="214E93"/>
            </w:tcBorders>
          </w:tcPr>
          <w:p>
            <w:pPr>
              <w:spacing w:after="0"/>
              <w:rPr>
                <w:sz w:val="20"/>
                <w:szCs w:val="20"/>
                <w:color w:val="auto"/>
              </w:rPr>
            </w:pPr>
          </w:p>
        </w:tc>
      </w:tr>
      <w:tr>
        <w:trPr>
          <w:trHeight w:val="214"/>
        </w:trPr>
        <w:tc>
          <w:tcPr>
            <w:tcW w:w="3600" w:type="dxa"/>
            <w:vAlign w:val="bottom"/>
          </w:tcPr>
          <w:p>
            <w:pPr>
              <w:ind w:left="40"/>
              <w:spacing w:after="0" w:line="214" w:lineRule="exact"/>
              <w:rPr>
                <w:sz w:val="20"/>
                <w:szCs w:val="20"/>
                <w:color w:val="auto"/>
              </w:rPr>
            </w:pPr>
            <w:r>
              <w:rPr>
                <w:rFonts w:ascii="Calibri" w:cs="Calibri" w:eastAsia="Calibri" w:hAnsi="Calibri"/>
                <w:sz w:val="19"/>
                <w:szCs w:val="19"/>
                <w:b w:val="1"/>
                <w:bCs w:val="1"/>
                <w:color w:val="214E93"/>
              </w:rPr>
              <w:t>Annual Net Production Volumes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62"/>
        </w:trPr>
        <w:tc>
          <w:tcPr>
            <w:tcW w:w="3600" w:type="dxa"/>
            <w:vAlign w:val="bottom"/>
          </w:tcPr>
          <w:p>
            <w:pPr>
              <w:ind w:left="40"/>
              <w:spacing w:after="0"/>
              <w:rPr>
                <w:sz w:val="20"/>
                <w:szCs w:val="20"/>
                <w:color w:val="auto"/>
              </w:rPr>
            </w:pPr>
            <w:r>
              <w:rPr>
                <w:rFonts w:ascii="Verdana" w:cs="Verdana" w:eastAsia="Verdana" w:hAnsi="Verdana"/>
                <w:sz w:val="16"/>
                <w:szCs w:val="16"/>
                <w:color w:val="auto"/>
              </w:rPr>
              <w:t>Oil (MBbl)</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Verdana" w:cs="Verdana" w:eastAsia="Verdana" w:hAnsi="Verdana"/>
                <w:sz w:val="16"/>
                <w:szCs w:val="16"/>
                <w:color w:val="131313"/>
              </w:rPr>
              <w:t>27,264</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3"/>
              <w:spacing w:after="0"/>
              <w:rPr>
                <w:sz w:val="20"/>
                <w:szCs w:val="20"/>
                <w:color w:val="auto"/>
              </w:rPr>
            </w:pPr>
            <w:r>
              <w:rPr>
                <w:rFonts w:ascii="Verdana" w:cs="Verdana" w:eastAsia="Verdana" w:hAnsi="Verdana"/>
                <w:sz w:val="16"/>
                <w:szCs w:val="16"/>
                <w:color w:val="131313"/>
              </w:rPr>
              <w:t>276</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Verdana" w:cs="Verdana" w:eastAsia="Verdana" w:hAnsi="Verdana"/>
                <w:sz w:val="16"/>
                <w:szCs w:val="16"/>
                <w:color w:val="131313"/>
              </w:rPr>
              <w:t>—</w:t>
            </w: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Verdana" w:cs="Verdana" w:eastAsia="Verdana" w:hAnsi="Verdana"/>
                <w:sz w:val="16"/>
                <w:szCs w:val="16"/>
                <w:color w:val="131313"/>
              </w:rPr>
              <w:t>2</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Verdana" w:cs="Verdana" w:eastAsia="Verdana" w:hAnsi="Verdana"/>
                <w:sz w:val="16"/>
                <w:szCs w:val="16"/>
                <w:color w:val="131313"/>
              </w:rPr>
              <w:t>27,542</w:t>
            </w:r>
          </w:p>
        </w:tc>
        <w:tc>
          <w:tcPr>
            <w:tcW w:w="220" w:type="dxa"/>
            <w:vAlign w:val="bottom"/>
          </w:tcPr>
          <w:p>
            <w:pPr>
              <w:spacing w:after="0"/>
              <w:rPr>
                <w:sz w:val="22"/>
                <w:szCs w:val="22"/>
                <w:color w:val="auto"/>
              </w:rPr>
            </w:pPr>
          </w:p>
        </w:tc>
      </w:tr>
      <w:tr>
        <w:trPr>
          <w:trHeight w:val="257"/>
        </w:trPr>
        <w:tc>
          <w:tcPr>
            <w:tcW w:w="3600" w:type="dxa"/>
            <w:vAlign w:val="bottom"/>
            <w:tcBorders>
              <w:bottom w:val="single" w:sz="8" w:color="214E93"/>
            </w:tcBorders>
          </w:tcPr>
          <w:p>
            <w:pPr>
              <w:ind w:left="40"/>
              <w:spacing w:after="0"/>
              <w:rPr>
                <w:sz w:val="20"/>
                <w:szCs w:val="20"/>
                <w:color w:val="auto"/>
              </w:rPr>
            </w:pPr>
            <w:r>
              <w:rPr>
                <w:rFonts w:ascii="Verdana" w:cs="Verdana" w:eastAsia="Verdana" w:hAnsi="Verdana"/>
                <w:sz w:val="16"/>
                <w:szCs w:val="16"/>
                <w:color w:val="auto"/>
              </w:rPr>
              <w:t>Natural gas (Bcf)</w:t>
            </w:r>
          </w:p>
        </w:tc>
        <w:tc>
          <w:tcPr>
            <w:tcW w:w="180" w:type="dxa"/>
            <w:vAlign w:val="bottom"/>
            <w:tcBorders>
              <w:bottom w:val="single" w:sz="8" w:color="214E93"/>
            </w:tcBorders>
          </w:tcPr>
          <w:p>
            <w:pPr>
              <w:spacing w:after="0"/>
              <w:rPr>
                <w:sz w:val="22"/>
                <w:szCs w:val="22"/>
                <w:color w:val="auto"/>
              </w:rPr>
            </w:pPr>
          </w:p>
        </w:tc>
        <w:tc>
          <w:tcPr>
            <w:tcW w:w="86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131313"/>
              </w:rPr>
              <w:t>113.9</w:t>
            </w:r>
          </w:p>
        </w:tc>
        <w:tc>
          <w:tcPr>
            <w:tcW w:w="220" w:type="dxa"/>
            <w:vAlign w:val="bottom"/>
            <w:tcBorders>
              <w:bottom w:val="single" w:sz="8" w:color="214E93"/>
            </w:tcBorders>
          </w:tcPr>
          <w:p>
            <w:pPr>
              <w:spacing w:after="0"/>
              <w:rPr>
                <w:sz w:val="22"/>
                <w:szCs w:val="22"/>
                <w:color w:val="auto"/>
              </w:rPr>
            </w:pPr>
          </w:p>
        </w:tc>
        <w:tc>
          <w:tcPr>
            <w:tcW w:w="60" w:type="dxa"/>
            <w:vAlign w:val="bottom"/>
            <w:tcBorders>
              <w:bottom w:val="single" w:sz="8" w:color="214E93"/>
            </w:tcBorders>
          </w:tcPr>
          <w:p>
            <w:pPr>
              <w:spacing w:after="0"/>
              <w:rPr>
                <w:sz w:val="22"/>
                <w:szCs w:val="22"/>
                <w:color w:val="auto"/>
              </w:rPr>
            </w:pPr>
          </w:p>
        </w:tc>
        <w:tc>
          <w:tcPr>
            <w:tcW w:w="180" w:type="dxa"/>
            <w:vAlign w:val="bottom"/>
            <w:tcBorders>
              <w:bottom w:val="single" w:sz="8" w:color="214E93"/>
            </w:tcBorders>
          </w:tcPr>
          <w:p>
            <w:pPr>
              <w:spacing w:after="0"/>
              <w:rPr>
                <w:sz w:val="22"/>
                <w:szCs w:val="22"/>
                <w:color w:val="auto"/>
              </w:rPr>
            </w:pPr>
          </w:p>
        </w:tc>
        <w:tc>
          <w:tcPr>
            <w:tcW w:w="900" w:type="dxa"/>
            <w:vAlign w:val="bottom"/>
            <w:tcBorders>
              <w:bottom w:val="single" w:sz="8" w:color="214E93"/>
            </w:tcBorders>
          </w:tcPr>
          <w:p>
            <w:pPr>
              <w:jc w:val="right"/>
              <w:ind w:right="3"/>
              <w:spacing w:after="0"/>
              <w:rPr>
                <w:sz w:val="20"/>
                <w:szCs w:val="20"/>
                <w:color w:val="auto"/>
              </w:rPr>
            </w:pPr>
            <w:r>
              <w:rPr>
                <w:rFonts w:ascii="Verdana" w:cs="Verdana" w:eastAsia="Verdana" w:hAnsi="Verdana"/>
                <w:sz w:val="16"/>
                <w:szCs w:val="16"/>
                <w:color w:val="131313"/>
              </w:rPr>
              <w:t>0.7</w:t>
            </w:r>
          </w:p>
        </w:tc>
        <w:tc>
          <w:tcPr>
            <w:tcW w:w="180" w:type="dxa"/>
            <w:vAlign w:val="bottom"/>
            <w:tcBorders>
              <w:bottom w:val="single" w:sz="8" w:color="214E93"/>
            </w:tcBorders>
          </w:tcPr>
          <w:p>
            <w:pPr>
              <w:spacing w:after="0"/>
              <w:rPr>
                <w:sz w:val="22"/>
                <w:szCs w:val="22"/>
                <w:color w:val="auto"/>
              </w:rPr>
            </w:pPr>
          </w:p>
        </w:tc>
        <w:tc>
          <w:tcPr>
            <w:tcW w:w="80" w:type="dxa"/>
            <w:vAlign w:val="bottom"/>
            <w:tcBorders>
              <w:bottom w:val="single" w:sz="8" w:color="214E93"/>
            </w:tcBorders>
          </w:tcPr>
          <w:p>
            <w:pPr>
              <w:spacing w:after="0"/>
              <w:rPr>
                <w:sz w:val="22"/>
                <w:szCs w:val="22"/>
                <w:color w:val="auto"/>
              </w:rPr>
            </w:pPr>
          </w:p>
        </w:tc>
        <w:tc>
          <w:tcPr>
            <w:tcW w:w="180" w:type="dxa"/>
            <w:vAlign w:val="bottom"/>
            <w:tcBorders>
              <w:bottom w:val="single" w:sz="8" w:color="214E93"/>
            </w:tcBorders>
          </w:tcPr>
          <w:p>
            <w:pPr>
              <w:spacing w:after="0"/>
              <w:rPr>
                <w:sz w:val="22"/>
                <w:szCs w:val="22"/>
                <w:color w:val="auto"/>
              </w:rPr>
            </w:pPr>
          </w:p>
        </w:tc>
        <w:tc>
          <w:tcPr>
            <w:tcW w:w="54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131313"/>
              </w:rPr>
              <w:t>8.2</w:t>
            </w:r>
          </w:p>
        </w:tc>
        <w:tc>
          <w:tcPr>
            <w:tcW w:w="280" w:type="dxa"/>
            <w:vAlign w:val="bottom"/>
            <w:tcBorders>
              <w:bottom w:val="single" w:sz="8" w:color="214E93"/>
            </w:tcBorders>
          </w:tcPr>
          <w:p>
            <w:pPr>
              <w:spacing w:after="0"/>
              <w:rPr>
                <w:sz w:val="22"/>
                <w:szCs w:val="22"/>
                <w:color w:val="auto"/>
              </w:rPr>
            </w:pPr>
          </w:p>
        </w:tc>
        <w:tc>
          <w:tcPr>
            <w:tcW w:w="320" w:type="dxa"/>
            <w:vAlign w:val="bottom"/>
            <w:tcBorders>
              <w:bottom w:val="single" w:sz="8" w:color="214E93"/>
            </w:tcBorders>
          </w:tcPr>
          <w:p>
            <w:pPr>
              <w:spacing w:after="0"/>
              <w:rPr>
                <w:sz w:val="22"/>
                <w:szCs w:val="22"/>
                <w:color w:val="auto"/>
              </w:rPr>
            </w:pPr>
          </w:p>
        </w:tc>
        <w:tc>
          <w:tcPr>
            <w:tcW w:w="64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131313"/>
              </w:rPr>
              <w:t>0.6</w:t>
            </w:r>
          </w:p>
        </w:tc>
        <w:tc>
          <w:tcPr>
            <w:tcW w:w="220" w:type="dxa"/>
            <w:vAlign w:val="bottom"/>
            <w:tcBorders>
              <w:bottom w:val="single" w:sz="8" w:color="214E93"/>
            </w:tcBorders>
          </w:tcPr>
          <w:p>
            <w:pPr>
              <w:spacing w:after="0"/>
              <w:rPr>
                <w:sz w:val="22"/>
                <w:szCs w:val="22"/>
                <w:color w:val="auto"/>
              </w:rPr>
            </w:pPr>
          </w:p>
        </w:tc>
        <w:tc>
          <w:tcPr>
            <w:tcW w:w="260" w:type="dxa"/>
            <w:vAlign w:val="bottom"/>
            <w:tcBorders>
              <w:bottom w:val="single" w:sz="8" w:color="214E93"/>
            </w:tcBorders>
          </w:tcPr>
          <w:p>
            <w:pPr>
              <w:spacing w:after="0"/>
              <w:rPr>
                <w:sz w:val="22"/>
                <w:szCs w:val="22"/>
                <w:color w:val="auto"/>
              </w:rPr>
            </w:pPr>
          </w:p>
        </w:tc>
        <w:tc>
          <w:tcPr>
            <w:tcW w:w="64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131313"/>
              </w:rPr>
              <w:t>123.4</w:t>
            </w:r>
          </w:p>
        </w:tc>
        <w:tc>
          <w:tcPr>
            <w:tcW w:w="220" w:type="dxa"/>
            <w:vAlign w:val="bottom"/>
            <w:tcBorders>
              <w:bottom w:val="single" w:sz="8" w:color="214E93"/>
            </w:tcBorders>
          </w:tcPr>
          <w:p>
            <w:pPr>
              <w:spacing w:after="0"/>
              <w:rPr>
                <w:sz w:val="22"/>
                <w:szCs w:val="22"/>
                <w:color w:val="auto"/>
              </w:rPr>
            </w:pPr>
          </w:p>
        </w:tc>
      </w:tr>
      <w:tr>
        <w:trPr>
          <w:trHeight w:val="264"/>
        </w:trPr>
        <w:tc>
          <w:tcPr>
            <w:tcW w:w="3600" w:type="dxa"/>
            <w:vAlign w:val="bottom"/>
          </w:tcPr>
          <w:p>
            <w:pPr>
              <w:ind w:left="40"/>
              <w:spacing w:after="0"/>
              <w:rPr>
                <w:sz w:val="20"/>
                <w:szCs w:val="20"/>
                <w:color w:val="auto"/>
              </w:rPr>
            </w:pPr>
            <w:r>
              <w:rPr>
                <w:rFonts w:ascii="Verdana" w:cs="Verdana" w:eastAsia="Verdana" w:hAnsi="Verdana"/>
                <w:sz w:val="16"/>
                <w:szCs w:val="16"/>
                <w:color w:val="auto"/>
              </w:rPr>
              <w:t>Total oil equivalent (MBOE)</w:t>
            </w:r>
            <w:r>
              <w:rPr>
                <w:rFonts w:ascii="Verdana" w:cs="Verdana" w:eastAsia="Verdana" w:hAnsi="Verdana"/>
                <w:sz w:val="20"/>
                <w:szCs w:val="20"/>
                <w:color w:val="auto"/>
                <w:vertAlign w:val="superscript"/>
              </w:rPr>
              <w:t>(3)</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Verdana" w:cs="Verdana" w:eastAsia="Verdana" w:hAnsi="Verdana"/>
                <w:sz w:val="16"/>
                <w:szCs w:val="16"/>
                <w:color w:val="131313"/>
              </w:rPr>
              <w:t>46,253</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3"/>
              <w:spacing w:after="0"/>
              <w:rPr>
                <w:sz w:val="20"/>
                <w:szCs w:val="20"/>
                <w:color w:val="auto"/>
              </w:rPr>
            </w:pPr>
            <w:r>
              <w:rPr>
                <w:rFonts w:ascii="Verdana" w:cs="Verdana" w:eastAsia="Verdana" w:hAnsi="Verdana"/>
                <w:sz w:val="16"/>
                <w:szCs w:val="16"/>
                <w:color w:val="131313"/>
              </w:rPr>
              <w:t>390</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Verdana" w:cs="Verdana" w:eastAsia="Verdana" w:hAnsi="Verdana"/>
                <w:sz w:val="16"/>
                <w:szCs w:val="16"/>
                <w:color w:val="131313"/>
              </w:rPr>
              <w:t>1,373</w:t>
            </w: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Verdana" w:cs="Verdana" w:eastAsia="Verdana" w:hAnsi="Verdana"/>
                <w:sz w:val="16"/>
                <w:szCs w:val="16"/>
                <w:color w:val="131313"/>
              </w:rPr>
              <w:t>96</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Verdana" w:cs="Verdana" w:eastAsia="Verdana" w:hAnsi="Verdana"/>
                <w:sz w:val="16"/>
                <w:szCs w:val="16"/>
                <w:color w:val="131313"/>
              </w:rPr>
              <w:t>48,112</w:t>
            </w:r>
          </w:p>
        </w:tc>
        <w:tc>
          <w:tcPr>
            <w:tcW w:w="220" w:type="dxa"/>
            <w:vAlign w:val="bottom"/>
          </w:tcPr>
          <w:p>
            <w:pPr>
              <w:spacing w:after="0"/>
              <w:rPr>
                <w:sz w:val="22"/>
                <w:szCs w:val="22"/>
                <w:color w:val="auto"/>
              </w:rPr>
            </w:pPr>
          </w:p>
        </w:tc>
      </w:tr>
      <w:tr>
        <w:trPr>
          <w:trHeight w:val="211"/>
        </w:trPr>
        <w:tc>
          <w:tcPr>
            <w:tcW w:w="3600" w:type="dxa"/>
            <w:vAlign w:val="bottom"/>
          </w:tcPr>
          <w:p>
            <w:pPr>
              <w:ind w:left="40"/>
              <w:spacing w:after="0"/>
              <w:rPr>
                <w:sz w:val="20"/>
                <w:szCs w:val="20"/>
                <w:color w:val="auto"/>
              </w:rPr>
            </w:pPr>
            <w:r>
              <w:rPr>
                <w:rFonts w:ascii="Verdana" w:cs="Verdana" w:eastAsia="Verdana" w:hAnsi="Verdana"/>
                <w:sz w:val="16"/>
                <w:szCs w:val="16"/>
                <w:color w:val="auto"/>
              </w:rPr>
              <w:t>Percentage of total annual net production</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Verdana" w:cs="Verdana" w:eastAsia="Verdana" w:hAnsi="Verdana"/>
                <w:sz w:val="16"/>
                <w:szCs w:val="16"/>
                <w:color w:val="131313"/>
              </w:rPr>
              <w:t>96.1</w:t>
            </w:r>
          </w:p>
        </w:tc>
        <w:tc>
          <w:tcPr>
            <w:tcW w:w="220" w:type="dxa"/>
            <w:vAlign w:val="bottom"/>
          </w:tcPr>
          <w:p>
            <w:pPr>
              <w:jc w:val="right"/>
              <w:spacing w:after="0"/>
              <w:rPr>
                <w:sz w:val="20"/>
                <w:szCs w:val="20"/>
                <w:color w:val="auto"/>
              </w:rPr>
            </w:pPr>
            <w:r>
              <w:rPr>
                <w:rFonts w:ascii="Verdana" w:cs="Verdana" w:eastAsia="Verdana" w:hAnsi="Verdana"/>
                <w:sz w:val="16"/>
                <w:szCs w:val="16"/>
                <w:color w:val="131313"/>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Verdana" w:cs="Verdana" w:eastAsia="Verdana" w:hAnsi="Verdana"/>
                <w:sz w:val="16"/>
                <w:szCs w:val="16"/>
                <w:color w:val="131313"/>
              </w:rPr>
              <w:t>0.8</w:t>
            </w:r>
          </w:p>
        </w:tc>
        <w:tc>
          <w:tcPr>
            <w:tcW w:w="180" w:type="dxa"/>
            <w:vAlign w:val="bottom"/>
          </w:tcPr>
          <w:p>
            <w:pPr>
              <w:jc w:val="right"/>
              <w:spacing w:after="0"/>
              <w:rPr>
                <w:sz w:val="20"/>
                <w:szCs w:val="20"/>
                <w:color w:val="auto"/>
              </w:rPr>
            </w:pPr>
            <w:r>
              <w:rPr>
                <w:rFonts w:ascii="Verdana" w:cs="Verdana" w:eastAsia="Verdana" w:hAnsi="Verdana"/>
                <w:sz w:val="16"/>
                <w:szCs w:val="16"/>
                <w:color w:val="131313"/>
                <w:w w:val="80"/>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Verdana" w:cs="Verdana" w:eastAsia="Verdana" w:hAnsi="Verdana"/>
                <w:sz w:val="16"/>
                <w:szCs w:val="16"/>
                <w:color w:val="131313"/>
              </w:rPr>
              <w:t>2.9</w:t>
            </w:r>
          </w:p>
        </w:tc>
        <w:tc>
          <w:tcPr>
            <w:tcW w:w="280" w:type="dxa"/>
            <w:vAlign w:val="bottom"/>
          </w:tcPr>
          <w:p>
            <w:pPr>
              <w:jc w:val="right"/>
              <w:ind w:right="1"/>
              <w:spacing w:after="0"/>
              <w:rPr>
                <w:sz w:val="20"/>
                <w:szCs w:val="20"/>
                <w:color w:val="auto"/>
              </w:rPr>
            </w:pPr>
            <w:r>
              <w:rPr>
                <w:rFonts w:ascii="Verdana" w:cs="Verdana" w:eastAsia="Verdana" w:hAnsi="Verdana"/>
                <w:sz w:val="16"/>
                <w:szCs w:val="16"/>
                <w:color w:val="131313"/>
              </w:rPr>
              <w:t>%</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Verdana" w:cs="Verdana" w:eastAsia="Verdana" w:hAnsi="Verdana"/>
                <w:sz w:val="16"/>
                <w:szCs w:val="16"/>
                <w:color w:val="131313"/>
              </w:rPr>
              <w:t>0.2</w:t>
            </w:r>
          </w:p>
        </w:tc>
        <w:tc>
          <w:tcPr>
            <w:tcW w:w="220" w:type="dxa"/>
            <w:vAlign w:val="bottom"/>
          </w:tcPr>
          <w:p>
            <w:pPr>
              <w:jc w:val="right"/>
              <w:spacing w:after="0"/>
              <w:rPr>
                <w:sz w:val="20"/>
                <w:szCs w:val="20"/>
                <w:color w:val="auto"/>
              </w:rPr>
            </w:pPr>
            <w:r>
              <w:rPr>
                <w:rFonts w:ascii="Verdana" w:cs="Verdana" w:eastAsia="Verdana" w:hAnsi="Verdana"/>
                <w:sz w:val="16"/>
                <w:szCs w:val="16"/>
                <w:color w:val="131313"/>
              </w:rPr>
              <w:t>%</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Verdana" w:cs="Verdana" w:eastAsia="Verdana" w:hAnsi="Verdana"/>
                <w:sz w:val="16"/>
                <w:szCs w:val="16"/>
                <w:color w:val="131313"/>
              </w:rPr>
              <w:t>100.0</w:t>
            </w:r>
          </w:p>
        </w:tc>
        <w:tc>
          <w:tcPr>
            <w:tcW w:w="220" w:type="dxa"/>
            <w:vAlign w:val="bottom"/>
          </w:tcPr>
          <w:p>
            <w:pPr>
              <w:jc w:val="right"/>
              <w:spacing w:after="0"/>
              <w:rPr>
                <w:sz w:val="20"/>
                <w:szCs w:val="20"/>
                <w:color w:val="auto"/>
              </w:rPr>
            </w:pPr>
            <w:r>
              <w:rPr>
                <w:rFonts w:ascii="Verdana" w:cs="Verdana" w:eastAsia="Verdana" w:hAnsi="Verdana"/>
                <w:sz w:val="16"/>
                <w:szCs w:val="16"/>
                <w:color w:val="131313"/>
              </w:rPr>
              <w:t>%</w:t>
            </w:r>
          </w:p>
        </w:tc>
      </w:tr>
      <w:tr>
        <w:trPr>
          <w:trHeight w:val="227"/>
        </w:trPr>
        <w:tc>
          <w:tcPr>
            <w:tcW w:w="3600" w:type="dxa"/>
            <w:vAlign w:val="bottom"/>
          </w:tcPr>
          <w:p>
            <w:pPr>
              <w:ind w:left="40"/>
              <w:spacing w:after="0" w:line="227" w:lineRule="exact"/>
              <w:rPr>
                <w:sz w:val="20"/>
                <w:szCs w:val="20"/>
                <w:color w:val="auto"/>
              </w:rPr>
            </w:pPr>
            <w:r>
              <w:rPr>
                <w:rFonts w:ascii="Calibri" w:cs="Calibri" w:eastAsia="Calibri" w:hAnsi="Calibri"/>
                <w:sz w:val="19"/>
                <w:szCs w:val="19"/>
                <w:b w:val="1"/>
                <w:bCs w:val="1"/>
                <w:color w:val="214E93"/>
              </w:rPr>
              <w:t>Average Net Daily Production Volumes</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75"/>
        </w:trPr>
        <w:tc>
          <w:tcPr>
            <w:tcW w:w="3600" w:type="dxa"/>
            <w:vAlign w:val="bottom"/>
          </w:tcPr>
          <w:p>
            <w:pPr>
              <w:ind w:left="40"/>
              <w:spacing w:after="0"/>
              <w:rPr>
                <w:sz w:val="20"/>
                <w:szCs w:val="20"/>
                <w:color w:val="auto"/>
              </w:rPr>
            </w:pPr>
            <w:r>
              <w:rPr>
                <w:rFonts w:ascii="Verdana" w:cs="Verdana" w:eastAsia="Verdana" w:hAnsi="Verdana"/>
                <w:sz w:val="16"/>
                <w:szCs w:val="16"/>
                <w:color w:val="auto"/>
              </w:rPr>
              <w:t>Oil (Bbl/d)</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Verdana" w:cs="Verdana" w:eastAsia="Verdana" w:hAnsi="Verdana"/>
                <w:sz w:val="16"/>
                <w:szCs w:val="16"/>
                <w:color w:val="131313"/>
              </w:rPr>
              <w:t>74,697</w:t>
            </w: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ind w:right="3"/>
              <w:spacing w:after="0"/>
              <w:rPr>
                <w:sz w:val="20"/>
                <w:szCs w:val="20"/>
                <w:color w:val="auto"/>
              </w:rPr>
            </w:pPr>
            <w:r>
              <w:rPr>
                <w:rFonts w:ascii="Verdana" w:cs="Verdana" w:eastAsia="Verdana" w:hAnsi="Verdana"/>
                <w:sz w:val="16"/>
                <w:szCs w:val="16"/>
                <w:color w:val="131313"/>
              </w:rPr>
              <w:t>755</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Verdana" w:cs="Verdana" w:eastAsia="Verdana" w:hAnsi="Verdana"/>
                <w:sz w:val="16"/>
                <w:szCs w:val="16"/>
                <w:color w:val="131313"/>
              </w:rPr>
              <w:t>—</w:t>
            </w: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Verdana" w:cs="Verdana" w:eastAsia="Verdana" w:hAnsi="Verdana"/>
                <w:sz w:val="16"/>
                <w:szCs w:val="16"/>
                <w:color w:val="131313"/>
              </w:rPr>
              <w:t>5</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Verdana" w:cs="Verdana" w:eastAsia="Verdana" w:hAnsi="Verdana"/>
                <w:sz w:val="16"/>
                <w:szCs w:val="16"/>
                <w:color w:val="131313"/>
              </w:rPr>
              <w:t>75,457</w:t>
            </w:r>
          </w:p>
        </w:tc>
        <w:tc>
          <w:tcPr>
            <w:tcW w:w="220" w:type="dxa"/>
            <w:vAlign w:val="bottom"/>
          </w:tcPr>
          <w:p>
            <w:pPr>
              <w:spacing w:after="0"/>
              <w:rPr>
                <w:sz w:val="23"/>
                <w:szCs w:val="23"/>
                <w:color w:val="auto"/>
              </w:rPr>
            </w:pPr>
          </w:p>
        </w:tc>
      </w:tr>
      <w:tr>
        <w:trPr>
          <w:trHeight w:val="257"/>
        </w:trPr>
        <w:tc>
          <w:tcPr>
            <w:tcW w:w="3600" w:type="dxa"/>
            <w:vAlign w:val="bottom"/>
            <w:tcBorders>
              <w:bottom w:val="single" w:sz="8" w:color="214E93"/>
            </w:tcBorders>
          </w:tcPr>
          <w:p>
            <w:pPr>
              <w:ind w:left="40"/>
              <w:spacing w:after="0"/>
              <w:rPr>
                <w:sz w:val="20"/>
                <w:szCs w:val="20"/>
                <w:color w:val="auto"/>
              </w:rPr>
            </w:pPr>
            <w:r>
              <w:rPr>
                <w:rFonts w:ascii="Verdana" w:cs="Verdana" w:eastAsia="Verdana" w:hAnsi="Verdana"/>
                <w:sz w:val="16"/>
                <w:szCs w:val="16"/>
                <w:color w:val="auto"/>
              </w:rPr>
              <w:t>Natural gas (MMcf/d)</w:t>
            </w:r>
          </w:p>
        </w:tc>
        <w:tc>
          <w:tcPr>
            <w:tcW w:w="180" w:type="dxa"/>
            <w:vAlign w:val="bottom"/>
            <w:tcBorders>
              <w:bottom w:val="single" w:sz="8" w:color="214E93"/>
            </w:tcBorders>
          </w:tcPr>
          <w:p>
            <w:pPr>
              <w:spacing w:after="0"/>
              <w:rPr>
                <w:sz w:val="22"/>
                <w:szCs w:val="22"/>
                <w:color w:val="auto"/>
              </w:rPr>
            </w:pPr>
          </w:p>
        </w:tc>
        <w:tc>
          <w:tcPr>
            <w:tcW w:w="86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131313"/>
              </w:rPr>
              <w:t>312.1</w:t>
            </w:r>
          </w:p>
        </w:tc>
        <w:tc>
          <w:tcPr>
            <w:tcW w:w="220" w:type="dxa"/>
            <w:vAlign w:val="bottom"/>
            <w:tcBorders>
              <w:bottom w:val="single" w:sz="8" w:color="214E93"/>
            </w:tcBorders>
          </w:tcPr>
          <w:p>
            <w:pPr>
              <w:spacing w:after="0"/>
              <w:rPr>
                <w:sz w:val="22"/>
                <w:szCs w:val="22"/>
                <w:color w:val="auto"/>
              </w:rPr>
            </w:pPr>
          </w:p>
        </w:tc>
        <w:tc>
          <w:tcPr>
            <w:tcW w:w="60" w:type="dxa"/>
            <w:vAlign w:val="bottom"/>
            <w:tcBorders>
              <w:bottom w:val="single" w:sz="8" w:color="214E93"/>
            </w:tcBorders>
          </w:tcPr>
          <w:p>
            <w:pPr>
              <w:spacing w:after="0"/>
              <w:rPr>
                <w:sz w:val="22"/>
                <w:szCs w:val="22"/>
                <w:color w:val="auto"/>
              </w:rPr>
            </w:pPr>
          </w:p>
        </w:tc>
        <w:tc>
          <w:tcPr>
            <w:tcW w:w="180" w:type="dxa"/>
            <w:vAlign w:val="bottom"/>
            <w:tcBorders>
              <w:bottom w:val="single" w:sz="8" w:color="214E93"/>
            </w:tcBorders>
          </w:tcPr>
          <w:p>
            <w:pPr>
              <w:spacing w:after="0"/>
              <w:rPr>
                <w:sz w:val="22"/>
                <w:szCs w:val="22"/>
                <w:color w:val="auto"/>
              </w:rPr>
            </w:pPr>
          </w:p>
        </w:tc>
        <w:tc>
          <w:tcPr>
            <w:tcW w:w="900" w:type="dxa"/>
            <w:vAlign w:val="bottom"/>
            <w:tcBorders>
              <w:bottom w:val="single" w:sz="8" w:color="214E93"/>
            </w:tcBorders>
          </w:tcPr>
          <w:p>
            <w:pPr>
              <w:jc w:val="right"/>
              <w:ind w:right="3"/>
              <w:spacing w:after="0"/>
              <w:rPr>
                <w:sz w:val="20"/>
                <w:szCs w:val="20"/>
                <w:color w:val="auto"/>
              </w:rPr>
            </w:pPr>
            <w:r>
              <w:rPr>
                <w:rFonts w:ascii="Verdana" w:cs="Verdana" w:eastAsia="Verdana" w:hAnsi="Verdana"/>
                <w:sz w:val="16"/>
                <w:szCs w:val="16"/>
                <w:color w:val="131313"/>
              </w:rPr>
              <w:t>1.9</w:t>
            </w:r>
          </w:p>
        </w:tc>
        <w:tc>
          <w:tcPr>
            <w:tcW w:w="180" w:type="dxa"/>
            <w:vAlign w:val="bottom"/>
            <w:tcBorders>
              <w:bottom w:val="single" w:sz="8" w:color="214E93"/>
            </w:tcBorders>
          </w:tcPr>
          <w:p>
            <w:pPr>
              <w:spacing w:after="0"/>
              <w:rPr>
                <w:sz w:val="22"/>
                <w:szCs w:val="22"/>
                <w:color w:val="auto"/>
              </w:rPr>
            </w:pPr>
          </w:p>
        </w:tc>
        <w:tc>
          <w:tcPr>
            <w:tcW w:w="80" w:type="dxa"/>
            <w:vAlign w:val="bottom"/>
            <w:tcBorders>
              <w:bottom w:val="single" w:sz="8" w:color="214E93"/>
            </w:tcBorders>
          </w:tcPr>
          <w:p>
            <w:pPr>
              <w:spacing w:after="0"/>
              <w:rPr>
                <w:sz w:val="22"/>
                <w:szCs w:val="22"/>
                <w:color w:val="auto"/>
              </w:rPr>
            </w:pPr>
          </w:p>
        </w:tc>
        <w:tc>
          <w:tcPr>
            <w:tcW w:w="180" w:type="dxa"/>
            <w:vAlign w:val="bottom"/>
            <w:tcBorders>
              <w:bottom w:val="single" w:sz="8" w:color="214E93"/>
            </w:tcBorders>
          </w:tcPr>
          <w:p>
            <w:pPr>
              <w:spacing w:after="0"/>
              <w:rPr>
                <w:sz w:val="22"/>
                <w:szCs w:val="22"/>
                <w:color w:val="auto"/>
              </w:rPr>
            </w:pPr>
          </w:p>
        </w:tc>
        <w:tc>
          <w:tcPr>
            <w:tcW w:w="54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131313"/>
              </w:rPr>
              <w:t>22.6</w:t>
            </w:r>
          </w:p>
        </w:tc>
        <w:tc>
          <w:tcPr>
            <w:tcW w:w="280" w:type="dxa"/>
            <w:vAlign w:val="bottom"/>
            <w:tcBorders>
              <w:bottom w:val="single" w:sz="8" w:color="214E93"/>
            </w:tcBorders>
          </w:tcPr>
          <w:p>
            <w:pPr>
              <w:spacing w:after="0"/>
              <w:rPr>
                <w:sz w:val="22"/>
                <w:szCs w:val="22"/>
                <w:color w:val="auto"/>
              </w:rPr>
            </w:pPr>
          </w:p>
        </w:tc>
        <w:tc>
          <w:tcPr>
            <w:tcW w:w="320" w:type="dxa"/>
            <w:vAlign w:val="bottom"/>
            <w:tcBorders>
              <w:bottom w:val="single" w:sz="8" w:color="214E93"/>
            </w:tcBorders>
          </w:tcPr>
          <w:p>
            <w:pPr>
              <w:spacing w:after="0"/>
              <w:rPr>
                <w:sz w:val="22"/>
                <w:szCs w:val="22"/>
                <w:color w:val="auto"/>
              </w:rPr>
            </w:pPr>
          </w:p>
        </w:tc>
        <w:tc>
          <w:tcPr>
            <w:tcW w:w="64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131313"/>
              </w:rPr>
              <w:t>1.5</w:t>
            </w:r>
          </w:p>
        </w:tc>
        <w:tc>
          <w:tcPr>
            <w:tcW w:w="220" w:type="dxa"/>
            <w:vAlign w:val="bottom"/>
            <w:tcBorders>
              <w:bottom w:val="single" w:sz="8" w:color="214E93"/>
            </w:tcBorders>
          </w:tcPr>
          <w:p>
            <w:pPr>
              <w:spacing w:after="0"/>
              <w:rPr>
                <w:sz w:val="22"/>
                <w:szCs w:val="22"/>
                <w:color w:val="auto"/>
              </w:rPr>
            </w:pPr>
          </w:p>
        </w:tc>
        <w:tc>
          <w:tcPr>
            <w:tcW w:w="260" w:type="dxa"/>
            <w:vAlign w:val="bottom"/>
            <w:tcBorders>
              <w:bottom w:val="single" w:sz="8" w:color="214E93"/>
            </w:tcBorders>
          </w:tcPr>
          <w:p>
            <w:pPr>
              <w:spacing w:after="0"/>
              <w:rPr>
                <w:sz w:val="22"/>
                <w:szCs w:val="22"/>
                <w:color w:val="auto"/>
              </w:rPr>
            </w:pPr>
          </w:p>
        </w:tc>
        <w:tc>
          <w:tcPr>
            <w:tcW w:w="64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131313"/>
              </w:rPr>
              <w:t>338.1</w:t>
            </w:r>
          </w:p>
        </w:tc>
        <w:tc>
          <w:tcPr>
            <w:tcW w:w="220" w:type="dxa"/>
            <w:vAlign w:val="bottom"/>
            <w:tcBorders>
              <w:bottom w:val="single" w:sz="8" w:color="214E93"/>
            </w:tcBorders>
          </w:tcPr>
          <w:p>
            <w:pPr>
              <w:spacing w:after="0"/>
              <w:rPr>
                <w:sz w:val="22"/>
                <w:szCs w:val="22"/>
                <w:color w:val="auto"/>
              </w:rPr>
            </w:pPr>
          </w:p>
        </w:tc>
      </w:tr>
      <w:tr>
        <w:trPr>
          <w:trHeight w:val="225"/>
        </w:trPr>
        <w:tc>
          <w:tcPr>
            <w:tcW w:w="3600" w:type="dxa"/>
            <w:vAlign w:val="bottom"/>
          </w:tcPr>
          <w:p>
            <w:pPr>
              <w:ind w:left="40"/>
              <w:spacing w:after="0"/>
              <w:rPr>
                <w:sz w:val="20"/>
                <w:szCs w:val="20"/>
                <w:color w:val="auto"/>
              </w:rPr>
            </w:pPr>
            <w:r>
              <w:rPr>
                <w:rFonts w:ascii="Verdana" w:cs="Verdana" w:eastAsia="Verdana" w:hAnsi="Verdana"/>
                <w:sz w:val="16"/>
                <w:szCs w:val="16"/>
                <w:color w:val="auto"/>
              </w:rPr>
              <w:t>Total oil equivalent (BOE/d)</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Verdana" w:cs="Verdana" w:eastAsia="Verdana" w:hAnsi="Verdana"/>
                <w:sz w:val="16"/>
                <w:szCs w:val="16"/>
                <w:color w:val="131313"/>
              </w:rPr>
              <w:t>126,720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3"/>
              <w:spacing w:after="0"/>
              <w:rPr>
                <w:sz w:val="20"/>
                <w:szCs w:val="20"/>
                <w:color w:val="auto"/>
              </w:rPr>
            </w:pPr>
            <w:r>
              <w:rPr>
                <w:rFonts w:ascii="Verdana" w:cs="Verdana" w:eastAsia="Verdana" w:hAnsi="Verdana"/>
                <w:sz w:val="16"/>
                <w:szCs w:val="16"/>
                <w:color w:val="131313"/>
              </w:rPr>
              <w:t>1,068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Verdana" w:cs="Verdana" w:eastAsia="Verdana" w:hAnsi="Verdana"/>
                <w:sz w:val="16"/>
                <w:szCs w:val="16"/>
                <w:color w:val="131313"/>
              </w:rPr>
              <w:t>3,761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Verdana" w:cs="Verdana" w:eastAsia="Verdana" w:hAnsi="Verdana"/>
                <w:sz w:val="16"/>
                <w:szCs w:val="16"/>
                <w:color w:val="131313"/>
              </w:rPr>
              <w:t>264</w:t>
            </w: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Verdana" w:cs="Verdana" w:eastAsia="Verdana" w:hAnsi="Verdana"/>
                <w:sz w:val="16"/>
                <w:szCs w:val="16"/>
                <w:color w:val="131313"/>
              </w:rPr>
              <w:t>131,813</w:t>
            </w:r>
          </w:p>
        </w:tc>
        <w:tc>
          <w:tcPr>
            <w:tcW w:w="220" w:type="dxa"/>
            <w:vAlign w:val="bottom"/>
          </w:tcPr>
          <w:p>
            <w:pPr>
              <w:spacing w:after="0"/>
              <w:rPr>
                <w:sz w:val="19"/>
                <w:szCs w:val="19"/>
                <w:color w:val="auto"/>
              </w:rPr>
            </w:pPr>
          </w:p>
        </w:tc>
      </w:tr>
      <w:tr>
        <w:trPr>
          <w:trHeight w:val="290"/>
        </w:trPr>
        <w:tc>
          <w:tcPr>
            <w:tcW w:w="3600" w:type="dxa"/>
            <w:vAlign w:val="bottom"/>
          </w:tcPr>
          <w:p>
            <w:pPr>
              <w:ind w:left="40"/>
              <w:spacing w:after="0" w:line="290" w:lineRule="exact"/>
              <w:rPr>
                <w:sz w:val="20"/>
                <w:szCs w:val="20"/>
                <w:color w:val="auto"/>
              </w:rPr>
            </w:pPr>
            <w:r>
              <w:rPr>
                <w:rFonts w:ascii="Calibri" w:cs="Calibri" w:eastAsia="Calibri" w:hAnsi="Calibri"/>
                <w:sz w:val="19"/>
                <w:szCs w:val="19"/>
                <w:b w:val="1"/>
                <w:bCs w:val="1"/>
                <w:color w:val="214E93"/>
              </w:rPr>
              <w:t>Average Sales Prices</w:t>
            </w:r>
            <w:r>
              <w:rPr>
                <w:rFonts w:ascii="Calibri" w:cs="Calibri" w:eastAsia="Calibri" w:hAnsi="Calibri"/>
                <w:sz w:val="24"/>
                <w:szCs w:val="24"/>
                <w:b w:val="1"/>
                <w:bCs w:val="1"/>
                <w:color w:val="214E93"/>
                <w:vertAlign w:val="superscript"/>
              </w:rPr>
              <w:t>(4)</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1"/>
        </w:trPr>
        <w:tc>
          <w:tcPr>
            <w:tcW w:w="3600" w:type="dxa"/>
            <w:vAlign w:val="bottom"/>
          </w:tcPr>
          <w:p>
            <w:pPr>
              <w:ind w:left="40"/>
              <w:spacing w:after="0"/>
              <w:rPr>
                <w:sz w:val="20"/>
                <w:szCs w:val="20"/>
                <w:color w:val="auto"/>
              </w:rPr>
            </w:pPr>
            <w:r>
              <w:rPr>
                <w:rFonts w:ascii="Verdana" w:cs="Verdana" w:eastAsia="Verdana" w:hAnsi="Verdana"/>
                <w:sz w:val="16"/>
                <w:szCs w:val="16"/>
                <w:color w:val="auto"/>
              </w:rPr>
              <w:t>Oil (per Bbl)</w:t>
            </w:r>
          </w:p>
        </w:tc>
        <w:tc>
          <w:tcPr>
            <w:tcW w:w="180" w:type="dxa"/>
            <w:vAlign w:val="bottom"/>
          </w:tcPr>
          <w:p>
            <w:pPr>
              <w:jc w:val="right"/>
              <w:spacing w:after="0"/>
              <w:rPr>
                <w:sz w:val="20"/>
                <w:szCs w:val="20"/>
                <w:color w:val="auto"/>
              </w:rPr>
            </w:pPr>
            <w:r>
              <w:rPr>
                <w:rFonts w:ascii="Verdana" w:cs="Verdana" w:eastAsia="Verdana" w:hAnsi="Verdana"/>
                <w:sz w:val="16"/>
                <w:szCs w:val="16"/>
                <w:color w:val="131313"/>
              </w:rPr>
              <w:t>$</w:t>
            </w:r>
          </w:p>
        </w:tc>
        <w:tc>
          <w:tcPr>
            <w:tcW w:w="860" w:type="dxa"/>
            <w:vAlign w:val="bottom"/>
          </w:tcPr>
          <w:p>
            <w:pPr>
              <w:jc w:val="right"/>
              <w:spacing w:after="0"/>
              <w:rPr>
                <w:sz w:val="20"/>
                <w:szCs w:val="20"/>
                <w:color w:val="auto"/>
              </w:rPr>
            </w:pPr>
            <w:r>
              <w:rPr>
                <w:rFonts w:ascii="Verdana" w:cs="Verdana" w:eastAsia="Verdana" w:hAnsi="Verdana"/>
                <w:sz w:val="16"/>
                <w:szCs w:val="16"/>
                <w:color w:val="131313"/>
              </w:rPr>
              <w:t>77.9</w:t>
            </w:r>
          </w:p>
        </w:tc>
        <w:tc>
          <w:tcPr>
            <w:tcW w:w="22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Verdana" w:cs="Verdana" w:eastAsia="Verdana" w:hAnsi="Verdana"/>
                <w:sz w:val="16"/>
                <w:szCs w:val="16"/>
                <w:color w:val="131313"/>
              </w:rPr>
              <w:t>$</w:t>
            </w:r>
          </w:p>
        </w:tc>
        <w:tc>
          <w:tcPr>
            <w:tcW w:w="900" w:type="dxa"/>
            <w:vAlign w:val="bottom"/>
          </w:tcPr>
          <w:p>
            <w:pPr>
              <w:jc w:val="right"/>
              <w:ind w:right="3"/>
              <w:spacing w:after="0"/>
              <w:rPr>
                <w:sz w:val="20"/>
                <w:szCs w:val="20"/>
                <w:color w:val="auto"/>
              </w:rPr>
            </w:pPr>
            <w:r>
              <w:rPr>
                <w:rFonts w:ascii="Verdana" w:cs="Verdana" w:eastAsia="Verdana" w:hAnsi="Verdana"/>
                <w:sz w:val="16"/>
                <w:szCs w:val="16"/>
                <w:color w:val="131313"/>
              </w:rPr>
              <w:t>76.1</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Verdana" w:cs="Verdana" w:eastAsia="Verdana" w:hAnsi="Verdana"/>
                <w:sz w:val="16"/>
                <w:szCs w:val="16"/>
                <w:color w:val="131313"/>
              </w:rPr>
              <w:t>$</w:t>
            </w:r>
          </w:p>
        </w:tc>
        <w:tc>
          <w:tcPr>
            <w:tcW w:w="540" w:type="dxa"/>
            <w:vAlign w:val="bottom"/>
          </w:tcPr>
          <w:p>
            <w:pPr>
              <w:jc w:val="right"/>
              <w:spacing w:after="0"/>
              <w:rPr>
                <w:sz w:val="20"/>
                <w:szCs w:val="20"/>
                <w:color w:val="auto"/>
              </w:rPr>
            </w:pPr>
            <w:r>
              <w:rPr>
                <w:rFonts w:ascii="Verdana" w:cs="Verdana" w:eastAsia="Verdana" w:hAnsi="Verdana"/>
                <w:sz w:val="16"/>
                <w:szCs w:val="16"/>
                <w:color w:val="131313"/>
              </w:rPr>
              <w:t>—</w:t>
            </w:r>
          </w:p>
        </w:tc>
        <w:tc>
          <w:tcPr>
            <w:tcW w:w="2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Verdana" w:cs="Verdana" w:eastAsia="Verdana" w:hAnsi="Verdana"/>
                <w:sz w:val="16"/>
                <w:szCs w:val="16"/>
                <w:color w:val="131313"/>
              </w:rPr>
              <w:t>$</w:t>
            </w:r>
          </w:p>
        </w:tc>
        <w:tc>
          <w:tcPr>
            <w:tcW w:w="640" w:type="dxa"/>
            <w:vAlign w:val="bottom"/>
          </w:tcPr>
          <w:p>
            <w:pPr>
              <w:jc w:val="right"/>
              <w:spacing w:after="0"/>
              <w:rPr>
                <w:sz w:val="20"/>
                <w:szCs w:val="20"/>
                <w:color w:val="auto"/>
              </w:rPr>
            </w:pPr>
            <w:r>
              <w:rPr>
                <w:rFonts w:ascii="Verdana" w:cs="Verdana" w:eastAsia="Verdana" w:hAnsi="Verdana"/>
                <w:sz w:val="16"/>
                <w:szCs w:val="16"/>
                <w:color w:val="131313"/>
              </w:rPr>
              <w:t>74.53</w:t>
            </w: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Verdana" w:cs="Verdana" w:eastAsia="Verdana" w:hAnsi="Verdana"/>
                <w:sz w:val="16"/>
                <w:szCs w:val="16"/>
                <w:color w:val="131313"/>
              </w:rPr>
              <w:t>$</w:t>
            </w:r>
          </w:p>
        </w:tc>
        <w:tc>
          <w:tcPr>
            <w:tcW w:w="640" w:type="dxa"/>
            <w:vAlign w:val="bottom"/>
          </w:tcPr>
          <w:p>
            <w:pPr>
              <w:jc w:val="right"/>
              <w:spacing w:after="0"/>
              <w:rPr>
                <w:sz w:val="20"/>
                <w:szCs w:val="20"/>
                <w:color w:val="auto"/>
              </w:rPr>
            </w:pPr>
            <w:r>
              <w:rPr>
                <w:rFonts w:ascii="Verdana" w:cs="Verdana" w:eastAsia="Verdana" w:hAnsi="Verdana"/>
                <w:sz w:val="16"/>
                <w:szCs w:val="16"/>
                <w:color w:val="131313"/>
              </w:rPr>
              <w:t>77.88</w:t>
            </w:r>
          </w:p>
        </w:tc>
        <w:tc>
          <w:tcPr>
            <w:tcW w:w="220" w:type="dxa"/>
            <w:vAlign w:val="bottom"/>
          </w:tcPr>
          <w:p>
            <w:pPr>
              <w:spacing w:after="0"/>
              <w:rPr>
                <w:sz w:val="18"/>
                <w:szCs w:val="18"/>
                <w:color w:val="auto"/>
              </w:rPr>
            </w:pPr>
          </w:p>
        </w:tc>
      </w:tr>
      <w:tr>
        <w:trPr>
          <w:trHeight w:val="251"/>
        </w:trPr>
        <w:tc>
          <w:tcPr>
            <w:tcW w:w="3600" w:type="dxa"/>
            <w:vAlign w:val="bottom"/>
          </w:tcPr>
          <w:p>
            <w:pPr>
              <w:ind w:left="40"/>
              <w:spacing w:after="0"/>
              <w:rPr>
                <w:sz w:val="20"/>
                <w:szCs w:val="20"/>
                <w:color w:val="auto"/>
              </w:rPr>
            </w:pPr>
            <w:r>
              <w:rPr>
                <w:rFonts w:ascii="Verdana" w:cs="Verdana" w:eastAsia="Verdana" w:hAnsi="Verdana"/>
                <w:sz w:val="16"/>
                <w:szCs w:val="16"/>
                <w:color w:val="auto"/>
              </w:rPr>
              <w:t>Natural gas (per Mcf)</w:t>
            </w:r>
          </w:p>
        </w:tc>
        <w:tc>
          <w:tcPr>
            <w:tcW w:w="180" w:type="dxa"/>
            <w:vAlign w:val="bottom"/>
          </w:tcPr>
          <w:p>
            <w:pPr>
              <w:jc w:val="right"/>
              <w:spacing w:after="0"/>
              <w:rPr>
                <w:sz w:val="20"/>
                <w:szCs w:val="20"/>
                <w:color w:val="auto"/>
              </w:rPr>
            </w:pPr>
            <w:r>
              <w:rPr>
                <w:rFonts w:ascii="Verdana" w:cs="Verdana" w:eastAsia="Verdana" w:hAnsi="Verdana"/>
                <w:sz w:val="16"/>
                <w:szCs w:val="16"/>
                <w:color w:val="131313"/>
              </w:rPr>
              <w:t>$</w:t>
            </w:r>
          </w:p>
        </w:tc>
        <w:tc>
          <w:tcPr>
            <w:tcW w:w="860" w:type="dxa"/>
            <w:vAlign w:val="bottom"/>
          </w:tcPr>
          <w:p>
            <w:pPr>
              <w:jc w:val="right"/>
              <w:spacing w:after="0"/>
              <w:rPr>
                <w:sz w:val="20"/>
                <w:szCs w:val="20"/>
                <w:color w:val="auto"/>
              </w:rPr>
            </w:pPr>
            <w:r>
              <w:rPr>
                <w:rFonts w:ascii="Verdana" w:cs="Verdana" w:eastAsia="Verdana" w:hAnsi="Verdana"/>
                <w:sz w:val="16"/>
                <w:szCs w:val="16"/>
                <w:color w:val="131313"/>
              </w:rPr>
              <w:t>3.32</w:t>
            </w:r>
          </w:p>
        </w:tc>
        <w:tc>
          <w:tcPr>
            <w:tcW w:w="22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Verdana" w:cs="Verdana" w:eastAsia="Verdana" w:hAnsi="Verdana"/>
                <w:sz w:val="16"/>
                <w:szCs w:val="16"/>
                <w:color w:val="131313"/>
              </w:rPr>
              <w:t>$</w:t>
            </w:r>
          </w:p>
        </w:tc>
        <w:tc>
          <w:tcPr>
            <w:tcW w:w="900" w:type="dxa"/>
            <w:vAlign w:val="bottom"/>
          </w:tcPr>
          <w:p>
            <w:pPr>
              <w:jc w:val="right"/>
              <w:ind w:right="3"/>
              <w:spacing w:after="0"/>
              <w:rPr>
                <w:sz w:val="20"/>
                <w:szCs w:val="20"/>
                <w:color w:val="auto"/>
              </w:rPr>
            </w:pPr>
            <w:r>
              <w:rPr>
                <w:rFonts w:ascii="Verdana" w:cs="Verdana" w:eastAsia="Verdana" w:hAnsi="Verdana"/>
                <w:sz w:val="16"/>
                <w:szCs w:val="16"/>
                <w:color w:val="131313"/>
              </w:rPr>
              <w:t>3.54</w:t>
            </w:r>
          </w:p>
        </w:tc>
        <w:tc>
          <w:tcPr>
            <w:tcW w:w="18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Verdana" w:cs="Verdana" w:eastAsia="Verdana" w:hAnsi="Verdana"/>
                <w:sz w:val="16"/>
                <w:szCs w:val="16"/>
                <w:color w:val="131313"/>
              </w:rPr>
              <w:t>$</w:t>
            </w:r>
          </w:p>
        </w:tc>
        <w:tc>
          <w:tcPr>
            <w:tcW w:w="540" w:type="dxa"/>
            <w:vAlign w:val="bottom"/>
          </w:tcPr>
          <w:p>
            <w:pPr>
              <w:jc w:val="right"/>
              <w:spacing w:after="0"/>
              <w:rPr>
                <w:sz w:val="20"/>
                <w:szCs w:val="20"/>
                <w:color w:val="auto"/>
              </w:rPr>
            </w:pPr>
            <w:r>
              <w:rPr>
                <w:rFonts w:ascii="Verdana" w:cs="Verdana" w:eastAsia="Verdana" w:hAnsi="Verdana"/>
                <w:sz w:val="16"/>
                <w:szCs w:val="16"/>
                <w:color w:val="131313"/>
              </w:rPr>
              <w:t>2.23</w:t>
            </w:r>
          </w:p>
        </w:tc>
        <w:tc>
          <w:tcPr>
            <w:tcW w:w="280" w:type="dxa"/>
            <w:vAlign w:val="bottom"/>
          </w:tcPr>
          <w:p>
            <w:pPr>
              <w:spacing w:after="0"/>
              <w:rPr>
                <w:sz w:val="21"/>
                <w:szCs w:val="21"/>
                <w:color w:val="auto"/>
              </w:rPr>
            </w:pPr>
          </w:p>
        </w:tc>
        <w:tc>
          <w:tcPr>
            <w:tcW w:w="320" w:type="dxa"/>
            <w:vAlign w:val="bottom"/>
          </w:tcPr>
          <w:p>
            <w:pPr>
              <w:ind w:left="60"/>
              <w:spacing w:after="0"/>
              <w:rPr>
                <w:sz w:val="20"/>
                <w:szCs w:val="20"/>
                <w:color w:val="auto"/>
              </w:rPr>
            </w:pPr>
            <w:r>
              <w:rPr>
                <w:rFonts w:ascii="Verdana" w:cs="Verdana" w:eastAsia="Verdana" w:hAnsi="Verdana"/>
                <w:sz w:val="16"/>
                <w:szCs w:val="16"/>
                <w:color w:val="131313"/>
              </w:rPr>
              <w:t>$</w:t>
            </w:r>
          </w:p>
        </w:tc>
        <w:tc>
          <w:tcPr>
            <w:tcW w:w="640" w:type="dxa"/>
            <w:vAlign w:val="bottom"/>
          </w:tcPr>
          <w:p>
            <w:pPr>
              <w:jc w:val="right"/>
              <w:spacing w:after="0"/>
              <w:rPr>
                <w:sz w:val="20"/>
                <w:szCs w:val="20"/>
                <w:color w:val="auto"/>
              </w:rPr>
            </w:pPr>
            <w:r>
              <w:rPr>
                <w:rFonts w:ascii="Verdana" w:cs="Verdana" w:eastAsia="Verdana" w:hAnsi="Verdana"/>
                <w:sz w:val="16"/>
                <w:szCs w:val="16"/>
                <w:color w:val="131313"/>
              </w:rPr>
              <w:t>2.09</w:t>
            </w:r>
          </w:p>
        </w:tc>
        <w:tc>
          <w:tcPr>
            <w:tcW w:w="2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Verdana" w:cs="Verdana" w:eastAsia="Verdana" w:hAnsi="Verdana"/>
                <w:sz w:val="16"/>
                <w:szCs w:val="16"/>
                <w:color w:val="131313"/>
              </w:rPr>
              <w:t>$</w:t>
            </w:r>
          </w:p>
        </w:tc>
        <w:tc>
          <w:tcPr>
            <w:tcW w:w="640" w:type="dxa"/>
            <w:vAlign w:val="bottom"/>
          </w:tcPr>
          <w:p>
            <w:pPr>
              <w:jc w:val="right"/>
              <w:spacing w:after="0"/>
              <w:rPr>
                <w:sz w:val="20"/>
                <w:szCs w:val="20"/>
                <w:color w:val="auto"/>
              </w:rPr>
            </w:pPr>
            <w:r>
              <w:rPr>
                <w:rFonts w:ascii="Verdana" w:cs="Verdana" w:eastAsia="Verdana" w:hAnsi="Verdana"/>
                <w:sz w:val="16"/>
                <w:szCs w:val="16"/>
                <w:color w:val="131313"/>
              </w:rPr>
              <w:t>3.25</w:t>
            </w:r>
          </w:p>
        </w:tc>
        <w:tc>
          <w:tcPr>
            <w:tcW w:w="220" w:type="dxa"/>
            <w:vAlign w:val="bottom"/>
          </w:tcPr>
          <w:p>
            <w:pPr>
              <w:spacing w:after="0"/>
              <w:rPr>
                <w:sz w:val="21"/>
                <w:szCs w:val="21"/>
                <w:color w:val="auto"/>
              </w:rPr>
            </w:pPr>
          </w:p>
        </w:tc>
      </w:tr>
      <w:tr>
        <w:trPr>
          <w:trHeight w:val="251"/>
        </w:trPr>
        <w:tc>
          <w:tcPr>
            <w:tcW w:w="3600" w:type="dxa"/>
            <w:vAlign w:val="bottom"/>
          </w:tcPr>
          <w:p>
            <w:pPr>
              <w:ind w:left="40"/>
              <w:spacing w:after="0"/>
              <w:rPr>
                <w:sz w:val="20"/>
                <w:szCs w:val="20"/>
                <w:color w:val="auto"/>
              </w:rPr>
            </w:pPr>
            <w:r>
              <w:rPr>
                <w:rFonts w:ascii="Verdana" w:cs="Verdana" w:eastAsia="Verdana" w:hAnsi="Verdana"/>
                <w:sz w:val="16"/>
                <w:szCs w:val="16"/>
                <w:color w:val="auto"/>
              </w:rPr>
              <w:t>Total oil equivalent (per BOE)</w:t>
            </w:r>
          </w:p>
        </w:tc>
        <w:tc>
          <w:tcPr>
            <w:tcW w:w="180" w:type="dxa"/>
            <w:vAlign w:val="bottom"/>
          </w:tcPr>
          <w:p>
            <w:pPr>
              <w:jc w:val="right"/>
              <w:spacing w:after="0"/>
              <w:rPr>
                <w:sz w:val="20"/>
                <w:szCs w:val="20"/>
                <w:color w:val="auto"/>
              </w:rPr>
            </w:pPr>
            <w:r>
              <w:rPr>
                <w:rFonts w:ascii="Verdana" w:cs="Verdana" w:eastAsia="Verdana" w:hAnsi="Verdana"/>
                <w:sz w:val="16"/>
                <w:szCs w:val="16"/>
                <w:color w:val="131313"/>
              </w:rPr>
              <w:t>$</w:t>
            </w:r>
          </w:p>
        </w:tc>
        <w:tc>
          <w:tcPr>
            <w:tcW w:w="860" w:type="dxa"/>
            <w:vAlign w:val="bottom"/>
          </w:tcPr>
          <w:p>
            <w:pPr>
              <w:jc w:val="right"/>
              <w:spacing w:after="0"/>
              <w:rPr>
                <w:sz w:val="20"/>
                <w:szCs w:val="20"/>
                <w:color w:val="auto"/>
              </w:rPr>
            </w:pPr>
            <w:r>
              <w:rPr>
                <w:rFonts w:ascii="Verdana" w:cs="Verdana" w:eastAsia="Verdana" w:hAnsi="Verdana"/>
                <w:sz w:val="16"/>
                <w:szCs w:val="16"/>
                <w:color w:val="131313"/>
              </w:rPr>
              <w:t>54.10</w:t>
            </w:r>
          </w:p>
        </w:tc>
        <w:tc>
          <w:tcPr>
            <w:tcW w:w="22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Verdana" w:cs="Verdana" w:eastAsia="Verdana" w:hAnsi="Verdana"/>
                <w:sz w:val="16"/>
                <w:szCs w:val="16"/>
                <w:color w:val="131313"/>
              </w:rPr>
              <w:t>$</w:t>
            </w:r>
          </w:p>
        </w:tc>
        <w:tc>
          <w:tcPr>
            <w:tcW w:w="900" w:type="dxa"/>
            <w:vAlign w:val="bottom"/>
          </w:tcPr>
          <w:p>
            <w:pPr>
              <w:jc w:val="right"/>
              <w:ind w:right="3"/>
              <w:spacing w:after="0"/>
              <w:rPr>
                <w:sz w:val="20"/>
                <w:szCs w:val="20"/>
                <w:color w:val="auto"/>
              </w:rPr>
            </w:pPr>
            <w:r>
              <w:rPr>
                <w:rFonts w:ascii="Verdana" w:cs="Verdana" w:eastAsia="Verdana" w:hAnsi="Verdana"/>
                <w:sz w:val="16"/>
                <w:szCs w:val="16"/>
                <w:color w:val="131313"/>
              </w:rPr>
              <w:t>60.01</w:t>
            </w:r>
          </w:p>
        </w:tc>
        <w:tc>
          <w:tcPr>
            <w:tcW w:w="18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Verdana" w:cs="Verdana" w:eastAsia="Verdana" w:hAnsi="Verdana"/>
                <w:sz w:val="16"/>
                <w:szCs w:val="16"/>
                <w:color w:val="131313"/>
              </w:rPr>
              <w:t>$</w:t>
            </w:r>
          </w:p>
        </w:tc>
        <w:tc>
          <w:tcPr>
            <w:tcW w:w="540" w:type="dxa"/>
            <w:vAlign w:val="bottom"/>
          </w:tcPr>
          <w:p>
            <w:pPr>
              <w:jc w:val="right"/>
              <w:spacing w:after="0"/>
              <w:rPr>
                <w:sz w:val="20"/>
                <w:szCs w:val="20"/>
                <w:color w:val="auto"/>
              </w:rPr>
            </w:pPr>
            <w:r>
              <w:rPr>
                <w:rFonts w:ascii="Verdana" w:cs="Verdana" w:eastAsia="Verdana" w:hAnsi="Verdana"/>
                <w:sz w:val="16"/>
                <w:szCs w:val="16"/>
                <w:color w:val="131313"/>
              </w:rPr>
              <w:t>13.39</w:t>
            </w:r>
          </w:p>
        </w:tc>
        <w:tc>
          <w:tcPr>
            <w:tcW w:w="280" w:type="dxa"/>
            <w:vAlign w:val="bottom"/>
          </w:tcPr>
          <w:p>
            <w:pPr>
              <w:spacing w:after="0"/>
              <w:rPr>
                <w:sz w:val="21"/>
                <w:szCs w:val="21"/>
                <w:color w:val="auto"/>
              </w:rPr>
            </w:pPr>
          </w:p>
        </w:tc>
        <w:tc>
          <w:tcPr>
            <w:tcW w:w="320" w:type="dxa"/>
            <w:vAlign w:val="bottom"/>
          </w:tcPr>
          <w:p>
            <w:pPr>
              <w:ind w:left="60"/>
              <w:spacing w:after="0"/>
              <w:rPr>
                <w:sz w:val="20"/>
                <w:szCs w:val="20"/>
                <w:color w:val="auto"/>
              </w:rPr>
            </w:pPr>
            <w:r>
              <w:rPr>
                <w:rFonts w:ascii="Verdana" w:cs="Verdana" w:eastAsia="Verdana" w:hAnsi="Verdana"/>
                <w:sz w:val="16"/>
                <w:szCs w:val="16"/>
                <w:color w:val="131313"/>
              </w:rPr>
              <w:t>$</w:t>
            </w:r>
          </w:p>
        </w:tc>
        <w:tc>
          <w:tcPr>
            <w:tcW w:w="640" w:type="dxa"/>
            <w:vAlign w:val="bottom"/>
          </w:tcPr>
          <w:p>
            <w:pPr>
              <w:jc w:val="right"/>
              <w:spacing w:after="0"/>
              <w:rPr>
                <w:sz w:val="20"/>
                <w:szCs w:val="20"/>
                <w:color w:val="auto"/>
              </w:rPr>
            </w:pPr>
            <w:r>
              <w:rPr>
                <w:rFonts w:ascii="Verdana" w:cs="Verdana" w:eastAsia="Verdana" w:hAnsi="Verdana"/>
                <w:sz w:val="16"/>
                <w:szCs w:val="16"/>
                <w:color w:val="131313"/>
              </w:rPr>
              <w:t>13.61</w:t>
            </w:r>
          </w:p>
        </w:tc>
        <w:tc>
          <w:tcPr>
            <w:tcW w:w="2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Verdana" w:cs="Verdana" w:eastAsia="Verdana" w:hAnsi="Verdana"/>
                <w:sz w:val="16"/>
                <w:szCs w:val="16"/>
                <w:color w:val="131313"/>
              </w:rPr>
              <w:t>$</w:t>
            </w:r>
          </w:p>
        </w:tc>
        <w:tc>
          <w:tcPr>
            <w:tcW w:w="640" w:type="dxa"/>
            <w:vAlign w:val="bottom"/>
          </w:tcPr>
          <w:p>
            <w:pPr>
              <w:jc w:val="right"/>
              <w:spacing w:after="0"/>
              <w:rPr>
                <w:sz w:val="20"/>
                <w:szCs w:val="20"/>
                <w:color w:val="auto"/>
              </w:rPr>
            </w:pPr>
            <w:r>
              <w:rPr>
                <w:rFonts w:ascii="Verdana" w:cs="Verdana" w:eastAsia="Verdana" w:hAnsi="Verdana"/>
                <w:sz w:val="16"/>
                <w:szCs w:val="16"/>
                <w:color w:val="131313"/>
              </w:rPr>
              <w:t>52.91</w:t>
            </w:r>
          </w:p>
        </w:tc>
        <w:tc>
          <w:tcPr>
            <w:tcW w:w="220" w:type="dxa"/>
            <w:vAlign w:val="bottom"/>
          </w:tcPr>
          <w:p>
            <w:pPr>
              <w:spacing w:after="0"/>
              <w:rPr>
                <w:sz w:val="21"/>
                <w:szCs w:val="21"/>
                <w:color w:val="auto"/>
              </w:rPr>
            </w:pPr>
          </w:p>
        </w:tc>
      </w:tr>
      <w:tr>
        <w:trPr>
          <w:trHeight w:val="264"/>
        </w:trPr>
        <w:tc>
          <w:tcPr>
            <w:tcW w:w="3600" w:type="dxa"/>
            <w:vAlign w:val="bottom"/>
          </w:tcPr>
          <w:p>
            <w:pPr>
              <w:ind w:left="40"/>
              <w:spacing w:after="0" w:line="264" w:lineRule="exact"/>
              <w:rPr>
                <w:sz w:val="20"/>
                <w:szCs w:val="20"/>
                <w:color w:val="auto"/>
              </w:rPr>
            </w:pPr>
            <w:r>
              <w:rPr>
                <w:rFonts w:ascii="Calibri" w:cs="Calibri" w:eastAsia="Calibri" w:hAnsi="Calibri"/>
                <w:sz w:val="19"/>
                <w:szCs w:val="19"/>
                <w:b w:val="1"/>
                <w:bCs w:val="1"/>
                <w:color w:val="214E93"/>
              </w:rPr>
              <w:t>Production Costs</w:t>
            </w:r>
            <w:r>
              <w:rPr>
                <w:rFonts w:ascii="Calibri" w:cs="Calibri" w:eastAsia="Calibri" w:hAnsi="Calibri"/>
                <w:sz w:val="24"/>
                <w:szCs w:val="24"/>
                <w:b w:val="1"/>
                <w:bCs w:val="1"/>
                <w:color w:val="214E93"/>
                <w:vertAlign w:val="superscript"/>
              </w:rPr>
              <w:t>(5)</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189"/>
        </w:trPr>
        <w:tc>
          <w:tcPr>
            <w:tcW w:w="3600" w:type="dxa"/>
            <w:vAlign w:val="bottom"/>
          </w:tcPr>
          <w:p>
            <w:pPr>
              <w:ind w:left="40"/>
              <w:spacing w:after="0" w:line="189" w:lineRule="exact"/>
              <w:rPr>
                <w:sz w:val="20"/>
                <w:szCs w:val="20"/>
                <w:color w:val="auto"/>
              </w:rPr>
            </w:pPr>
            <w:r>
              <w:rPr>
                <w:rFonts w:ascii="Verdana" w:cs="Verdana" w:eastAsia="Verdana" w:hAnsi="Verdana"/>
                <w:sz w:val="16"/>
                <w:szCs w:val="16"/>
                <w:color w:val="auto"/>
              </w:rPr>
              <w:t>Lease operating, transportation and</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1"/>
        </w:trPr>
        <w:tc>
          <w:tcPr>
            <w:tcW w:w="3600" w:type="dxa"/>
            <w:vAlign w:val="bottom"/>
          </w:tcPr>
          <w:p>
            <w:pPr>
              <w:ind w:left="40"/>
              <w:spacing w:after="0"/>
              <w:rPr>
                <w:sz w:val="20"/>
                <w:szCs w:val="20"/>
                <w:color w:val="auto"/>
              </w:rPr>
            </w:pPr>
            <w:r>
              <w:rPr>
                <w:rFonts w:ascii="Verdana" w:cs="Verdana" w:eastAsia="Verdana" w:hAnsi="Verdana"/>
                <w:sz w:val="16"/>
                <w:szCs w:val="16"/>
                <w:color w:val="auto"/>
              </w:rPr>
              <w:t>processing (per BOE)</w:t>
            </w:r>
          </w:p>
        </w:tc>
        <w:tc>
          <w:tcPr>
            <w:tcW w:w="180" w:type="dxa"/>
            <w:vAlign w:val="bottom"/>
          </w:tcPr>
          <w:p>
            <w:pPr>
              <w:jc w:val="right"/>
              <w:spacing w:after="0"/>
              <w:rPr>
                <w:sz w:val="20"/>
                <w:szCs w:val="20"/>
                <w:color w:val="auto"/>
              </w:rPr>
            </w:pPr>
            <w:r>
              <w:rPr>
                <w:rFonts w:ascii="Verdana" w:cs="Verdana" w:eastAsia="Verdana" w:hAnsi="Verdana"/>
                <w:sz w:val="16"/>
                <w:szCs w:val="16"/>
                <w:color w:val="131313"/>
              </w:rPr>
              <w:t>$</w:t>
            </w:r>
          </w:p>
        </w:tc>
        <w:tc>
          <w:tcPr>
            <w:tcW w:w="860" w:type="dxa"/>
            <w:vAlign w:val="bottom"/>
          </w:tcPr>
          <w:p>
            <w:pPr>
              <w:jc w:val="right"/>
              <w:spacing w:after="0"/>
              <w:rPr>
                <w:sz w:val="20"/>
                <w:szCs w:val="20"/>
                <w:color w:val="auto"/>
              </w:rPr>
            </w:pPr>
            <w:r>
              <w:rPr>
                <w:rFonts w:ascii="Verdana" w:cs="Verdana" w:eastAsia="Verdana" w:hAnsi="Verdana"/>
                <w:sz w:val="16"/>
                <w:szCs w:val="16"/>
                <w:color w:val="131313"/>
              </w:rPr>
              <w:t>5.88</w:t>
            </w:r>
          </w:p>
        </w:tc>
        <w:tc>
          <w:tcPr>
            <w:tcW w:w="22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Verdana" w:cs="Verdana" w:eastAsia="Verdana" w:hAnsi="Verdana"/>
                <w:sz w:val="16"/>
                <w:szCs w:val="16"/>
                <w:color w:val="131313"/>
              </w:rPr>
              <w:t>$</w:t>
            </w:r>
          </w:p>
        </w:tc>
        <w:tc>
          <w:tcPr>
            <w:tcW w:w="900" w:type="dxa"/>
            <w:vAlign w:val="bottom"/>
          </w:tcPr>
          <w:p>
            <w:pPr>
              <w:jc w:val="right"/>
              <w:ind w:right="3"/>
              <w:spacing w:after="0"/>
              <w:rPr>
                <w:sz w:val="20"/>
                <w:szCs w:val="20"/>
                <w:color w:val="auto"/>
              </w:rPr>
            </w:pPr>
            <w:r>
              <w:rPr>
                <w:rFonts w:ascii="Verdana" w:cs="Verdana" w:eastAsia="Verdana" w:hAnsi="Verdana"/>
                <w:sz w:val="16"/>
                <w:szCs w:val="16"/>
                <w:color w:val="131313"/>
              </w:rPr>
              <w:t>32.56</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Verdana" w:cs="Verdana" w:eastAsia="Verdana" w:hAnsi="Verdana"/>
                <w:sz w:val="16"/>
                <w:szCs w:val="16"/>
                <w:color w:val="131313"/>
              </w:rPr>
              <w:t>$</w:t>
            </w:r>
          </w:p>
        </w:tc>
        <w:tc>
          <w:tcPr>
            <w:tcW w:w="540" w:type="dxa"/>
            <w:vAlign w:val="bottom"/>
          </w:tcPr>
          <w:p>
            <w:pPr>
              <w:jc w:val="right"/>
              <w:spacing w:after="0"/>
              <w:rPr>
                <w:sz w:val="20"/>
                <w:szCs w:val="20"/>
                <w:color w:val="auto"/>
              </w:rPr>
            </w:pPr>
            <w:r>
              <w:rPr>
                <w:rFonts w:ascii="Verdana" w:cs="Verdana" w:eastAsia="Verdana" w:hAnsi="Verdana"/>
                <w:sz w:val="16"/>
                <w:szCs w:val="16"/>
                <w:color w:val="131313"/>
              </w:rPr>
              <w:t>4.56</w:t>
            </w:r>
          </w:p>
        </w:tc>
        <w:tc>
          <w:tcPr>
            <w:tcW w:w="2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Verdana" w:cs="Verdana" w:eastAsia="Verdana" w:hAnsi="Verdana"/>
                <w:sz w:val="16"/>
                <w:szCs w:val="16"/>
                <w:color w:val="131313"/>
              </w:rPr>
              <w:t>$</w:t>
            </w:r>
          </w:p>
        </w:tc>
        <w:tc>
          <w:tcPr>
            <w:tcW w:w="640" w:type="dxa"/>
            <w:vAlign w:val="bottom"/>
          </w:tcPr>
          <w:p>
            <w:pPr>
              <w:jc w:val="right"/>
              <w:spacing w:after="0"/>
              <w:rPr>
                <w:sz w:val="20"/>
                <w:szCs w:val="20"/>
                <w:color w:val="auto"/>
              </w:rPr>
            </w:pPr>
            <w:r>
              <w:rPr>
                <w:rFonts w:ascii="Verdana" w:cs="Verdana" w:eastAsia="Verdana" w:hAnsi="Verdana"/>
                <w:sz w:val="16"/>
                <w:szCs w:val="16"/>
                <w:color w:val="131313"/>
              </w:rPr>
              <w:t>17.53</w:t>
            </w: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Verdana" w:cs="Verdana" w:eastAsia="Verdana" w:hAnsi="Verdana"/>
                <w:sz w:val="16"/>
                <w:szCs w:val="16"/>
                <w:color w:val="131313"/>
              </w:rPr>
              <w:t>$</w:t>
            </w:r>
          </w:p>
        </w:tc>
        <w:tc>
          <w:tcPr>
            <w:tcW w:w="640" w:type="dxa"/>
            <w:vAlign w:val="bottom"/>
          </w:tcPr>
          <w:p>
            <w:pPr>
              <w:jc w:val="right"/>
              <w:spacing w:after="0"/>
              <w:rPr>
                <w:sz w:val="20"/>
                <w:szCs w:val="20"/>
                <w:color w:val="auto"/>
              </w:rPr>
            </w:pPr>
            <w:r>
              <w:rPr>
                <w:rFonts w:ascii="Verdana" w:cs="Verdana" w:eastAsia="Verdana" w:hAnsi="Verdana"/>
                <w:sz w:val="16"/>
                <w:szCs w:val="16"/>
                <w:color w:val="131313"/>
              </w:rPr>
              <w:t>6.08</w:t>
            </w:r>
          </w:p>
        </w:tc>
        <w:tc>
          <w:tcPr>
            <w:tcW w:w="220" w:type="dxa"/>
            <w:vAlign w:val="bottom"/>
          </w:tcPr>
          <w:p>
            <w:pPr>
              <w:spacing w:after="0"/>
              <w:rPr>
                <w:sz w:val="18"/>
                <w:szCs w:val="18"/>
                <w:color w:val="auto"/>
              </w:rPr>
            </w:pPr>
          </w:p>
        </w:tc>
      </w:tr>
    </w:tbl>
    <w:p>
      <w:pPr>
        <w:spacing w:after="0" w:line="20" w:lineRule="exact"/>
        <w:rPr>
          <w:sz w:val="20"/>
          <w:szCs w:val="20"/>
          <w:color w:val="auto"/>
        </w:rPr>
      </w:pPr>
    </w:p>
    <w:p>
      <w:pPr>
        <w:spacing w:after="0" w:line="132" w:lineRule="exact"/>
        <w:rPr>
          <w:sz w:val="20"/>
          <w:szCs w:val="20"/>
          <w:color w:val="auto"/>
        </w:rPr>
      </w:pPr>
    </w:p>
    <w:p>
      <w:pPr>
        <w:ind w:left="1200" w:hanging="350"/>
        <w:spacing w:after="0"/>
        <w:tabs>
          <w:tab w:leader="none" w:pos="1200" w:val="left"/>
        </w:tabs>
        <w:numPr>
          <w:ilvl w:val="0"/>
          <w:numId w:val="26"/>
        </w:numPr>
        <w:rPr>
          <w:rFonts w:ascii="Calibri" w:cs="Calibri" w:eastAsia="Calibri" w:hAnsi="Calibri"/>
          <w:sz w:val="14"/>
          <w:szCs w:val="14"/>
          <w:color w:val="auto"/>
        </w:rPr>
      </w:pPr>
      <w:r>
        <w:rPr>
          <w:rFonts w:ascii="Calibri" w:cs="Calibri" w:eastAsia="Calibri" w:hAnsi="Calibri"/>
          <w:sz w:val="14"/>
          <w:szCs w:val="14"/>
          <w:color w:val="auto"/>
        </w:rPr>
        <w:t>Includes one well producing oil from the Austin Chalk formation in La Salle County, Texas.</w:t>
      </w:r>
    </w:p>
    <w:p>
      <w:pPr>
        <w:spacing w:after="0" w:line="86" w:lineRule="exact"/>
        <w:rPr>
          <w:rFonts w:ascii="Calibri" w:cs="Calibri" w:eastAsia="Calibri" w:hAnsi="Calibri"/>
          <w:sz w:val="14"/>
          <w:szCs w:val="14"/>
          <w:color w:val="auto"/>
        </w:rPr>
      </w:pPr>
    </w:p>
    <w:p>
      <w:pPr>
        <w:ind w:left="1200" w:hanging="350"/>
        <w:spacing w:after="0" w:line="226" w:lineRule="auto"/>
        <w:tabs>
          <w:tab w:leader="none" w:pos="1200" w:val="left"/>
        </w:tabs>
        <w:numPr>
          <w:ilvl w:val="0"/>
          <w:numId w:val="26"/>
        </w:numPr>
        <w:rPr>
          <w:rFonts w:ascii="Calibri" w:cs="Calibri" w:eastAsia="Calibri" w:hAnsi="Calibri"/>
          <w:sz w:val="14"/>
          <w:szCs w:val="14"/>
          <w:color w:val="auto"/>
        </w:rPr>
      </w:pPr>
      <w:r>
        <w:rPr>
          <w:rFonts w:ascii="Calibri" w:cs="Calibri" w:eastAsia="Calibri" w:hAnsi="Calibri"/>
          <w:sz w:val="14"/>
          <w:szCs w:val="14"/>
          <w:color w:val="auto"/>
        </w:rPr>
        <w:t>Includes the Cotton Valley formation and shallower zones and also includes one well producing from the Frio formation in Orange County, Texas that was divested in September 2023.</w:t>
      </w:r>
    </w:p>
    <w:p>
      <w:pPr>
        <w:spacing w:after="0" w:line="87" w:lineRule="exact"/>
        <w:rPr>
          <w:rFonts w:ascii="Calibri" w:cs="Calibri" w:eastAsia="Calibri" w:hAnsi="Calibri"/>
          <w:sz w:val="14"/>
          <w:szCs w:val="14"/>
          <w:color w:val="auto"/>
        </w:rPr>
      </w:pPr>
    </w:p>
    <w:p>
      <w:pPr>
        <w:ind w:left="1200" w:right="140" w:hanging="350"/>
        <w:spacing w:after="0" w:line="226" w:lineRule="auto"/>
        <w:tabs>
          <w:tab w:leader="none" w:pos="1200" w:val="left"/>
        </w:tabs>
        <w:numPr>
          <w:ilvl w:val="0"/>
          <w:numId w:val="26"/>
        </w:numPr>
        <w:rPr>
          <w:rFonts w:ascii="Calibri" w:cs="Calibri" w:eastAsia="Calibri" w:hAnsi="Calibri"/>
          <w:sz w:val="14"/>
          <w:szCs w:val="14"/>
          <w:color w:val="auto"/>
        </w:rPr>
      </w:pPr>
      <w:r>
        <w:rPr>
          <w:rFonts w:ascii="Calibri" w:cs="Calibri" w:eastAsia="Calibri" w:hAnsi="Calibri"/>
          <w:sz w:val="14"/>
          <w:szCs w:val="14"/>
          <w:color w:val="auto"/>
        </w:rPr>
        <w:t>Production volumes reported in two streams: oil and natural gas, including both dry and liquids-rich natural gas. Estimated using a conversion ratio of one Bbl of oil per six Mcf of natural gas.</w:t>
      </w:r>
    </w:p>
    <w:p>
      <w:pPr>
        <w:spacing w:after="0" w:line="73" w:lineRule="exact"/>
        <w:rPr>
          <w:rFonts w:ascii="Calibri" w:cs="Calibri" w:eastAsia="Calibri" w:hAnsi="Calibri"/>
          <w:sz w:val="14"/>
          <w:szCs w:val="14"/>
          <w:color w:val="auto"/>
        </w:rPr>
      </w:pPr>
    </w:p>
    <w:p>
      <w:pPr>
        <w:ind w:left="1200" w:hanging="350"/>
        <w:spacing w:after="0"/>
        <w:tabs>
          <w:tab w:leader="none" w:pos="1200" w:val="left"/>
        </w:tabs>
        <w:numPr>
          <w:ilvl w:val="0"/>
          <w:numId w:val="26"/>
        </w:numPr>
        <w:rPr>
          <w:rFonts w:ascii="Calibri" w:cs="Calibri" w:eastAsia="Calibri" w:hAnsi="Calibri"/>
          <w:sz w:val="14"/>
          <w:szCs w:val="14"/>
          <w:color w:val="auto"/>
        </w:rPr>
      </w:pPr>
      <w:r>
        <w:rPr>
          <w:rFonts w:ascii="Calibri" w:cs="Calibri" w:eastAsia="Calibri" w:hAnsi="Calibri"/>
          <w:sz w:val="14"/>
          <w:szCs w:val="14"/>
          <w:color w:val="auto"/>
        </w:rPr>
        <w:t>Excludes impact of derivative settlements.</w:t>
      </w:r>
    </w:p>
    <w:p>
      <w:pPr>
        <w:spacing w:after="0" w:line="73" w:lineRule="exact"/>
        <w:rPr>
          <w:rFonts w:ascii="Calibri" w:cs="Calibri" w:eastAsia="Calibri" w:hAnsi="Calibri"/>
          <w:sz w:val="14"/>
          <w:szCs w:val="14"/>
          <w:color w:val="auto"/>
        </w:rPr>
      </w:pPr>
    </w:p>
    <w:p>
      <w:pPr>
        <w:ind w:left="1200" w:hanging="350"/>
        <w:spacing w:after="0"/>
        <w:tabs>
          <w:tab w:leader="none" w:pos="1200" w:val="left"/>
        </w:tabs>
        <w:numPr>
          <w:ilvl w:val="0"/>
          <w:numId w:val="26"/>
        </w:numPr>
        <w:rPr>
          <w:rFonts w:ascii="Calibri" w:cs="Calibri" w:eastAsia="Calibri" w:hAnsi="Calibri"/>
          <w:sz w:val="14"/>
          <w:szCs w:val="14"/>
          <w:color w:val="auto"/>
        </w:rPr>
      </w:pPr>
      <w:r>
        <w:rPr>
          <w:rFonts w:ascii="Calibri" w:cs="Calibri" w:eastAsia="Calibri" w:hAnsi="Calibri"/>
          <w:sz w:val="14"/>
          <w:szCs w:val="14"/>
          <w:color w:val="auto"/>
        </w:rPr>
        <w:t>Excludes midstream operating expenses, ad valorem taxes and oil and natural gas production taxes.</w:t>
      </w:r>
    </w:p>
    <w:p>
      <w:pPr>
        <w:spacing w:after="0" w:line="196" w:lineRule="exact"/>
        <w:rPr>
          <w:sz w:val="20"/>
          <w:szCs w:val="20"/>
          <w:color w:val="auto"/>
        </w:rPr>
      </w:pPr>
    </w:p>
    <w:p>
      <w:pPr>
        <w:ind w:left="720" w:right="60" w:firstLine="241"/>
        <w:spacing w:after="0" w:line="268" w:lineRule="auto"/>
        <w:rPr>
          <w:sz w:val="20"/>
          <w:szCs w:val="20"/>
          <w:color w:val="auto"/>
        </w:rPr>
      </w:pPr>
      <w:r>
        <w:rPr>
          <w:rFonts w:ascii="Calibri" w:cs="Calibri" w:eastAsia="Calibri" w:hAnsi="Calibri"/>
          <w:sz w:val="18"/>
          <w:szCs w:val="18"/>
          <w:color w:val="auto"/>
        </w:rPr>
        <w:t>Our total oil equivalent production of approximately 75.6 million BOE for the year ended December 31, 2025 increased 21% from our total oil equivalent production of approximately 62.5 million BOE for the year ended December 31, 2024. This increased production was primarily attributable to our delineation and development operations in the Delaware Basin throughout 2025, which offset our declining production in the Eagle Ford shale that was divested in the first quarter of 2025. Our average daily oil equivalent production for the year ended December 31, 2025 was 207,070 BOE per day, as compared to 170,751 BOE per day for the year ended December 31, 2024. Our average daily oil production for the year ended December 31, 2025 was 119,723 Bbl of oil per day, an increase of 20% from 99,808 Bbl of oil per day for the year ended December 31, 2024. Our average daily natural gas production for the year ended December 31, 2025 was 524.1 MMcf of natural gas per day, an increase of 23% from 425.7 MMcf of natural gas per day for the year ended December 31, 2024.</w:t>
      </w:r>
    </w:p>
    <w:p>
      <w:pPr>
        <w:spacing w:after="0" w:line="219" w:lineRule="exact"/>
        <w:rPr>
          <w:sz w:val="20"/>
          <w:szCs w:val="20"/>
          <w:color w:val="auto"/>
        </w:rPr>
      </w:pPr>
    </w:p>
    <w:p>
      <w:pPr>
        <w:ind w:left="720" w:right="40" w:firstLine="241"/>
        <w:spacing w:after="0" w:line="268" w:lineRule="auto"/>
        <w:rPr>
          <w:sz w:val="20"/>
          <w:szCs w:val="20"/>
          <w:color w:val="auto"/>
        </w:rPr>
      </w:pPr>
      <w:r>
        <w:rPr>
          <w:rFonts w:ascii="Calibri" w:cs="Calibri" w:eastAsia="Calibri" w:hAnsi="Calibri"/>
          <w:sz w:val="18"/>
          <w:szCs w:val="18"/>
          <w:color w:val="auto"/>
        </w:rPr>
        <w:t>Our total oil equivalent production of approximately 62.5 million BOE for the year ended December 31, 2024 increased 30% from our total oil equivalent production of approximately 48.1 million BOE for the year ended December 31, 2023. This increased production was primarily due to the Ameredev Acquisition and to our delineation and development operations in the Delaware Basin throughout 2024, which offset our declining production in the Eagle Ford shale. Our average daily oil equivalent production for the year ended December 31, 2024 was 170,751 BOE per day, as compared to 131,813 BOE per day for the year ended December 31, 2023. Our average daily oil production for the year ended December 31, 2024 was 99,808 Bbl of oil per day, an increase of 32% from 75,457 Bbl of oil per day for the year ended December 31, 2023. Our average daily natural gas production for the year ended December 31, 2024 was 425.7 MMcf of natural gas per day, an increase of 26% from 338.1 MMcf of natural gas per day for the year ended December 31, 2023.</w:t>
      </w:r>
    </w:p>
    <w:p>
      <w:pPr>
        <w:sectPr>
          <w:pgSz w:w="11880" w:h="15480" w:orient="portrait"/>
          <w:cols w:equalWidth="0" w:num="1">
            <w:col w:w="10300"/>
          </w:cols>
          <w:pgMar w:left="440" w:top="498"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300"/>
          </w:cols>
          <w:pgMar w:left="440" w:top="498" w:right="1140" w:bottom="0" w:gutter="0" w:footer="0" w:header="0"/>
          <w:type w:val="continuous"/>
        </w:sectPr>
      </w:pPr>
    </w:p>
    <w:bookmarkStart w:id="32" w:name="page33"/>
    <w:bookmarkEnd w:id="32"/>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19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Verdana" w:cs="Verdana" w:eastAsia="Verdana" w:hAnsi="Verdana"/>
          <w:sz w:val="20"/>
          <w:szCs w:val="20"/>
          <w:color w:val="214E93"/>
        </w:rPr>
        <w:t>PRODUCING WELLS</w:t>
      </w:r>
    </w:p>
    <w:p>
      <w:pPr>
        <w:spacing w:after="0" w:line="209" w:lineRule="exact"/>
        <w:rPr>
          <w:sz w:val="20"/>
          <w:szCs w:val="20"/>
          <w:color w:val="auto"/>
        </w:rPr>
      </w:pPr>
    </w:p>
    <w:p>
      <w:pPr>
        <w:ind w:right="860" w:firstLine="241"/>
        <w:spacing w:after="0" w:line="285" w:lineRule="auto"/>
        <w:rPr>
          <w:sz w:val="20"/>
          <w:szCs w:val="20"/>
          <w:color w:val="auto"/>
        </w:rPr>
      </w:pPr>
      <w:r>
        <w:rPr>
          <w:rFonts w:ascii="Calibri" w:cs="Calibri" w:eastAsia="Calibri" w:hAnsi="Calibri"/>
          <w:sz w:val="17"/>
          <w:szCs w:val="17"/>
          <w:color w:val="auto"/>
        </w:rPr>
        <w:t>The following table sets forth information relating to producing wells at December 31, 2025. Wells are classified as oil wells or natural gas wells according to their predominant production stream. We had an approximate average working interest of 85% in all wells that we operated at December 31, 2025. For wells where we are not the operator, our working interests range from less than 1% to approximately 52% and average approximately 9%. In the table below, gross wells are the total number of producing wells in which we own a working interest and net wells represent the total of our fractional working interests owned in the gross wells.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163"/>
              <w:spacing w:after="0"/>
              <w:rPr>
                <w:sz w:val="20"/>
                <w:szCs w:val="20"/>
                <w:color w:val="auto"/>
              </w:rPr>
            </w:pPr>
            <w:r>
              <w:rPr>
                <w:rFonts w:ascii="Verdana" w:cs="Verdana" w:eastAsia="Verdana" w:hAnsi="Verdana"/>
                <w:sz w:val="14"/>
                <w:szCs w:val="14"/>
                <w:color w:val="auto"/>
              </w:rPr>
              <w:t>Natural Gas</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3"/>
        </w:trPr>
        <w:tc>
          <w:tcPr>
            <w:tcW w:w="4900" w:type="dxa"/>
            <w:vAlign w:val="bottom"/>
          </w:tcPr>
          <w:p>
            <w:pPr>
              <w:spacing w:after="0"/>
              <w:rPr>
                <w:sz w:val="16"/>
                <w:szCs w:val="16"/>
                <w:color w:val="auto"/>
              </w:rPr>
            </w:pPr>
          </w:p>
        </w:tc>
        <w:tc>
          <w:tcPr>
            <w:tcW w:w="1460" w:type="dxa"/>
            <w:vAlign w:val="bottom"/>
            <w:tcBorders>
              <w:bottom w:val="single" w:sz="8" w:color="214E93"/>
            </w:tcBorders>
            <w:gridSpan w:val="2"/>
          </w:tcPr>
          <w:p>
            <w:pPr>
              <w:jc w:val="right"/>
              <w:ind w:right="363"/>
              <w:spacing w:after="0"/>
              <w:rPr>
                <w:sz w:val="20"/>
                <w:szCs w:val="20"/>
                <w:color w:val="auto"/>
              </w:rPr>
            </w:pPr>
            <w:r>
              <w:rPr>
                <w:rFonts w:ascii="Verdana" w:cs="Verdana" w:eastAsia="Verdana" w:hAnsi="Verdana"/>
                <w:sz w:val="14"/>
                <w:szCs w:val="14"/>
                <w:color w:val="auto"/>
              </w:rPr>
              <w:t>Oil Wells</w:t>
            </w:r>
          </w:p>
        </w:tc>
        <w:tc>
          <w:tcPr>
            <w:tcW w:w="80" w:type="dxa"/>
            <w:vAlign w:val="bottom"/>
          </w:tcPr>
          <w:p>
            <w:pPr>
              <w:spacing w:after="0"/>
              <w:rPr>
                <w:sz w:val="16"/>
                <w:szCs w:val="16"/>
                <w:color w:val="auto"/>
              </w:rPr>
            </w:pPr>
          </w:p>
        </w:tc>
        <w:tc>
          <w:tcPr>
            <w:tcW w:w="1300" w:type="dxa"/>
            <w:vAlign w:val="bottom"/>
            <w:tcBorders>
              <w:bottom w:val="single" w:sz="8" w:color="214E93"/>
            </w:tcBorders>
            <w:gridSpan w:val="2"/>
          </w:tcPr>
          <w:p>
            <w:pPr>
              <w:jc w:val="right"/>
              <w:ind w:right="403"/>
              <w:spacing w:after="0"/>
              <w:rPr>
                <w:sz w:val="20"/>
                <w:szCs w:val="20"/>
                <w:color w:val="auto"/>
              </w:rPr>
            </w:pPr>
            <w:r>
              <w:rPr>
                <w:rFonts w:ascii="Verdana" w:cs="Verdana" w:eastAsia="Verdana" w:hAnsi="Verdana"/>
                <w:sz w:val="14"/>
                <w:szCs w:val="14"/>
                <w:color w:val="auto"/>
              </w:rPr>
              <w:t>Wells</w:t>
            </w:r>
          </w:p>
        </w:tc>
        <w:tc>
          <w:tcPr>
            <w:tcW w:w="60" w:type="dxa"/>
            <w:vAlign w:val="bottom"/>
          </w:tcPr>
          <w:p>
            <w:pPr>
              <w:spacing w:after="0"/>
              <w:rPr>
                <w:sz w:val="16"/>
                <w:szCs w:val="16"/>
                <w:color w:val="auto"/>
              </w:rPr>
            </w:pPr>
          </w:p>
        </w:tc>
        <w:tc>
          <w:tcPr>
            <w:tcW w:w="1440" w:type="dxa"/>
            <w:vAlign w:val="bottom"/>
            <w:tcBorders>
              <w:bottom w:val="single" w:sz="8" w:color="214E93"/>
            </w:tcBorders>
            <w:gridSpan w:val="2"/>
          </w:tcPr>
          <w:p>
            <w:pPr>
              <w:jc w:val="right"/>
              <w:ind w:right="263"/>
              <w:spacing w:after="0"/>
              <w:rPr>
                <w:sz w:val="20"/>
                <w:szCs w:val="20"/>
                <w:color w:val="auto"/>
              </w:rPr>
            </w:pPr>
            <w:r>
              <w:rPr>
                <w:rFonts w:ascii="Verdana" w:cs="Verdana" w:eastAsia="Verdana" w:hAnsi="Verdana"/>
                <w:sz w:val="14"/>
                <w:szCs w:val="14"/>
                <w:color w:val="auto"/>
              </w:rPr>
              <w:t>Total Wells</w:t>
            </w:r>
          </w:p>
        </w:tc>
      </w:tr>
      <w:tr>
        <w:trPr>
          <w:trHeight w:val="201"/>
        </w:trPr>
        <w:tc>
          <w:tcPr>
            <w:tcW w:w="4900" w:type="dxa"/>
            <w:vAlign w:val="bottom"/>
            <w:tcBorders>
              <w:bottom w:val="single" w:sz="8" w:color="214E93"/>
            </w:tcBorders>
          </w:tcPr>
          <w:p>
            <w:pPr>
              <w:spacing w:after="0"/>
              <w:rPr>
                <w:sz w:val="17"/>
                <w:szCs w:val="17"/>
                <w:color w:val="auto"/>
              </w:rPr>
            </w:pPr>
          </w:p>
        </w:tc>
        <w:tc>
          <w:tcPr>
            <w:tcW w:w="660" w:type="dxa"/>
            <w:vAlign w:val="bottom"/>
            <w:tcBorders>
              <w:bottom w:val="single" w:sz="8" w:color="214E93"/>
            </w:tcBorders>
          </w:tcPr>
          <w:p>
            <w:pPr>
              <w:jc w:val="right"/>
              <w:ind w:right="64"/>
              <w:spacing w:after="0"/>
              <w:rPr>
                <w:sz w:val="20"/>
                <w:szCs w:val="20"/>
                <w:color w:val="auto"/>
              </w:rPr>
            </w:pPr>
            <w:r>
              <w:rPr>
                <w:rFonts w:ascii="Verdana" w:cs="Verdana" w:eastAsia="Verdana" w:hAnsi="Verdana"/>
                <w:sz w:val="14"/>
                <w:szCs w:val="14"/>
                <w:color w:val="auto"/>
              </w:rPr>
              <w:t>Gross</w:t>
            </w:r>
          </w:p>
        </w:tc>
        <w:tc>
          <w:tcPr>
            <w:tcW w:w="800" w:type="dxa"/>
            <w:vAlign w:val="bottom"/>
            <w:tcBorders>
              <w:bottom w:val="single" w:sz="8" w:color="214E93"/>
            </w:tcBorders>
          </w:tcPr>
          <w:p>
            <w:pPr>
              <w:jc w:val="right"/>
              <w:ind w:right="183"/>
              <w:spacing w:after="0"/>
              <w:rPr>
                <w:sz w:val="20"/>
                <w:szCs w:val="20"/>
                <w:color w:val="auto"/>
              </w:rPr>
            </w:pPr>
            <w:r>
              <w:rPr>
                <w:rFonts w:ascii="Verdana" w:cs="Verdana" w:eastAsia="Verdana" w:hAnsi="Verdana"/>
                <w:sz w:val="14"/>
                <w:szCs w:val="14"/>
                <w:color w:val="auto"/>
              </w:rPr>
              <w:t>Net</w:t>
            </w:r>
          </w:p>
        </w:tc>
        <w:tc>
          <w:tcPr>
            <w:tcW w:w="80" w:type="dxa"/>
            <w:vAlign w:val="bottom"/>
            <w:tcBorders>
              <w:bottom w:val="single" w:sz="8" w:color="214E93"/>
            </w:tcBorders>
          </w:tcPr>
          <w:p>
            <w:pPr>
              <w:spacing w:after="0"/>
              <w:rPr>
                <w:sz w:val="17"/>
                <w:szCs w:val="17"/>
                <w:color w:val="auto"/>
              </w:rPr>
            </w:pPr>
          </w:p>
        </w:tc>
        <w:tc>
          <w:tcPr>
            <w:tcW w:w="620" w:type="dxa"/>
            <w:vAlign w:val="bottom"/>
            <w:tcBorders>
              <w:bottom w:val="single" w:sz="8" w:color="214E93"/>
            </w:tcBorders>
          </w:tcPr>
          <w:p>
            <w:pPr>
              <w:jc w:val="right"/>
              <w:ind w:right="71"/>
              <w:spacing w:after="0"/>
              <w:rPr>
                <w:sz w:val="20"/>
                <w:szCs w:val="20"/>
                <w:color w:val="auto"/>
              </w:rPr>
            </w:pPr>
            <w:r>
              <w:rPr>
                <w:rFonts w:ascii="Verdana" w:cs="Verdana" w:eastAsia="Verdana" w:hAnsi="Verdana"/>
                <w:sz w:val="14"/>
                <w:szCs w:val="14"/>
                <w:color w:val="auto"/>
              </w:rPr>
              <w:t>Gross</w:t>
            </w:r>
          </w:p>
        </w:tc>
        <w:tc>
          <w:tcPr>
            <w:tcW w:w="680" w:type="dxa"/>
            <w:vAlign w:val="bottom"/>
            <w:tcBorders>
              <w:bottom w:val="single" w:sz="8" w:color="214E93"/>
            </w:tcBorders>
          </w:tcPr>
          <w:p>
            <w:pPr>
              <w:jc w:val="right"/>
              <w:ind w:right="123"/>
              <w:spacing w:after="0"/>
              <w:rPr>
                <w:sz w:val="20"/>
                <w:szCs w:val="20"/>
                <w:color w:val="auto"/>
              </w:rPr>
            </w:pPr>
            <w:r>
              <w:rPr>
                <w:rFonts w:ascii="Verdana" w:cs="Verdana" w:eastAsia="Verdana" w:hAnsi="Verdana"/>
                <w:sz w:val="14"/>
                <w:szCs w:val="14"/>
                <w:color w:val="auto"/>
              </w:rPr>
              <w:t>Net</w:t>
            </w:r>
          </w:p>
        </w:tc>
        <w:tc>
          <w:tcPr>
            <w:tcW w:w="60" w:type="dxa"/>
            <w:vAlign w:val="bottom"/>
            <w:tcBorders>
              <w:bottom w:val="single" w:sz="8" w:color="214E93"/>
            </w:tcBorders>
          </w:tcPr>
          <w:p>
            <w:pPr>
              <w:spacing w:after="0"/>
              <w:rPr>
                <w:sz w:val="17"/>
                <w:szCs w:val="17"/>
                <w:color w:val="auto"/>
              </w:rPr>
            </w:pPr>
          </w:p>
        </w:tc>
        <w:tc>
          <w:tcPr>
            <w:tcW w:w="620" w:type="dxa"/>
            <w:vAlign w:val="bottom"/>
            <w:tcBorders>
              <w:bottom w:val="single" w:sz="8" w:color="214E93"/>
            </w:tcBorders>
          </w:tcPr>
          <w:p>
            <w:pPr>
              <w:jc w:val="right"/>
              <w:ind w:right="51"/>
              <w:spacing w:after="0"/>
              <w:rPr>
                <w:sz w:val="20"/>
                <w:szCs w:val="20"/>
                <w:color w:val="auto"/>
              </w:rPr>
            </w:pPr>
            <w:r>
              <w:rPr>
                <w:rFonts w:ascii="Verdana" w:cs="Verdana" w:eastAsia="Verdana" w:hAnsi="Verdana"/>
                <w:sz w:val="14"/>
                <w:szCs w:val="14"/>
                <w:color w:val="auto"/>
              </w:rPr>
              <w:t>Gross</w:t>
            </w:r>
          </w:p>
        </w:tc>
        <w:tc>
          <w:tcPr>
            <w:tcW w:w="820" w:type="dxa"/>
            <w:vAlign w:val="bottom"/>
            <w:tcBorders>
              <w:bottom w:val="single" w:sz="8" w:color="214E93"/>
            </w:tcBorders>
          </w:tcPr>
          <w:p>
            <w:pPr>
              <w:jc w:val="right"/>
              <w:ind w:right="183"/>
              <w:spacing w:after="0"/>
              <w:rPr>
                <w:sz w:val="20"/>
                <w:szCs w:val="20"/>
                <w:color w:val="auto"/>
              </w:rPr>
            </w:pPr>
            <w:r>
              <w:rPr>
                <w:rFonts w:ascii="Verdana" w:cs="Verdana" w:eastAsia="Verdana" w:hAnsi="Verdana"/>
                <w:sz w:val="14"/>
                <w:szCs w:val="14"/>
                <w:color w:val="auto"/>
              </w:rPr>
              <w:t>Net</w:t>
            </w:r>
          </w:p>
        </w:tc>
      </w:tr>
      <w:tr>
        <w:trPr>
          <w:trHeight w:val="211"/>
        </w:trPr>
        <w:tc>
          <w:tcPr>
            <w:tcW w:w="4900" w:type="dxa"/>
            <w:vAlign w:val="bottom"/>
          </w:tcPr>
          <w:p>
            <w:pPr>
              <w:ind w:left="40"/>
              <w:spacing w:after="0"/>
              <w:rPr>
                <w:sz w:val="20"/>
                <w:szCs w:val="20"/>
                <w:color w:val="auto"/>
              </w:rPr>
            </w:pPr>
            <w:r>
              <w:rPr>
                <w:rFonts w:ascii="Verdana" w:cs="Verdana" w:eastAsia="Verdana" w:hAnsi="Verdana"/>
                <w:sz w:val="16"/>
                <w:szCs w:val="16"/>
                <w:color w:val="auto"/>
              </w:rPr>
              <w:t>Southeast New Mexico/West Texas:</w:t>
            </w: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60"/>
        </w:trPr>
        <w:tc>
          <w:tcPr>
            <w:tcW w:w="4900" w:type="dxa"/>
            <w:vAlign w:val="bottom"/>
          </w:tcPr>
          <w:p>
            <w:pPr>
              <w:ind w:left="160"/>
              <w:spacing w:after="0"/>
              <w:rPr>
                <w:sz w:val="20"/>
                <w:szCs w:val="20"/>
                <w:color w:val="auto"/>
              </w:rPr>
            </w:pPr>
            <w:r>
              <w:rPr>
                <w:rFonts w:ascii="Verdana" w:cs="Verdana" w:eastAsia="Verdana" w:hAnsi="Verdana"/>
                <w:sz w:val="16"/>
                <w:szCs w:val="16"/>
                <w:color w:val="auto"/>
              </w:rPr>
              <w:t>Delaware Basin</w:t>
            </w:r>
            <w:r>
              <w:rPr>
                <w:rFonts w:ascii="Verdana" w:cs="Verdana" w:eastAsia="Verdana" w:hAnsi="Verdana"/>
                <w:sz w:val="20"/>
                <w:szCs w:val="20"/>
                <w:color w:val="auto"/>
                <w:vertAlign w:val="superscript"/>
              </w:rPr>
              <w:t>(1)</w:t>
            </w:r>
          </w:p>
        </w:tc>
        <w:tc>
          <w:tcPr>
            <w:tcW w:w="660" w:type="dxa"/>
            <w:vAlign w:val="bottom"/>
          </w:tcPr>
          <w:p>
            <w:pPr>
              <w:jc w:val="right"/>
              <w:ind w:right="44"/>
              <w:spacing w:after="0"/>
              <w:rPr>
                <w:sz w:val="20"/>
                <w:szCs w:val="20"/>
                <w:color w:val="auto"/>
              </w:rPr>
            </w:pPr>
            <w:r>
              <w:rPr>
                <w:rFonts w:ascii="Verdana" w:cs="Verdana" w:eastAsia="Verdana" w:hAnsi="Verdana"/>
                <w:sz w:val="16"/>
                <w:szCs w:val="16"/>
                <w:color w:val="214E93"/>
              </w:rPr>
              <w:t>1,999</w:t>
            </w:r>
          </w:p>
        </w:tc>
        <w:tc>
          <w:tcPr>
            <w:tcW w:w="800" w:type="dxa"/>
            <w:vAlign w:val="bottom"/>
          </w:tcPr>
          <w:p>
            <w:pPr>
              <w:jc w:val="right"/>
              <w:ind w:right="3"/>
              <w:spacing w:after="0"/>
              <w:rPr>
                <w:sz w:val="20"/>
                <w:szCs w:val="20"/>
                <w:color w:val="auto"/>
              </w:rPr>
            </w:pPr>
            <w:r>
              <w:rPr>
                <w:rFonts w:ascii="Verdana" w:cs="Verdana" w:eastAsia="Verdana" w:hAnsi="Verdana"/>
                <w:sz w:val="16"/>
                <w:szCs w:val="16"/>
                <w:color w:val="214E93"/>
              </w:rPr>
              <w:t>1,046.9</w:t>
            </w:r>
          </w:p>
        </w:tc>
        <w:tc>
          <w:tcPr>
            <w:tcW w:w="700" w:type="dxa"/>
            <w:vAlign w:val="bottom"/>
            <w:gridSpan w:val="2"/>
          </w:tcPr>
          <w:p>
            <w:pPr>
              <w:jc w:val="right"/>
              <w:ind w:right="51"/>
              <w:spacing w:after="0"/>
              <w:rPr>
                <w:sz w:val="20"/>
                <w:szCs w:val="20"/>
                <w:color w:val="auto"/>
              </w:rPr>
            </w:pPr>
            <w:r>
              <w:rPr>
                <w:rFonts w:ascii="Verdana" w:cs="Verdana" w:eastAsia="Verdana" w:hAnsi="Verdana"/>
                <w:sz w:val="16"/>
                <w:szCs w:val="16"/>
                <w:color w:val="214E93"/>
              </w:rPr>
              <w:t>180</w:t>
            </w:r>
          </w:p>
        </w:tc>
        <w:tc>
          <w:tcPr>
            <w:tcW w:w="680" w:type="dxa"/>
            <w:vAlign w:val="bottom"/>
          </w:tcPr>
          <w:p>
            <w:pPr>
              <w:jc w:val="right"/>
              <w:ind w:right="23"/>
              <w:spacing w:after="0"/>
              <w:rPr>
                <w:sz w:val="20"/>
                <w:szCs w:val="20"/>
                <w:color w:val="auto"/>
              </w:rPr>
            </w:pPr>
            <w:r>
              <w:rPr>
                <w:rFonts w:ascii="Verdana" w:cs="Verdana" w:eastAsia="Verdana" w:hAnsi="Verdana"/>
                <w:sz w:val="16"/>
                <w:szCs w:val="16"/>
                <w:color w:val="214E93"/>
              </w:rPr>
              <w:t>90.2</w:t>
            </w:r>
          </w:p>
        </w:tc>
        <w:tc>
          <w:tcPr>
            <w:tcW w:w="680" w:type="dxa"/>
            <w:vAlign w:val="bottom"/>
            <w:gridSpan w:val="2"/>
          </w:tcPr>
          <w:p>
            <w:pPr>
              <w:jc w:val="right"/>
              <w:ind w:right="31"/>
              <w:spacing w:after="0"/>
              <w:rPr>
                <w:sz w:val="20"/>
                <w:szCs w:val="20"/>
                <w:color w:val="auto"/>
              </w:rPr>
            </w:pPr>
            <w:r>
              <w:rPr>
                <w:rFonts w:ascii="Verdana" w:cs="Verdana" w:eastAsia="Verdana" w:hAnsi="Verdana"/>
                <w:sz w:val="16"/>
                <w:szCs w:val="16"/>
                <w:color w:val="214E93"/>
              </w:rPr>
              <w:t>2,179</w:t>
            </w:r>
          </w:p>
        </w:tc>
        <w:tc>
          <w:tcPr>
            <w:tcW w:w="820" w:type="dxa"/>
            <w:vAlign w:val="bottom"/>
          </w:tcPr>
          <w:p>
            <w:pPr>
              <w:jc w:val="right"/>
              <w:ind w:right="3"/>
              <w:spacing w:after="0"/>
              <w:rPr>
                <w:sz w:val="20"/>
                <w:szCs w:val="20"/>
                <w:color w:val="auto"/>
              </w:rPr>
            </w:pPr>
            <w:r>
              <w:rPr>
                <w:rFonts w:ascii="Verdana" w:cs="Verdana" w:eastAsia="Verdana" w:hAnsi="Verdana"/>
                <w:sz w:val="16"/>
                <w:szCs w:val="16"/>
                <w:color w:val="214E93"/>
              </w:rPr>
              <w:t>1,137.1</w:t>
            </w:r>
          </w:p>
        </w:tc>
      </w:tr>
      <w:tr>
        <w:trPr>
          <w:trHeight w:val="211"/>
        </w:trPr>
        <w:tc>
          <w:tcPr>
            <w:tcW w:w="4900" w:type="dxa"/>
            <w:vAlign w:val="bottom"/>
          </w:tcPr>
          <w:p>
            <w:pPr>
              <w:ind w:left="40"/>
              <w:spacing w:after="0"/>
              <w:rPr>
                <w:sz w:val="20"/>
                <w:szCs w:val="20"/>
                <w:color w:val="auto"/>
              </w:rPr>
            </w:pPr>
            <w:r>
              <w:rPr>
                <w:rFonts w:ascii="Verdana" w:cs="Verdana" w:eastAsia="Verdana" w:hAnsi="Verdana"/>
                <w:sz w:val="16"/>
                <w:szCs w:val="16"/>
                <w:color w:val="auto"/>
              </w:rPr>
              <w:t>Northwest Louisiana:</w:t>
            </w: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6"/>
        </w:trPr>
        <w:tc>
          <w:tcPr>
            <w:tcW w:w="4900" w:type="dxa"/>
            <w:vAlign w:val="bottom"/>
          </w:tcPr>
          <w:p>
            <w:pPr>
              <w:ind w:left="160"/>
              <w:spacing w:after="0"/>
              <w:rPr>
                <w:sz w:val="20"/>
                <w:szCs w:val="20"/>
                <w:color w:val="auto"/>
              </w:rPr>
            </w:pPr>
            <w:r>
              <w:rPr>
                <w:rFonts w:ascii="Verdana" w:cs="Verdana" w:eastAsia="Verdana" w:hAnsi="Verdana"/>
                <w:sz w:val="16"/>
                <w:szCs w:val="16"/>
                <w:color w:val="auto"/>
              </w:rPr>
              <w:t>Haynesville</w:t>
            </w:r>
          </w:p>
        </w:tc>
        <w:tc>
          <w:tcPr>
            <w:tcW w:w="660" w:type="dxa"/>
            <w:vAlign w:val="bottom"/>
          </w:tcPr>
          <w:p>
            <w:pPr>
              <w:jc w:val="right"/>
              <w:ind w:right="44"/>
              <w:spacing w:after="0"/>
              <w:rPr>
                <w:sz w:val="20"/>
                <w:szCs w:val="20"/>
                <w:color w:val="auto"/>
              </w:rPr>
            </w:pPr>
            <w:r>
              <w:rPr>
                <w:rFonts w:ascii="Verdana" w:cs="Verdana" w:eastAsia="Verdana" w:hAnsi="Verdana"/>
                <w:sz w:val="16"/>
                <w:szCs w:val="16"/>
                <w:color w:val="214E93"/>
              </w:rPr>
              <w:t>—</w:t>
            </w:r>
          </w:p>
        </w:tc>
        <w:tc>
          <w:tcPr>
            <w:tcW w:w="800" w:type="dxa"/>
            <w:vAlign w:val="bottom"/>
          </w:tcPr>
          <w:p>
            <w:pPr>
              <w:jc w:val="right"/>
              <w:ind w:right="3"/>
              <w:spacing w:after="0"/>
              <w:rPr>
                <w:sz w:val="20"/>
                <w:szCs w:val="20"/>
                <w:color w:val="auto"/>
              </w:rPr>
            </w:pPr>
            <w:r>
              <w:rPr>
                <w:rFonts w:ascii="Verdana" w:cs="Verdana" w:eastAsia="Verdana" w:hAnsi="Verdana"/>
                <w:sz w:val="16"/>
                <w:szCs w:val="16"/>
                <w:color w:val="214E93"/>
              </w:rPr>
              <w:t>—</w:t>
            </w:r>
          </w:p>
        </w:tc>
        <w:tc>
          <w:tcPr>
            <w:tcW w:w="700" w:type="dxa"/>
            <w:vAlign w:val="bottom"/>
            <w:gridSpan w:val="2"/>
          </w:tcPr>
          <w:p>
            <w:pPr>
              <w:jc w:val="right"/>
              <w:ind w:right="51"/>
              <w:spacing w:after="0"/>
              <w:rPr>
                <w:sz w:val="20"/>
                <w:szCs w:val="20"/>
                <w:color w:val="auto"/>
              </w:rPr>
            </w:pPr>
            <w:r>
              <w:rPr>
                <w:rFonts w:ascii="Verdana" w:cs="Verdana" w:eastAsia="Verdana" w:hAnsi="Verdana"/>
                <w:sz w:val="16"/>
                <w:szCs w:val="16"/>
                <w:color w:val="214E93"/>
              </w:rPr>
              <w:t>279</w:t>
            </w:r>
          </w:p>
        </w:tc>
        <w:tc>
          <w:tcPr>
            <w:tcW w:w="680" w:type="dxa"/>
            <w:vAlign w:val="bottom"/>
          </w:tcPr>
          <w:p>
            <w:pPr>
              <w:jc w:val="right"/>
              <w:ind w:right="23"/>
              <w:spacing w:after="0"/>
              <w:rPr>
                <w:sz w:val="20"/>
                <w:szCs w:val="20"/>
                <w:color w:val="auto"/>
              </w:rPr>
            </w:pPr>
            <w:r>
              <w:rPr>
                <w:rFonts w:ascii="Verdana" w:cs="Verdana" w:eastAsia="Verdana" w:hAnsi="Verdana"/>
                <w:sz w:val="16"/>
                <w:szCs w:val="16"/>
                <w:color w:val="214E93"/>
              </w:rPr>
              <w:t>18.5</w:t>
            </w:r>
          </w:p>
        </w:tc>
        <w:tc>
          <w:tcPr>
            <w:tcW w:w="680" w:type="dxa"/>
            <w:vAlign w:val="bottom"/>
            <w:gridSpan w:val="2"/>
          </w:tcPr>
          <w:p>
            <w:pPr>
              <w:jc w:val="right"/>
              <w:ind w:right="31"/>
              <w:spacing w:after="0"/>
              <w:rPr>
                <w:sz w:val="20"/>
                <w:szCs w:val="20"/>
                <w:color w:val="auto"/>
              </w:rPr>
            </w:pPr>
            <w:r>
              <w:rPr>
                <w:rFonts w:ascii="Verdana" w:cs="Verdana" w:eastAsia="Verdana" w:hAnsi="Verdana"/>
                <w:sz w:val="16"/>
                <w:szCs w:val="16"/>
                <w:color w:val="214E93"/>
              </w:rPr>
              <w:t>279</w:t>
            </w:r>
          </w:p>
        </w:tc>
        <w:tc>
          <w:tcPr>
            <w:tcW w:w="820" w:type="dxa"/>
            <w:vAlign w:val="bottom"/>
          </w:tcPr>
          <w:p>
            <w:pPr>
              <w:jc w:val="right"/>
              <w:ind w:right="3"/>
              <w:spacing w:after="0"/>
              <w:rPr>
                <w:sz w:val="20"/>
                <w:szCs w:val="20"/>
                <w:color w:val="auto"/>
              </w:rPr>
            </w:pPr>
            <w:r>
              <w:rPr>
                <w:rFonts w:ascii="Verdana" w:cs="Verdana" w:eastAsia="Verdana" w:hAnsi="Verdana"/>
                <w:sz w:val="16"/>
                <w:szCs w:val="16"/>
                <w:color w:val="214E93"/>
              </w:rPr>
              <w:t>18.5</w:t>
            </w:r>
          </w:p>
        </w:tc>
      </w:tr>
      <w:tr>
        <w:trPr>
          <w:trHeight w:val="247"/>
        </w:trPr>
        <w:tc>
          <w:tcPr>
            <w:tcW w:w="4900" w:type="dxa"/>
            <w:vAlign w:val="bottom"/>
            <w:tcBorders>
              <w:bottom w:val="single" w:sz="8" w:color="auto"/>
            </w:tcBorders>
          </w:tcPr>
          <w:p>
            <w:pPr>
              <w:ind w:left="160"/>
              <w:spacing w:after="0"/>
              <w:rPr>
                <w:sz w:val="20"/>
                <w:szCs w:val="20"/>
                <w:color w:val="auto"/>
              </w:rPr>
            </w:pPr>
            <w:r>
              <w:rPr>
                <w:rFonts w:ascii="Verdana" w:cs="Verdana" w:eastAsia="Verdana" w:hAnsi="Verdana"/>
                <w:sz w:val="16"/>
                <w:szCs w:val="16"/>
                <w:color w:val="auto"/>
              </w:rPr>
              <w:t>Cotton Valley</w:t>
            </w:r>
            <w:r>
              <w:rPr>
                <w:rFonts w:ascii="Verdana" w:cs="Verdana" w:eastAsia="Verdana" w:hAnsi="Verdana"/>
                <w:sz w:val="20"/>
                <w:szCs w:val="20"/>
                <w:color w:val="auto"/>
                <w:vertAlign w:val="superscript"/>
              </w:rPr>
              <w:t>(2)</w:t>
            </w:r>
          </w:p>
        </w:tc>
        <w:tc>
          <w:tcPr>
            <w:tcW w:w="660" w:type="dxa"/>
            <w:vAlign w:val="bottom"/>
            <w:tcBorders>
              <w:bottom w:val="single" w:sz="8" w:color="auto"/>
            </w:tcBorders>
          </w:tcPr>
          <w:p>
            <w:pPr>
              <w:jc w:val="right"/>
              <w:ind w:right="44"/>
              <w:spacing w:after="0"/>
              <w:rPr>
                <w:sz w:val="20"/>
                <w:szCs w:val="20"/>
                <w:color w:val="auto"/>
              </w:rPr>
            </w:pPr>
            <w:r>
              <w:rPr>
                <w:rFonts w:ascii="Verdana" w:cs="Verdana" w:eastAsia="Verdana" w:hAnsi="Verdana"/>
                <w:sz w:val="16"/>
                <w:szCs w:val="16"/>
                <w:color w:val="214E93"/>
              </w:rPr>
              <w:t>—</w:t>
            </w:r>
          </w:p>
        </w:tc>
        <w:tc>
          <w:tcPr>
            <w:tcW w:w="800" w:type="dxa"/>
            <w:vAlign w:val="bottom"/>
            <w:tcBorders>
              <w:bottom w:val="single" w:sz="8" w:color="auto"/>
            </w:tcBorders>
          </w:tcPr>
          <w:p>
            <w:pPr>
              <w:jc w:val="right"/>
              <w:ind w:right="3"/>
              <w:spacing w:after="0"/>
              <w:rPr>
                <w:sz w:val="20"/>
                <w:szCs w:val="20"/>
                <w:color w:val="auto"/>
              </w:rPr>
            </w:pPr>
            <w:r>
              <w:rPr>
                <w:rFonts w:ascii="Verdana" w:cs="Verdana" w:eastAsia="Verdana" w:hAnsi="Verdana"/>
                <w:sz w:val="16"/>
                <w:szCs w:val="16"/>
                <w:color w:val="214E93"/>
              </w:rPr>
              <w:t>—</w:t>
            </w:r>
          </w:p>
        </w:tc>
        <w:tc>
          <w:tcPr>
            <w:tcW w:w="700" w:type="dxa"/>
            <w:vAlign w:val="bottom"/>
            <w:tcBorders>
              <w:bottom w:val="single" w:sz="8" w:color="auto"/>
            </w:tcBorders>
            <w:gridSpan w:val="2"/>
          </w:tcPr>
          <w:p>
            <w:pPr>
              <w:jc w:val="right"/>
              <w:ind w:right="51"/>
              <w:spacing w:after="0"/>
              <w:rPr>
                <w:sz w:val="20"/>
                <w:szCs w:val="20"/>
                <w:color w:val="auto"/>
              </w:rPr>
            </w:pPr>
            <w:r>
              <w:rPr>
                <w:rFonts w:ascii="Verdana" w:cs="Verdana" w:eastAsia="Verdana" w:hAnsi="Verdana"/>
                <w:sz w:val="16"/>
                <w:szCs w:val="16"/>
                <w:color w:val="214E93"/>
              </w:rPr>
              <w:t>64</w:t>
            </w:r>
          </w:p>
        </w:tc>
        <w:tc>
          <w:tcPr>
            <w:tcW w:w="680" w:type="dxa"/>
            <w:vAlign w:val="bottom"/>
            <w:tcBorders>
              <w:bottom w:val="single" w:sz="8" w:color="auto"/>
            </w:tcBorders>
          </w:tcPr>
          <w:p>
            <w:pPr>
              <w:jc w:val="right"/>
              <w:ind w:right="23"/>
              <w:spacing w:after="0"/>
              <w:rPr>
                <w:sz w:val="20"/>
                <w:szCs w:val="20"/>
                <w:color w:val="auto"/>
              </w:rPr>
            </w:pPr>
            <w:r>
              <w:rPr>
                <w:rFonts w:ascii="Verdana" w:cs="Verdana" w:eastAsia="Verdana" w:hAnsi="Verdana"/>
                <w:sz w:val="16"/>
                <w:szCs w:val="16"/>
                <w:color w:val="214E93"/>
              </w:rPr>
              <w:t>38.7</w:t>
            </w:r>
          </w:p>
        </w:tc>
        <w:tc>
          <w:tcPr>
            <w:tcW w:w="680" w:type="dxa"/>
            <w:vAlign w:val="bottom"/>
            <w:tcBorders>
              <w:bottom w:val="single" w:sz="8" w:color="auto"/>
            </w:tcBorders>
            <w:gridSpan w:val="2"/>
          </w:tcPr>
          <w:p>
            <w:pPr>
              <w:jc w:val="right"/>
              <w:ind w:right="31"/>
              <w:spacing w:after="0"/>
              <w:rPr>
                <w:sz w:val="20"/>
                <w:szCs w:val="20"/>
                <w:color w:val="auto"/>
              </w:rPr>
            </w:pPr>
            <w:r>
              <w:rPr>
                <w:rFonts w:ascii="Verdana" w:cs="Verdana" w:eastAsia="Verdana" w:hAnsi="Verdana"/>
                <w:sz w:val="16"/>
                <w:szCs w:val="16"/>
                <w:color w:val="214E93"/>
              </w:rPr>
              <w:t>64</w:t>
            </w:r>
          </w:p>
        </w:tc>
        <w:tc>
          <w:tcPr>
            <w:tcW w:w="820" w:type="dxa"/>
            <w:vAlign w:val="bottom"/>
            <w:tcBorders>
              <w:bottom w:val="single" w:sz="8" w:color="auto"/>
            </w:tcBorders>
          </w:tcPr>
          <w:p>
            <w:pPr>
              <w:jc w:val="right"/>
              <w:ind w:right="3"/>
              <w:spacing w:after="0"/>
              <w:rPr>
                <w:sz w:val="20"/>
                <w:szCs w:val="20"/>
                <w:color w:val="auto"/>
              </w:rPr>
            </w:pPr>
            <w:r>
              <w:rPr>
                <w:rFonts w:ascii="Verdana" w:cs="Verdana" w:eastAsia="Verdana" w:hAnsi="Verdana"/>
                <w:sz w:val="16"/>
                <w:szCs w:val="16"/>
                <w:color w:val="214E93"/>
              </w:rPr>
              <w:t>38.7</w:t>
            </w:r>
          </w:p>
        </w:tc>
      </w:tr>
      <w:tr>
        <w:trPr>
          <w:trHeight w:val="211"/>
        </w:trPr>
        <w:tc>
          <w:tcPr>
            <w:tcW w:w="4900" w:type="dxa"/>
            <w:vAlign w:val="bottom"/>
            <w:tcBorders>
              <w:bottom w:val="single" w:sz="8" w:color="auto"/>
            </w:tcBorders>
          </w:tcPr>
          <w:p>
            <w:pPr>
              <w:ind w:left="280"/>
              <w:spacing w:after="0"/>
              <w:rPr>
                <w:sz w:val="20"/>
                <w:szCs w:val="20"/>
                <w:color w:val="auto"/>
              </w:rPr>
            </w:pPr>
            <w:r>
              <w:rPr>
                <w:rFonts w:ascii="Verdana" w:cs="Verdana" w:eastAsia="Verdana" w:hAnsi="Verdana"/>
                <w:sz w:val="16"/>
                <w:szCs w:val="16"/>
                <w:color w:val="auto"/>
              </w:rPr>
              <w:t>Area Total</w:t>
            </w:r>
          </w:p>
        </w:tc>
        <w:tc>
          <w:tcPr>
            <w:tcW w:w="660" w:type="dxa"/>
            <w:vAlign w:val="bottom"/>
            <w:tcBorders>
              <w:bottom w:val="single" w:sz="8" w:color="auto"/>
            </w:tcBorders>
          </w:tcPr>
          <w:p>
            <w:pPr>
              <w:jc w:val="right"/>
              <w:ind w:right="44"/>
              <w:spacing w:after="0"/>
              <w:rPr>
                <w:sz w:val="20"/>
                <w:szCs w:val="20"/>
                <w:color w:val="auto"/>
              </w:rPr>
            </w:pPr>
            <w:r>
              <w:rPr>
                <w:rFonts w:ascii="Verdana" w:cs="Verdana" w:eastAsia="Verdana" w:hAnsi="Verdana"/>
                <w:sz w:val="16"/>
                <w:szCs w:val="16"/>
                <w:color w:val="214E93"/>
              </w:rPr>
              <w:t>—</w:t>
            </w:r>
          </w:p>
        </w:tc>
        <w:tc>
          <w:tcPr>
            <w:tcW w:w="800" w:type="dxa"/>
            <w:vAlign w:val="bottom"/>
            <w:tcBorders>
              <w:bottom w:val="single" w:sz="8" w:color="auto"/>
            </w:tcBorders>
          </w:tcPr>
          <w:p>
            <w:pPr>
              <w:jc w:val="right"/>
              <w:ind w:right="3"/>
              <w:spacing w:after="0"/>
              <w:rPr>
                <w:sz w:val="20"/>
                <w:szCs w:val="20"/>
                <w:color w:val="auto"/>
              </w:rPr>
            </w:pPr>
            <w:r>
              <w:rPr>
                <w:rFonts w:ascii="Verdana" w:cs="Verdana" w:eastAsia="Verdana" w:hAnsi="Verdana"/>
                <w:sz w:val="16"/>
                <w:szCs w:val="16"/>
                <w:color w:val="214E93"/>
              </w:rPr>
              <w:t>—</w:t>
            </w:r>
          </w:p>
        </w:tc>
        <w:tc>
          <w:tcPr>
            <w:tcW w:w="700" w:type="dxa"/>
            <w:vAlign w:val="bottom"/>
            <w:tcBorders>
              <w:bottom w:val="single" w:sz="8" w:color="auto"/>
            </w:tcBorders>
            <w:gridSpan w:val="2"/>
          </w:tcPr>
          <w:p>
            <w:pPr>
              <w:jc w:val="right"/>
              <w:ind w:right="51"/>
              <w:spacing w:after="0"/>
              <w:rPr>
                <w:sz w:val="20"/>
                <w:szCs w:val="20"/>
                <w:color w:val="auto"/>
              </w:rPr>
            </w:pPr>
            <w:r>
              <w:rPr>
                <w:rFonts w:ascii="Verdana" w:cs="Verdana" w:eastAsia="Verdana" w:hAnsi="Verdana"/>
                <w:sz w:val="16"/>
                <w:szCs w:val="16"/>
                <w:color w:val="214E93"/>
              </w:rPr>
              <w:t>343.0</w:t>
            </w:r>
          </w:p>
        </w:tc>
        <w:tc>
          <w:tcPr>
            <w:tcW w:w="680" w:type="dxa"/>
            <w:vAlign w:val="bottom"/>
            <w:tcBorders>
              <w:bottom w:val="single" w:sz="8" w:color="auto"/>
            </w:tcBorders>
          </w:tcPr>
          <w:p>
            <w:pPr>
              <w:jc w:val="right"/>
              <w:ind w:right="23"/>
              <w:spacing w:after="0"/>
              <w:rPr>
                <w:sz w:val="20"/>
                <w:szCs w:val="20"/>
                <w:color w:val="auto"/>
              </w:rPr>
            </w:pPr>
            <w:r>
              <w:rPr>
                <w:rFonts w:ascii="Verdana" w:cs="Verdana" w:eastAsia="Verdana" w:hAnsi="Verdana"/>
                <w:sz w:val="16"/>
                <w:szCs w:val="16"/>
                <w:color w:val="214E93"/>
              </w:rPr>
              <w:t>57.2</w:t>
            </w:r>
          </w:p>
        </w:tc>
        <w:tc>
          <w:tcPr>
            <w:tcW w:w="680" w:type="dxa"/>
            <w:vAlign w:val="bottom"/>
            <w:tcBorders>
              <w:bottom w:val="single" w:sz="8" w:color="auto"/>
            </w:tcBorders>
            <w:gridSpan w:val="2"/>
          </w:tcPr>
          <w:p>
            <w:pPr>
              <w:jc w:val="right"/>
              <w:ind w:right="31"/>
              <w:spacing w:after="0"/>
              <w:rPr>
                <w:sz w:val="20"/>
                <w:szCs w:val="20"/>
                <w:color w:val="auto"/>
              </w:rPr>
            </w:pPr>
            <w:r>
              <w:rPr>
                <w:rFonts w:ascii="Verdana" w:cs="Verdana" w:eastAsia="Verdana" w:hAnsi="Verdana"/>
                <w:sz w:val="16"/>
                <w:szCs w:val="16"/>
                <w:color w:val="214E93"/>
              </w:rPr>
              <w:t>343.0</w:t>
            </w:r>
          </w:p>
        </w:tc>
        <w:tc>
          <w:tcPr>
            <w:tcW w:w="820" w:type="dxa"/>
            <w:vAlign w:val="bottom"/>
            <w:tcBorders>
              <w:bottom w:val="single" w:sz="8" w:color="auto"/>
            </w:tcBorders>
          </w:tcPr>
          <w:p>
            <w:pPr>
              <w:jc w:val="right"/>
              <w:ind w:right="3"/>
              <w:spacing w:after="0"/>
              <w:rPr>
                <w:sz w:val="20"/>
                <w:szCs w:val="20"/>
                <w:color w:val="auto"/>
              </w:rPr>
            </w:pPr>
            <w:r>
              <w:rPr>
                <w:rFonts w:ascii="Verdana" w:cs="Verdana" w:eastAsia="Verdana" w:hAnsi="Verdana"/>
                <w:sz w:val="16"/>
                <w:szCs w:val="16"/>
                <w:color w:val="214E93"/>
              </w:rPr>
              <w:t>57.2</w:t>
            </w:r>
          </w:p>
        </w:tc>
      </w:tr>
      <w:tr>
        <w:trPr>
          <w:trHeight w:val="217"/>
        </w:trPr>
        <w:tc>
          <w:tcPr>
            <w:tcW w:w="4900" w:type="dxa"/>
            <w:vAlign w:val="bottom"/>
            <w:tcBorders>
              <w:bottom w:val="single" w:sz="8" w:color="214E93"/>
            </w:tcBorders>
          </w:tcPr>
          <w:p>
            <w:pPr>
              <w:ind w:left="280"/>
              <w:spacing w:after="0"/>
              <w:rPr>
                <w:sz w:val="20"/>
                <w:szCs w:val="20"/>
                <w:color w:val="auto"/>
              </w:rPr>
            </w:pPr>
            <w:r>
              <w:rPr>
                <w:rFonts w:ascii="Verdana" w:cs="Verdana" w:eastAsia="Verdana" w:hAnsi="Verdana"/>
                <w:sz w:val="16"/>
                <w:szCs w:val="16"/>
                <w:color w:val="auto"/>
              </w:rPr>
              <w:t>Total</w:t>
            </w:r>
          </w:p>
        </w:tc>
        <w:tc>
          <w:tcPr>
            <w:tcW w:w="660" w:type="dxa"/>
            <w:vAlign w:val="bottom"/>
            <w:tcBorders>
              <w:bottom w:val="single" w:sz="8" w:color="214E93"/>
            </w:tcBorders>
          </w:tcPr>
          <w:p>
            <w:pPr>
              <w:jc w:val="right"/>
              <w:ind w:right="44"/>
              <w:spacing w:after="0"/>
              <w:rPr>
                <w:sz w:val="20"/>
                <w:szCs w:val="20"/>
                <w:color w:val="auto"/>
              </w:rPr>
            </w:pPr>
            <w:r>
              <w:rPr>
                <w:rFonts w:ascii="Verdana" w:cs="Verdana" w:eastAsia="Verdana" w:hAnsi="Verdana"/>
                <w:sz w:val="16"/>
                <w:szCs w:val="16"/>
                <w:color w:val="214E93"/>
              </w:rPr>
              <w:t>1,999</w:t>
            </w:r>
          </w:p>
        </w:tc>
        <w:tc>
          <w:tcPr>
            <w:tcW w:w="800" w:type="dxa"/>
            <w:vAlign w:val="bottom"/>
            <w:tcBorders>
              <w:bottom w:val="single" w:sz="8" w:color="214E93"/>
            </w:tcBorders>
          </w:tcPr>
          <w:p>
            <w:pPr>
              <w:jc w:val="right"/>
              <w:ind w:right="3"/>
              <w:spacing w:after="0"/>
              <w:rPr>
                <w:sz w:val="20"/>
                <w:szCs w:val="20"/>
                <w:color w:val="auto"/>
              </w:rPr>
            </w:pPr>
            <w:r>
              <w:rPr>
                <w:rFonts w:ascii="Verdana" w:cs="Verdana" w:eastAsia="Verdana" w:hAnsi="Verdana"/>
                <w:sz w:val="16"/>
                <w:szCs w:val="16"/>
                <w:color w:val="214E93"/>
              </w:rPr>
              <w:t>1,046.9</w:t>
            </w:r>
          </w:p>
        </w:tc>
        <w:tc>
          <w:tcPr>
            <w:tcW w:w="700" w:type="dxa"/>
            <w:vAlign w:val="bottom"/>
            <w:tcBorders>
              <w:bottom w:val="single" w:sz="8" w:color="214E93"/>
            </w:tcBorders>
            <w:gridSpan w:val="2"/>
          </w:tcPr>
          <w:p>
            <w:pPr>
              <w:jc w:val="right"/>
              <w:ind w:right="51"/>
              <w:spacing w:after="0"/>
              <w:rPr>
                <w:sz w:val="20"/>
                <w:szCs w:val="20"/>
                <w:color w:val="auto"/>
              </w:rPr>
            </w:pPr>
            <w:r>
              <w:rPr>
                <w:rFonts w:ascii="Verdana" w:cs="Verdana" w:eastAsia="Verdana" w:hAnsi="Verdana"/>
                <w:sz w:val="16"/>
                <w:szCs w:val="16"/>
                <w:color w:val="214E93"/>
              </w:rPr>
              <w:t>523</w:t>
            </w:r>
          </w:p>
        </w:tc>
        <w:tc>
          <w:tcPr>
            <w:tcW w:w="680" w:type="dxa"/>
            <w:vAlign w:val="bottom"/>
            <w:tcBorders>
              <w:bottom w:val="single" w:sz="8" w:color="214E93"/>
            </w:tcBorders>
          </w:tcPr>
          <w:p>
            <w:pPr>
              <w:jc w:val="right"/>
              <w:ind w:right="23"/>
              <w:spacing w:after="0"/>
              <w:rPr>
                <w:sz w:val="20"/>
                <w:szCs w:val="20"/>
                <w:color w:val="auto"/>
              </w:rPr>
            </w:pPr>
            <w:r>
              <w:rPr>
                <w:rFonts w:ascii="Verdana" w:cs="Verdana" w:eastAsia="Verdana" w:hAnsi="Verdana"/>
                <w:sz w:val="16"/>
                <w:szCs w:val="16"/>
                <w:color w:val="214E93"/>
              </w:rPr>
              <w:t>147.4</w:t>
            </w:r>
          </w:p>
        </w:tc>
        <w:tc>
          <w:tcPr>
            <w:tcW w:w="680" w:type="dxa"/>
            <w:vAlign w:val="bottom"/>
            <w:tcBorders>
              <w:bottom w:val="single" w:sz="8" w:color="214E93"/>
            </w:tcBorders>
            <w:gridSpan w:val="2"/>
          </w:tcPr>
          <w:p>
            <w:pPr>
              <w:jc w:val="right"/>
              <w:ind w:right="31"/>
              <w:spacing w:after="0"/>
              <w:rPr>
                <w:sz w:val="20"/>
                <w:szCs w:val="20"/>
                <w:color w:val="auto"/>
              </w:rPr>
            </w:pPr>
            <w:r>
              <w:rPr>
                <w:rFonts w:ascii="Verdana" w:cs="Verdana" w:eastAsia="Verdana" w:hAnsi="Verdana"/>
                <w:sz w:val="16"/>
                <w:szCs w:val="16"/>
                <w:color w:val="214E93"/>
              </w:rPr>
              <w:t>2,522</w:t>
            </w:r>
          </w:p>
        </w:tc>
        <w:tc>
          <w:tcPr>
            <w:tcW w:w="820" w:type="dxa"/>
            <w:vAlign w:val="bottom"/>
            <w:tcBorders>
              <w:bottom w:val="single" w:sz="8" w:color="214E93"/>
            </w:tcBorders>
          </w:tcPr>
          <w:p>
            <w:pPr>
              <w:jc w:val="right"/>
              <w:ind w:right="3"/>
              <w:spacing w:after="0"/>
              <w:rPr>
                <w:sz w:val="20"/>
                <w:szCs w:val="20"/>
                <w:color w:val="auto"/>
              </w:rPr>
            </w:pPr>
            <w:r>
              <w:rPr>
                <w:rFonts w:ascii="Verdana" w:cs="Verdana" w:eastAsia="Verdana" w:hAnsi="Verdana"/>
                <w:sz w:val="16"/>
                <w:szCs w:val="16"/>
                <w:color w:val="214E93"/>
              </w:rPr>
              <w:t>1,194.3</w:t>
            </w:r>
          </w:p>
        </w:tc>
      </w:tr>
    </w:tbl>
    <w:p>
      <w:pPr>
        <w:spacing w:after="0" w:line="20" w:lineRule="exact"/>
        <w:rPr>
          <w:sz w:val="20"/>
          <w:szCs w:val="20"/>
          <w:color w:val="auto"/>
        </w:rPr>
      </w:pPr>
    </w:p>
    <w:p>
      <w:pPr>
        <w:spacing w:after="0" w:line="106" w:lineRule="exact"/>
        <w:rPr>
          <w:sz w:val="20"/>
          <w:szCs w:val="20"/>
          <w:color w:val="auto"/>
        </w:rPr>
      </w:pPr>
    </w:p>
    <w:p>
      <w:pPr>
        <w:ind w:left="480" w:hanging="350"/>
        <w:spacing w:after="0"/>
        <w:tabs>
          <w:tab w:leader="none" w:pos="480" w:val="left"/>
        </w:tabs>
        <w:numPr>
          <w:ilvl w:val="0"/>
          <w:numId w:val="27"/>
        </w:numPr>
        <w:rPr>
          <w:rFonts w:ascii="Calibri" w:cs="Calibri" w:eastAsia="Calibri" w:hAnsi="Calibri"/>
          <w:sz w:val="14"/>
          <w:szCs w:val="14"/>
          <w:color w:val="auto"/>
        </w:rPr>
      </w:pPr>
      <w:r>
        <w:rPr>
          <w:rFonts w:ascii="Calibri" w:cs="Calibri" w:eastAsia="Calibri" w:hAnsi="Calibri"/>
          <w:sz w:val="14"/>
          <w:szCs w:val="14"/>
          <w:color w:val="auto"/>
        </w:rPr>
        <w:t>Includes 199 gross (76.4 net) vertical wells that were primarily acquired in multiple transactions.</w:t>
      </w:r>
    </w:p>
    <w:p>
      <w:pPr>
        <w:spacing w:after="0" w:line="73" w:lineRule="exact"/>
        <w:rPr>
          <w:rFonts w:ascii="Calibri" w:cs="Calibri" w:eastAsia="Calibri" w:hAnsi="Calibri"/>
          <w:sz w:val="14"/>
          <w:szCs w:val="14"/>
          <w:color w:val="auto"/>
        </w:rPr>
      </w:pPr>
    </w:p>
    <w:p>
      <w:pPr>
        <w:ind w:left="480" w:hanging="350"/>
        <w:spacing w:after="0"/>
        <w:tabs>
          <w:tab w:leader="none" w:pos="480" w:val="left"/>
        </w:tabs>
        <w:numPr>
          <w:ilvl w:val="0"/>
          <w:numId w:val="27"/>
        </w:numPr>
        <w:rPr>
          <w:rFonts w:ascii="Calibri" w:cs="Calibri" w:eastAsia="Calibri" w:hAnsi="Calibri"/>
          <w:sz w:val="14"/>
          <w:szCs w:val="14"/>
          <w:color w:val="auto"/>
        </w:rPr>
      </w:pPr>
      <w:r>
        <w:rPr>
          <w:rFonts w:ascii="Calibri" w:cs="Calibri" w:eastAsia="Calibri" w:hAnsi="Calibri"/>
          <w:sz w:val="14"/>
          <w:szCs w:val="14"/>
          <w:color w:val="auto"/>
        </w:rPr>
        <w:t>Includes the Cotton Valley formation and shallower zones.</w:t>
      </w:r>
    </w:p>
    <w:p>
      <w:pPr>
        <w:spacing w:after="0" w:line="194" w:lineRule="exact"/>
        <w:rPr>
          <w:sz w:val="20"/>
          <w:szCs w:val="20"/>
          <w:color w:val="auto"/>
        </w:rPr>
      </w:pPr>
    </w:p>
    <w:p>
      <w:pPr>
        <w:spacing w:after="0"/>
        <w:rPr>
          <w:sz w:val="20"/>
          <w:szCs w:val="20"/>
          <w:color w:val="auto"/>
        </w:rPr>
      </w:pPr>
      <w:r>
        <w:rPr>
          <w:rFonts w:ascii="Verdana" w:cs="Verdana" w:eastAsia="Verdana" w:hAnsi="Verdana"/>
          <w:sz w:val="20"/>
          <w:szCs w:val="20"/>
          <w:color w:val="214E93"/>
        </w:rPr>
        <w:t>ESTIMATED PROVED RESERVES</w:t>
      </w:r>
    </w:p>
    <w:p>
      <w:pPr>
        <w:spacing w:after="0" w:line="209" w:lineRule="exact"/>
        <w:rPr>
          <w:sz w:val="20"/>
          <w:szCs w:val="20"/>
          <w:color w:val="auto"/>
        </w:rPr>
      </w:pPr>
    </w:p>
    <w:p>
      <w:pPr>
        <w:ind w:right="800" w:firstLine="241"/>
        <w:spacing w:after="0" w:line="286" w:lineRule="auto"/>
        <w:rPr>
          <w:sz w:val="20"/>
          <w:szCs w:val="20"/>
          <w:color w:val="auto"/>
        </w:rPr>
      </w:pPr>
      <w:r>
        <w:rPr>
          <w:rFonts w:ascii="Calibri" w:cs="Calibri" w:eastAsia="Calibri" w:hAnsi="Calibri"/>
          <w:sz w:val="17"/>
          <w:szCs w:val="17"/>
          <w:color w:val="auto"/>
        </w:rPr>
        <w:t>The following table sets forth our estimated proved oil and natural gas reserves at December 31, 2025, 2024 and 2023. Our production and proved reserves are reported in two streams: oil and natural gas, including both dry and liquids-rich natural gas. Where we produce liquids-rich natural gas, primarily in the Delaware Basin, the economic value of the NGLs associated with the natural gas is included in the estimated wellhead natural gas price on those properties where the NGLs are extracted and sold. The reserves estimates were based on evaluations prepared by our engineering staff and have been audited for their reasonableness by Netherland, Sewell &amp; Associates, Inc., independent reservoir engineers. These reserves estimates were prepared in accordance with SEC rules for oil and natural gas reserves reporting. The estimated reserves shown are for proved reserves only and do not include any unproved reserves classified as probable or possible reserves that might exist for our properties, nor do they include any consideration that could be attributable to interests in unproved and unevaluated acreage beyond those tracts for which proved reserves have been estimated. Proved oil and natural gas reserves are those quantities of oil and natural gas that, by analysis of geoscience and engineering data, can be estimated with reasonable certainty to be economically producible (from a given date forward, from known reservoirs and under existing economic conditions, operating methods and government regulations) prior to the time at which contracts providing the right to operate expire, unless evidence indicates that renewal is reasonably certain, regardless of whether deterministic or probabilistic methods are used for the estimation.</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92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1160" w:top="498" w:right="440" w:bottom="0" w:gutter="0" w:footer="0" w:header="0"/>
          <w:type w:val="continuous"/>
        </w:sectPr>
      </w:pPr>
    </w:p>
    <w:bookmarkStart w:id="33" w:name="page34"/>
    <w:bookmarkEnd w:id="33"/>
    <w:p>
      <w:pPr>
        <w:spacing w:after="0"/>
        <w:tabs>
          <w:tab w:leader="none" w:pos="740" w:val="left"/>
        </w:tabs>
        <w:rPr>
          <w:sz w:val="20"/>
          <w:szCs w:val="20"/>
          <w:color w:val="auto"/>
        </w:rPr>
      </w:pPr>
      <w:r>
        <w:rPr>
          <w:rFonts w:ascii="Calibri" w:cs="Calibri" w:eastAsia="Calibri" w:hAnsi="Calibri"/>
          <w:sz w:val="18"/>
          <w:szCs w:val="18"/>
          <w:color w:val="auto"/>
        </w:rPr>
        <w:t>20</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6200"/>
        <w:spacing w:after="0"/>
        <w:rPr>
          <w:sz w:val="20"/>
          <w:szCs w:val="20"/>
          <w:color w:val="auto"/>
        </w:rPr>
      </w:pPr>
      <w:r>
        <w:rPr>
          <w:rFonts w:ascii="Verdana" w:cs="Verdana" w:eastAsia="Verdana" w:hAnsi="Verdana"/>
          <w:sz w:val="14"/>
          <w:szCs w:val="14"/>
          <w:color w:val="auto"/>
        </w:rPr>
        <w:t>At December 31,</w:t>
      </w:r>
      <w:r>
        <w:rPr>
          <w:rFonts w:ascii="Verdana" w:cs="Verdana" w:eastAsia="Verdana" w:hAnsi="Verdana"/>
          <w:sz w:val="17"/>
          <w:szCs w:val="17"/>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4401820</wp:posOffset>
            </wp:positionH>
            <wp:positionV relativeFrom="paragraph">
              <wp:posOffset>-8255</wp:posOffset>
            </wp:positionV>
            <wp:extent cx="2118360" cy="12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3">
                      <a:extLst>
                        <a:ext uri="{28A0092B-C50C-407E-A947-70E740481C1C}"/>
                      </a:extLst>
                    </a:blip>
                    <a:srcRect/>
                    <a:stretch>
                      <a:fillRect/>
                    </a:stretch>
                  </pic:blipFill>
                  <pic:spPr bwMode="auto">
                    <a:xfrm>
                      <a:off x="0" y="0"/>
                      <a:ext cx="2118360" cy="12700"/>
                    </a:xfrm>
                    <a:prstGeom prst="rect">
                      <a:avLst/>
                    </a:prstGeom>
                    <a:noFill/>
                  </pic:spPr>
                </pic:pic>
              </a:graphicData>
            </a:graphic>
          </wp:anchor>
        </w:drawing>
      </w:r>
    </w:p>
    <w:p>
      <w:pPr>
        <w:ind w:left="7280"/>
        <w:spacing w:after="0"/>
        <w:tabs>
          <w:tab w:leader="none" w:pos="8400" w:val="left"/>
          <w:tab w:leader="none" w:pos="9540" w:val="left"/>
        </w:tabs>
        <w:rPr>
          <w:sz w:val="20"/>
          <w:szCs w:val="20"/>
          <w:color w:val="auto"/>
        </w:rPr>
      </w:pPr>
      <w:r>
        <w:rPr>
          <w:rFonts w:ascii="Verdana" w:cs="Verdana" w:eastAsia="Verdana" w:hAnsi="Verdana"/>
          <w:sz w:val="14"/>
          <w:szCs w:val="14"/>
          <w:color w:val="auto"/>
        </w:rPr>
        <w:t>2025</w:t>
      </w:r>
      <w:r>
        <w:rPr>
          <w:sz w:val="20"/>
          <w:szCs w:val="20"/>
          <w:color w:val="auto"/>
        </w:rPr>
        <w:tab/>
      </w:r>
      <w:r>
        <w:rPr>
          <w:rFonts w:ascii="Verdana" w:cs="Verdana" w:eastAsia="Verdana" w:hAnsi="Verdana"/>
          <w:sz w:val="14"/>
          <w:szCs w:val="14"/>
          <w:color w:val="auto"/>
        </w:rPr>
        <w:t>2024</w:t>
      </w:r>
      <w:r>
        <w:rPr>
          <w:sz w:val="20"/>
          <w:szCs w:val="20"/>
          <w:color w:val="auto"/>
        </w:rPr>
        <w:tab/>
      </w:r>
      <w:r>
        <w:rPr>
          <w:rFonts w:ascii="Verdana" w:cs="Verdana" w:eastAsia="Verdana" w:hAnsi="Verdana"/>
          <w:sz w:val="14"/>
          <w:szCs w:val="14"/>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14605</wp:posOffset>
            </wp:positionV>
            <wp:extent cx="6064885" cy="12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4">
                      <a:extLst>
                        <a:ext uri="{28A0092B-C50C-407E-A947-70E740481C1C}"/>
                      </a:extLst>
                    </a:blip>
                    <a:srcRect/>
                    <a:stretch>
                      <a:fillRect/>
                    </a:stretch>
                  </pic:blipFill>
                  <pic:spPr bwMode="auto">
                    <a:xfrm>
                      <a:off x="0" y="0"/>
                      <a:ext cx="6064885" cy="12700"/>
                    </a:xfrm>
                    <a:prstGeom prst="rect">
                      <a:avLst/>
                    </a:prstGeom>
                    <a:noFill/>
                  </pic:spPr>
                </pic:pic>
              </a:graphicData>
            </a:graphic>
          </wp:anchor>
        </w:drawing>
      </w:r>
    </w:p>
    <w:p>
      <w:pPr>
        <w:spacing w:after="0" w:line="9" w:lineRule="exact"/>
        <w:rPr>
          <w:sz w:val="20"/>
          <w:szCs w:val="20"/>
          <w:color w:val="auto"/>
        </w:rPr>
      </w:pPr>
    </w:p>
    <w:p>
      <w:pPr>
        <w:ind w:left="760"/>
        <w:spacing w:after="0"/>
        <w:rPr>
          <w:sz w:val="20"/>
          <w:szCs w:val="20"/>
          <w:color w:val="auto"/>
        </w:rPr>
      </w:pPr>
      <w:r>
        <w:rPr>
          <w:rFonts w:ascii="Calibri" w:cs="Calibri" w:eastAsia="Calibri" w:hAnsi="Calibri"/>
          <w:sz w:val="19"/>
          <w:szCs w:val="19"/>
          <w:b w:val="1"/>
          <w:bCs w:val="1"/>
          <w:color w:val="214E93"/>
        </w:rPr>
        <w:t>Estimated Proved Reserves Data:</w:t>
      </w:r>
      <w:r>
        <w:rPr>
          <w:rFonts w:ascii="Calibri" w:cs="Calibri" w:eastAsia="Calibri" w:hAnsi="Calibri"/>
          <w:sz w:val="24"/>
          <w:szCs w:val="24"/>
          <w:b w:val="1"/>
          <w:bCs w:val="1"/>
          <w:color w:val="214E93"/>
          <w:vertAlign w:val="superscript"/>
        </w:rPr>
        <w:t>(2)</w:t>
      </w:r>
    </w:p>
    <w:p>
      <w:pPr>
        <w:ind w:left="760"/>
        <w:spacing w:after="0"/>
        <w:rPr>
          <w:sz w:val="20"/>
          <w:szCs w:val="20"/>
          <w:color w:val="auto"/>
        </w:rPr>
      </w:pPr>
      <w:r>
        <w:rPr>
          <w:rFonts w:ascii="Verdana" w:cs="Verdana" w:eastAsia="Verdana" w:hAnsi="Verdana"/>
          <w:sz w:val="16"/>
          <w:szCs w:val="16"/>
          <w:color w:val="auto"/>
        </w:rPr>
        <w:t>Estimated proved reserves:</w:t>
      </w:r>
    </w:p>
    <w:p>
      <w:pPr>
        <w:spacing w:after="0" w:line="42" w:lineRule="exact"/>
        <w:rPr>
          <w:sz w:val="20"/>
          <w:szCs w:val="20"/>
          <w:color w:val="auto"/>
        </w:rPr>
      </w:pPr>
    </w:p>
    <w:tbl>
      <w:tblPr>
        <w:tblLayout w:type="fixed"/>
        <w:tblInd w:w="720" w:type="dxa"/>
        <w:tblCellMar>
          <w:top w:w="0" w:type="dxa"/>
          <w:left w:w="0" w:type="dxa"/>
          <w:bottom w:w="0" w:type="dxa"/>
          <w:right w:w="0" w:type="dxa"/>
        </w:tblCellMar>
      </w:tblPr>
      <w:tr>
        <w:trPr>
          <w:trHeight w:val="211"/>
        </w:trPr>
        <w:tc>
          <w:tcPr>
            <w:tcW w:w="4780" w:type="dxa"/>
            <w:vAlign w:val="bottom"/>
          </w:tcPr>
          <w:p>
            <w:pPr>
              <w:ind w:left="160"/>
              <w:spacing w:after="0"/>
              <w:rPr>
                <w:sz w:val="20"/>
                <w:szCs w:val="20"/>
                <w:color w:val="auto"/>
              </w:rPr>
            </w:pPr>
            <w:r>
              <w:rPr>
                <w:rFonts w:ascii="Verdana" w:cs="Verdana" w:eastAsia="Verdana" w:hAnsi="Verdana"/>
                <w:sz w:val="16"/>
                <w:szCs w:val="16"/>
                <w:color w:val="auto"/>
              </w:rPr>
              <w:t>Oil (MBbl)</w:t>
            </w:r>
          </w:p>
        </w:tc>
        <w:tc>
          <w:tcPr>
            <w:tcW w:w="2560" w:type="dxa"/>
            <w:vAlign w:val="bottom"/>
          </w:tcPr>
          <w:p>
            <w:pPr>
              <w:jc w:val="right"/>
              <w:ind w:right="241"/>
              <w:spacing w:after="0"/>
              <w:rPr>
                <w:sz w:val="20"/>
                <w:szCs w:val="20"/>
                <w:color w:val="auto"/>
              </w:rPr>
            </w:pPr>
            <w:r>
              <w:rPr>
                <w:rFonts w:ascii="Verdana" w:cs="Verdana" w:eastAsia="Verdana" w:hAnsi="Verdana"/>
                <w:sz w:val="16"/>
                <w:szCs w:val="16"/>
                <w:color w:val="214E93"/>
              </w:rPr>
              <w:t>375,980</w:t>
            </w:r>
          </w:p>
        </w:tc>
        <w:tc>
          <w:tcPr>
            <w:tcW w:w="1120" w:type="dxa"/>
            <w:vAlign w:val="bottom"/>
          </w:tcPr>
          <w:p>
            <w:pPr>
              <w:jc w:val="right"/>
              <w:ind w:right="221"/>
              <w:spacing w:after="0"/>
              <w:rPr>
                <w:sz w:val="20"/>
                <w:szCs w:val="20"/>
                <w:color w:val="auto"/>
              </w:rPr>
            </w:pPr>
            <w:r>
              <w:rPr>
                <w:rFonts w:ascii="Verdana" w:cs="Verdana" w:eastAsia="Verdana" w:hAnsi="Verdana"/>
                <w:sz w:val="16"/>
                <w:szCs w:val="16"/>
                <w:color w:val="auto"/>
              </w:rPr>
              <w:t>361,842</w:t>
            </w:r>
          </w:p>
        </w:tc>
        <w:tc>
          <w:tcPr>
            <w:tcW w:w="1080" w:type="dxa"/>
            <w:vAlign w:val="bottom"/>
          </w:tcPr>
          <w:p>
            <w:pPr>
              <w:jc w:val="right"/>
              <w:ind w:right="161"/>
              <w:spacing w:after="0"/>
              <w:rPr>
                <w:sz w:val="20"/>
                <w:szCs w:val="20"/>
                <w:color w:val="auto"/>
              </w:rPr>
            </w:pPr>
            <w:r>
              <w:rPr>
                <w:rFonts w:ascii="Verdana" w:cs="Verdana" w:eastAsia="Verdana" w:hAnsi="Verdana"/>
                <w:sz w:val="16"/>
                <w:szCs w:val="16"/>
                <w:color w:val="auto"/>
              </w:rPr>
              <w:t>272,277</w:t>
            </w:r>
          </w:p>
        </w:tc>
      </w:tr>
      <w:tr>
        <w:trPr>
          <w:trHeight w:val="242"/>
        </w:trPr>
        <w:tc>
          <w:tcPr>
            <w:tcW w:w="4780" w:type="dxa"/>
            <w:vAlign w:val="bottom"/>
            <w:tcBorders>
              <w:bottom w:val="single" w:sz="8" w:color="auto"/>
            </w:tcBorders>
          </w:tcPr>
          <w:p>
            <w:pPr>
              <w:ind w:left="160"/>
              <w:spacing w:after="0"/>
              <w:rPr>
                <w:sz w:val="20"/>
                <w:szCs w:val="20"/>
                <w:color w:val="auto"/>
              </w:rPr>
            </w:pPr>
            <w:r>
              <w:rPr>
                <w:rFonts w:ascii="Verdana" w:cs="Verdana" w:eastAsia="Verdana" w:hAnsi="Verdana"/>
                <w:sz w:val="16"/>
                <w:szCs w:val="16"/>
                <w:color w:val="auto"/>
              </w:rPr>
              <w:t>Natural Gas (Bcf)</w:t>
            </w:r>
          </w:p>
        </w:tc>
        <w:tc>
          <w:tcPr>
            <w:tcW w:w="2560" w:type="dxa"/>
            <w:vAlign w:val="bottom"/>
            <w:tcBorders>
              <w:bottom w:val="single" w:sz="8" w:color="auto"/>
            </w:tcBorders>
          </w:tcPr>
          <w:p>
            <w:pPr>
              <w:jc w:val="right"/>
              <w:ind w:right="241"/>
              <w:spacing w:after="0"/>
              <w:rPr>
                <w:sz w:val="20"/>
                <w:szCs w:val="20"/>
                <w:color w:val="auto"/>
              </w:rPr>
            </w:pPr>
            <w:r>
              <w:rPr>
                <w:rFonts w:ascii="Verdana" w:cs="Verdana" w:eastAsia="Verdana" w:hAnsi="Verdana"/>
                <w:sz w:val="16"/>
                <w:szCs w:val="16"/>
                <w:color w:val="214E93"/>
              </w:rPr>
              <w:t>1,746.4</w:t>
            </w:r>
          </w:p>
        </w:tc>
        <w:tc>
          <w:tcPr>
            <w:tcW w:w="1120" w:type="dxa"/>
            <w:vAlign w:val="bottom"/>
            <w:tcBorders>
              <w:bottom w:val="single" w:sz="8" w:color="auto"/>
            </w:tcBorders>
          </w:tcPr>
          <w:p>
            <w:pPr>
              <w:jc w:val="right"/>
              <w:ind w:right="221"/>
              <w:spacing w:after="0"/>
              <w:rPr>
                <w:sz w:val="20"/>
                <w:szCs w:val="20"/>
                <w:color w:val="auto"/>
              </w:rPr>
            </w:pPr>
            <w:r>
              <w:rPr>
                <w:rFonts w:ascii="Verdana" w:cs="Verdana" w:eastAsia="Verdana" w:hAnsi="Verdana"/>
                <w:sz w:val="16"/>
                <w:szCs w:val="16"/>
                <w:color w:val="auto"/>
              </w:rPr>
              <w:t>1,498.2</w:t>
            </w:r>
          </w:p>
        </w:tc>
        <w:tc>
          <w:tcPr>
            <w:tcW w:w="1080" w:type="dxa"/>
            <w:vAlign w:val="bottom"/>
            <w:tcBorders>
              <w:bottom w:val="single" w:sz="8" w:color="auto"/>
            </w:tcBorders>
          </w:tcPr>
          <w:p>
            <w:pPr>
              <w:jc w:val="right"/>
              <w:ind w:right="161"/>
              <w:spacing w:after="0"/>
              <w:rPr>
                <w:sz w:val="20"/>
                <w:szCs w:val="20"/>
                <w:color w:val="auto"/>
              </w:rPr>
            </w:pPr>
            <w:r>
              <w:rPr>
                <w:rFonts w:ascii="Verdana" w:cs="Verdana" w:eastAsia="Verdana" w:hAnsi="Verdana"/>
                <w:sz w:val="16"/>
                <w:szCs w:val="16"/>
                <w:color w:val="auto"/>
              </w:rPr>
              <w:t>1,126.8</w:t>
            </w:r>
          </w:p>
        </w:tc>
      </w:tr>
      <w:tr>
        <w:trPr>
          <w:trHeight w:val="217"/>
        </w:trPr>
        <w:tc>
          <w:tcPr>
            <w:tcW w:w="4780" w:type="dxa"/>
            <w:vAlign w:val="bottom"/>
            <w:tcBorders>
              <w:bottom w:val="single" w:sz="8" w:color="214E93"/>
            </w:tcBorders>
          </w:tcPr>
          <w:p>
            <w:pPr>
              <w:ind w:left="280"/>
              <w:spacing w:after="0" w:line="216" w:lineRule="exact"/>
              <w:rPr>
                <w:sz w:val="20"/>
                <w:szCs w:val="20"/>
                <w:color w:val="auto"/>
              </w:rPr>
            </w:pPr>
            <w:r>
              <w:rPr>
                <w:rFonts w:ascii="Verdana" w:cs="Verdana" w:eastAsia="Verdana" w:hAnsi="Verdana"/>
                <w:sz w:val="16"/>
                <w:szCs w:val="16"/>
                <w:color w:val="auto"/>
              </w:rPr>
              <w:t>Total (MBOE)</w:t>
            </w:r>
            <w:r>
              <w:rPr>
                <w:rFonts w:ascii="Verdana" w:cs="Verdana" w:eastAsia="Verdana" w:hAnsi="Verdana"/>
                <w:sz w:val="20"/>
                <w:szCs w:val="20"/>
                <w:color w:val="auto"/>
                <w:vertAlign w:val="superscript"/>
              </w:rPr>
              <w:t>(3)</w:t>
            </w:r>
          </w:p>
        </w:tc>
        <w:tc>
          <w:tcPr>
            <w:tcW w:w="2560" w:type="dxa"/>
            <w:vAlign w:val="bottom"/>
            <w:tcBorders>
              <w:bottom w:val="single" w:sz="8" w:color="214E93"/>
            </w:tcBorders>
          </w:tcPr>
          <w:p>
            <w:pPr>
              <w:jc w:val="right"/>
              <w:ind w:right="241"/>
              <w:spacing w:after="0"/>
              <w:rPr>
                <w:sz w:val="20"/>
                <w:szCs w:val="20"/>
                <w:color w:val="auto"/>
              </w:rPr>
            </w:pPr>
            <w:r>
              <w:rPr>
                <w:rFonts w:ascii="Verdana" w:cs="Verdana" w:eastAsia="Verdana" w:hAnsi="Verdana"/>
                <w:sz w:val="16"/>
                <w:szCs w:val="16"/>
                <w:color w:val="214E93"/>
              </w:rPr>
              <w:t>667,047</w:t>
            </w:r>
          </w:p>
        </w:tc>
        <w:tc>
          <w:tcPr>
            <w:tcW w:w="1120" w:type="dxa"/>
            <w:vAlign w:val="bottom"/>
            <w:tcBorders>
              <w:bottom w:val="single" w:sz="8" w:color="214E93"/>
            </w:tcBorders>
          </w:tcPr>
          <w:p>
            <w:pPr>
              <w:jc w:val="right"/>
              <w:ind w:right="221"/>
              <w:spacing w:after="0"/>
              <w:rPr>
                <w:sz w:val="20"/>
                <w:szCs w:val="20"/>
                <w:color w:val="auto"/>
              </w:rPr>
            </w:pPr>
            <w:r>
              <w:rPr>
                <w:rFonts w:ascii="Verdana" w:cs="Verdana" w:eastAsia="Verdana" w:hAnsi="Verdana"/>
                <w:sz w:val="16"/>
                <w:szCs w:val="16"/>
                <w:color w:val="auto"/>
              </w:rPr>
              <w:t>611,536</w:t>
            </w:r>
          </w:p>
        </w:tc>
        <w:tc>
          <w:tcPr>
            <w:tcW w:w="1080" w:type="dxa"/>
            <w:vAlign w:val="bottom"/>
            <w:tcBorders>
              <w:bottom w:val="single" w:sz="8" w:color="214E93"/>
            </w:tcBorders>
          </w:tcPr>
          <w:p>
            <w:pPr>
              <w:jc w:val="right"/>
              <w:ind w:right="161"/>
              <w:spacing w:after="0"/>
              <w:rPr>
                <w:sz w:val="20"/>
                <w:szCs w:val="20"/>
                <w:color w:val="auto"/>
              </w:rPr>
            </w:pPr>
            <w:r>
              <w:rPr>
                <w:rFonts w:ascii="Verdana" w:cs="Verdana" w:eastAsia="Verdana" w:hAnsi="Verdana"/>
                <w:sz w:val="16"/>
                <w:szCs w:val="16"/>
                <w:color w:val="auto"/>
              </w:rPr>
              <w:t>460,070</w:t>
            </w:r>
          </w:p>
        </w:tc>
      </w:tr>
      <w:tr>
        <w:trPr>
          <w:trHeight w:val="211"/>
        </w:trPr>
        <w:tc>
          <w:tcPr>
            <w:tcW w:w="4780" w:type="dxa"/>
            <w:vAlign w:val="bottom"/>
          </w:tcPr>
          <w:p>
            <w:pPr>
              <w:ind w:left="40"/>
              <w:spacing w:after="0"/>
              <w:rPr>
                <w:sz w:val="20"/>
                <w:szCs w:val="20"/>
                <w:color w:val="auto"/>
              </w:rPr>
            </w:pPr>
            <w:r>
              <w:rPr>
                <w:rFonts w:ascii="Verdana" w:cs="Verdana" w:eastAsia="Verdana" w:hAnsi="Verdana"/>
                <w:sz w:val="16"/>
                <w:szCs w:val="16"/>
                <w:color w:val="auto"/>
              </w:rPr>
              <w:t>Estimated proved developed reserves:</w:t>
            </w:r>
          </w:p>
        </w:tc>
        <w:tc>
          <w:tcPr>
            <w:tcW w:w="2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5"/>
        </w:trPr>
        <w:tc>
          <w:tcPr>
            <w:tcW w:w="4780" w:type="dxa"/>
            <w:vAlign w:val="bottom"/>
          </w:tcPr>
          <w:p>
            <w:pPr>
              <w:ind w:left="160"/>
              <w:spacing w:after="0"/>
              <w:rPr>
                <w:sz w:val="20"/>
                <w:szCs w:val="20"/>
                <w:color w:val="auto"/>
              </w:rPr>
            </w:pPr>
            <w:r>
              <w:rPr>
                <w:rFonts w:ascii="Verdana" w:cs="Verdana" w:eastAsia="Verdana" w:hAnsi="Verdana"/>
                <w:sz w:val="16"/>
                <w:szCs w:val="16"/>
                <w:color w:val="auto"/>
              </w:rPr>
              <w:t>Oil (MBbl)</w:t>
            </w:r>
          </w:p>
        </w:tc>
        <w:tc>
          <w:tcPr>
            <w:tcW w:w="2560" w:type="dxa"/>
            <w:vAlign w:val="bottom"/>
          </w:tcPr>
          <w:p>
            <w:pPr>
              <w:jc w:val="right"/>
              <w:ind w:right="241"/>
              <w:spacing w:after="0"/>
              <w:rPr>
                <w:sz w:val="20"/>
                <w:szCs w:val="20"/>
                <w:color w:val="auto"/>
              </w:rPr>
            </w:pPr>
            <w:r>
              <w:rPr>
                <w:rFonts w:ascii="Verdana" w:cs="Verdana" w:eastAsia="Verdana" w:hAnsi="Verdana"/>
                <w:sz w:val="16"/>
                <w:szCs w:val="16"/>
                <w:color w:val="214E93"/>
              </w:rPr>
              <w:t>223,028</w:t>
            </w:r>
          </w:p>
        </w:tc>
        <w:tc>
          <w:tcPr>
            <w:tcW w:w="1120" w:type="dxa"/>
            <w:vAlign w:val="bottom"/>
          </w:tcPr>
          <w:p>
            <w:pPr>
              <w:jc w:val="right"/>
              <w:ind w:right="221"/>
              <w:spacing w:after="0"/>
              <w:rPr>
                <w:sz w:val="20"/>
                <w:szCs w:val="20"/>
                <w:color w:val="auto"/>
              </w:rPr>
            </w:pPr>
            <w:r>
              <w:rPr>
                <w:rFonts w:ascii="Verdana" w:cs="Verdana" w:eastAsia="Verdana" w:hAnsi="Verdana"/>
                <w:sz w:val="16"/>
                <w:szCs w:val="16"/>
                <w:color w:val="auto"/>
              </w:rPr>
              <w:t>206,269</w:t>
            </w:r>
          </w:p>
        </w:tc>
        <w:tc>
          <w:tcPr>
            <w:tcW w:w="1080" w:type="dxa"/>
            <w:vAlign w:val="bottom"/>
          </w:tcPr>
          <w:p>
            <w:pPr>
              <w:jc w:val="right"/>
              <w:ind w:right="161"/>
              <w:spacing w:after="0"/>
              <w:rPr>
                <w:sz w:val="20"/>
                <w:szCs w:val="20"/>
                <w:color w:val="auto"/>
              </w:rPr>
            </w:pPr>
            <w:r>
              <w:rPr>
                <w:rFonts w:ascii="Verdana" w:cs="Verdana" w:eastAsia="Verdana" w:hAnsi="Verdana"/>
                <w:sz w:val="16"/>
                <w:szCs w:val="16"/>
                <w:color w:val="auto"/>
              </w:rPr>
              <w:t>161,642</w:t>
            </w:r>
          </w:p>
        </w:tc>
      </w:tr>
      <w:tr>
        <w:trPr>
          <w:trHeight w:val="242"/>
        </w:trPr>
        <w:tc>
          <w:tcPr>
            <w:tcW w:w="4780" w:type="dxa"/>
            <w:vAlign w:val="bottom"/>
            <w:tcBorders>
              <w:bottom w:val="single" w:sz="8" w:color="auto"/>
            </w:tcBorders>
          </w:tcPr>
          <w:p>
            <w:pPr>
              <w:ind w:left="160"/>
              <w:spacing w:after="0"/>
              <w:rPr>
                <w:sz w:val="20"/>
                <w:szCs w:val="20"/>
                <w:color w:val="auto"/>
              </w:rPr>
            </w:pPr>
            <w:r>
              <w:rPr>
                <w:rFonts w:ascii="Verdana" w:cs="Verdana" w:eastAsia="Verdana" w:hAnsi="Verdana"/>
                <w:sz w:val="16"/>
                <w:szCs w:val="16"/>
                <w:color w:val="auto"/>
              </w:rPr>
              <w:t>Natural Gas (Bcf)</w:t>
            </w:r>
          </w:p>
        </w:tc>
        <w:tc>
          <w:tcPr>
            <w:tcW w:w="2560" w:type="dxa"/>
            <w:vAlign w:val="bottom"/>
            <w:tcBorders>
              <w:bottom w:val="single" w:sz="8" w:color="auto"/>
            </w:tcBorders>
          </w:tcPr>
          <w:p>
            <w:pPr>
              <w:jc w:val="right"/>
              <w:ind w:right="241"/>
              <w:spacing w:after="0"/>
              <w:rPr>
                <w:sz w:val="20"/>
                <w:szCs w:val="20"/>
                <w:color w:val="auto"/>
              </w:rPr>
            </w:pPr>
            <w:r>
              <w:rPr>
                <w:rFonts w:ascii="Verdana" w:cs="Verdana" w:eastAsia="Verdana" w:hAnsi="Verdana"/>
                <w:sz w:val="16"/>
                <w:szCs w:val="16"/>
                <w:color w:val="214E93"/>
              </w:rPr>
              <w:t>1,109.8</w:t>
            </w:r>
          </w:p>
        </w:tc>
        <w:tc>
          <w:tcPr>
            <w:tcW w:w="1120" w:type="dxa"/>
            <w:vAlign w:val="bottom"/>
            <w:tcBorders>
              <w:bottom w:val="single" w:sz="8" w:color="auto"/>
            </w:tcBorders>
          </w:tcPr>
          <w:p>
            <w:pPr>
              <w:jc w:val="right"/>
              <w:ind w:right="221"/>
              <w:spacing w:after="0"/>
              <w:rPr>
                <w:sz w:val="20"/>
                <w:szCs w:val="20"/>
                <w:color w:val="auto"/>
              </w:rPr>
            </w:pPr>
            <w:r>
              <w:rPr>
                <w:rFonts w:ascii="Verdana" w:cs="Verdana" w:eastAsia="Verdana" w:hAnsi="Verdana"/>
                <w:sz w:val="16"/>
                <w:szCs w:val="16"/>
                <w:color w:val="auto"/>
              </w:rPr>
              <w:t>963.2</w:t>
            </w:r>
          </w:p>
        </w:tc>
        <w:tc>
          <w:tcPr>
            <w:tcW w:w="1080" w:type="dxa"/>
            <w:vAlign w:val="bottom"/>
            <w:tcBorders>
              <w:bottom w:val="single" w:sz="8" w:color="auto"/>
            </w:tcBorders>
          </w:tcPr>
          <w:p>
            <w:pPr>
              <w:jc w:val="right"/>
              <w:ind w:right="161"/>
              <w:spacing w:after="0"/>
              <w:rPr>
                <w:sz w:val="20"/>
                <w:szCs w:val="20"/>
                <w:color w:val="auto"/>
              </w:rPr>
            </w:pPr>
            <w:r>
              <w:rPr>
                <w:rFonts w:ascii="Verdana" w:cs="Verdana" w:eastAsia="Verdana" w:hAnsi="Verdana"/>
                <w:sz w:val="16"/>
                <w:szCs w:val="16"/>
                <w:color w:val="auto"/>
              </w:rPr>
              <w:t>782.7</w:t>
            </w:r>
          </w:p>
        </w:tc>
      </w:tr>
      <w:tr>
        <w:trPr>
          <w:trHeight w:val="217"/>
        </w:trPr>
        <w:tc>
          <w:tcPr>
            <w:tcW w:w="4780" w:type="dxa"/>
            <w:vAlign w:val="bottom"/>
            <w:tcBorders>
              <w:bottom w:val="single" w:sz="8" w:color="214E93"/>
            </w:tcBorders>
          </w:tcPr>
          <w:p>
            <w:pPr>
              <w:ind w:left="280"/>
              <w:spacing w:after="0" w:line="216" w:lineRule="exact"/>
              <w:rPr>
                <w:sz w:val="20"/>
                <w:szCs w:val="20"/>
                <w:color w:val="auto"/>
              </w:rPr>
            </w:pPr>
            <w:r>
              <w:rPr>
                <w:rFonts w:ascii="Verdana" w:cs="Verdana" w:eastAsia="Verdana" w:hAnsi="Verdana"/>
                <w:sz w:val="16"/>
                <w:szCs w:val="16"/>
                <w:color w:val="auto"/>
              </w:rPr>
              <w:t>Total (MBOE)</w:t>
            </w:r>
            <w:r>
              <w:rPr>
                <w:rFonts w:ascii="Verdana" w:cs="Verdana" w:eastAsia="Verdana" w:hAnsi="Verdana"/>
                <w:sz w:val="20"/>
                <w:szCs w:val="20"/>
                <w:color w:val="auto"/>
                <w:vertAlign w:val="superscript"/>
              </w:rPr>
              <w:t>(3)</w:t>
            </w:r>
          </w:p>
        </w:tc>
        <w:tc>
          <w:tcPr>
            <w:tcW w:w="2560" w:type="dxa"/>
            <w:vAlign w:val="bottom"/>
            <w:tcBorders>
              <w:bottom w:val="single" w:sz="8" w:color="214E93"/>
            </w:tcBorders>
          </w:tcPr>
          <w:p>
            <w:pPr>
              <w:jc w:val="right"/>
              <w:ind w:right="241"/>
              <w:spacing w:after="0"/>
              <w:rPr>
                <w:sz w:val="20"/>
                <w:szCs w:val="20"/>
                <w:color w:val="auto"/>
              </w:rPr>
            </w:pPr>
            <w:r>
              <w:rPr>
                <w:rFonts w:ascii="Verdana" w:cs="Verdana" w:eastAsia="Verdana" w:hAnsi="Verdana"/>
                <w:sz w:val="16"/>
                <w:szCs w:val="16"/>
                <w:color w:val="214E93"/>
              </w:rPr>
              <w:t>407,987</w:t>
            </w:r>
          </w:p>
        </w:tc>
        <w:tc>
          <w:tcPr>
            <w:tcW w:w="1120" w:type="dxa"/>
            <w:vAlign w:val="bottom"/>
            <w:tcBorders>
              <w:bottom w:val="single" w:sz="8" w:color="214E93"/>
            </w:tcBorders>
          </w:tcPr>
          <w:p>
            <w:pPr>
              <w:jc w:val="right"/>
              <w:ind w:right="221"/>
              <w:spacing w:after="0"/>
              <w:rPr>
                <w:sz w:val="20"/>
                <w:szCs w:val="20"/>
                <w:color w:val="auto"/>
              </w:rPr>
            </w:pPr>
            <w:r>
              <w:rPr>
                <w:rFonts w:ascii="Verdana" w:cs="Verdana" w:eastAsia="Verdana" w:hAnsi="Verdana"/>
                <w:sz w:val="16"/>
                <w:szCs w:val="16"/>
                <w:color w:val="auto"/>
              </w:rPr>
              <w:t>366,797</w:t>
            </w:r>
          </w:p>
        </w:tc>
        <w:tc>
          <w:tcPr>
            <w:tcW w:w="1080" w:type="dxa"/>
            <w:vAlign w:val="bottom"/>
            <w:tcBorders>
              <w:bottom w:val="single" w:sz="8" w:color="214E93"/>
            </w:tcBorders>
          </w:tcPr>
          <w:p>
            <w:pPr>
              <w:jc w:val="right"/>
              <w:ind w:right="161"/>
              <w:spacing w:after="0"/>
              <w:rPr>
                <w:sz w:val="20"/>
                <w:szCs w:val="20"/>
                <w:color w:val="auto"/>
              </w:rPr>
            </w:pPr>
            <w:r>
              <w:rPr>
                <w:rFonts w:ascii="Verdana" w:cs="Verdana" w:eastAsia="Verdana" w:hAnsi="Verdana"/>
                <w:sz w:val="16"/>
                <w:szCs w:val="16"/>
                <w:color w:val="auto"/>
              </w:rPr>
              <w:t>292,097</w:t>
            </w:r>
          </w:p>
        </w:tc>
      </w:tr>
      <w:tr>
        <w:trPr>
          <w:trHeight w:val="211"/>
        </w:trPr>
        <w:tc>
          <w:tcPr>
            <w:tcW w:w="4780" w:type="dxa"/>
            <w:vAlign w:val="bottom"/>
          </w:tcPr>
          <w:p>
            <w:pPr>
              <w:ind w:left="280"/>
              <w:spacing w:after="0"/>
              <w:rPr>
                <w:sz w:val="20"/>
                <w:szCs w:val="20"/>
                <w:color w:val="auto"/>
              </w:rPr>
            </w:pPr>
            <w:r>
              <w:rPr>
                <w:rFonts w:ascii="Verdana" w:cs="Verdana" w:eastAsia="Verdana" w:hAnsi="Verdana"/>
                <w:sz w:val="16"/>
                <w:szCs w:val="16"/>
                <w:color w:val="auto"/>
              </w:rPr>
              <w:t>Percent developed</w:t>
            </w:r>
          </w:p>
        </w:tc>
        <w:tc>
          <w:tcPr>
            <w:tcW w:w="2560" w:type="dxa"/>
            <w:vAlign w:val="bottom"/>
          </w:tcPr>
          <w:p>
            <w:pPr>
              <w:jc w:val="right"/>
              <w:ind w:right="1"/>
              <w:spacing w:after="0"/>
              <w:rPr>
                <w:sz w:val="20"/>
                <w:szCs w:val="20"/>
                <w:color w:val="auto"/>
              </w:rPr>
            </w:pPr>
            <w:r>
              <w:rPr>
                <w:rFonts w:ascii="Verdana" w:cs="Verdana" w:eastAsia="Verdana" w:hAnsi="Verdana"/>
                <w:sz w:val="16"/>
                <w:szCs w:val="16"/>
                <w:color w:val="214E93"/>
              </w:rPr>
              <w:t>61.2 %</w:t>
            </w:r>
          </w:p>
        </w:tc>
        <w:tc>
          <w:tcPr>
            <w:tcW w:w="1120" w:type="dxa"/>
            <w:vAlign w:val="bottom"/>
          </w:tcPr>
          <w:p>
            <w:pPr>
              <w:jc w:val="right"/>
              <w:spacing w:after="0"/>
              <w:rPr>
                <w:sz w:val="20"/>
                <w:szCs w:val="20"/>
                <w:color w:val="auto"/>
              </w:rPr>
            </w:pPr>
            <w:r>
              <w:rPr>
                <w:rFonts w:ascii="Verdana" w:cs="Verdana" w:eastAsia="Verdana" w:hAnsi="Verdana"/>
                <w:sz w:val="16"/>
                <w:szCs w:val="16"/>
                <w:color w:val="auto"/>
              </w:rPr>
              <w:t>60.0 %</w:t>
            </w:r>
          </w:p>
        </w:tc>
        <w:tc>
          <w:tcPr>
            <w:tcW w:w="1080" w:type="dxa"/>
            <w:vAlign w:val="bottom"/>
          </w:tcPr>
          <w:p>
            <w:pPr>
              <w:jc w:val="right"/>
              <w:spacing w:after="0"/>
              <w:rPr>
                <w:sz w:val="20"/>
                <w:szCs w:val="20"/>
                <w:color w:val="auto"/>
              </w:rPr>
            </w:pPr>
            <w:r>
              <w:rPr>
                <w:rFonts w:ascii="Verdana" w:cs="Verdana" w:eastAsia="Verdana" w:hAnsi="Verdana"/>
                <w:sz w:val="16"/>
                <w:szCs w:val="16"/>
                <w:color w:val="auto"/>
              </w:rPr>
              <w:t>63.5 %</w:t>
            </w:r>
          </w:p>
        </w:tc>
      </w:tr>
      <w:tr>
        <w:trPr>
          <w:trHeight w:val="235"/>
        </w:trPr>
        <w:tc>
          <w:tcPr>
            <w:tcW w:w="4780" w:type="dxa"/>
            <w:vAlign w:val="bottom"/>
          </w:tcPr>
          <w:p>
            <w:pPr>
              <w:ind w:left="40"/>
              <w:spacing w:after="0"/>
              <w:rPr>
                <w:sz w:val="20"/>
                <w:szCs w:val="20"/>
                <w:color w:val="auto"/>
              </w:rPr>
            </w:pPr>
            <w:r>
              <w:rPr>
                <w:rFonts w:ascii="Verdana" w:cs="Verdana" w:eastAsia="Verdana" w:hAnsi="Verdana"/>
                <w:sz w:val="16"/>
                <w:szCs w:val="16"/>
                <w:color w:val="auto"/>
              </w:rPr>
              <w:t>Estimated proved undeveloped reserves:</w:t>
            </w:r>
          </w:p>
        </w:tc>
        <w:tc>
          <w:tcPr>
            <w:tcW w:w="2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6"/>
        </w:trPr>
        <w:tc>
          <w:tcPr>
            <w:tcW w:w="4780" w:type="dxa"/>
            <w:vAlign w:val="bottom"/>
          </w:tcPr>
          <w:p>
            <w:pPr>
              <w:ind w:left="160"/>
              <w:spacing w:after="0"/>
              <w:rPr>
                <w:sz w:val="20"/>
                <w:szCs w:val="20"/>
                <w:color w:val="auto"/>
              </w:rPr>
            </w:pPr>
            <w:r>
              <w:rPr>
                <w:rFonts w:ascii="Verdana" w:cs="Verdana" w:eastAsia="Verdana" w:hAnsi="Verdana"/>
                <w:sz w:val="16"/>
                <w:szCs w:val="16"/>
                <w:color w:val="auto"/>
              </w:rPr>
              <w:t>Oil (MBbl)</w:t>
            </w:r>
          </w:p>
        </w:tc>
        <w:tc>
          <w:tcPr>
            <w:tcW w:w="2560" w:type="dxa"/>
            <w:vAlign w:val="bottom"/>
          </w:tcPr>
          <w:p>
            <w:pPr>
              <w:jc w:val="right"/>
              <w:ind w:right="241"/>
              <w:spacing w:after="0"/>
              <w:rPr>
                <w:sz w:val="20"/>
                <w:szCs w:val="20"/>
                <w:color w:val="auto"/>
              </w:rPr>
            </w:pPr>
            <w:r>
              <w:rPr>
                <w:rFonts w:ascii="Verdana" w:cs="Verdana" w:eastAsia="Verdana" w:hAnsi="Verdana"/>
                <w:sz w:val="16"/>
                <w:szCs w:val="16"/>
                <w:color w:val="214E93"/>
              </w:rPr>
              <w:t>152,952</w:t>
            </w:r>
          </w:p>
        </w:tc>
        <w:tc>
          <w:tcPr>
            <w:tcW w:w="1120" w:type="dxa"/>
            <w:vAlign w:val="bottom"/>
          </w:tcPr>
          <w:p>
            <w:pPr>
              <w:jc w:val="right"/>
              <w:ind w:right="221"/>
              <w:spacing w:after="0"/>
              <w:rPr>
                <w:sz w:val="20"/>
                <w:szCs w:val="20"/>
                <w:color w:val="auto"/>
              </w:rPr>
            </w:pPr>
            <w:r>
              <w:rPr>
                <w:rFonts w:ascii="Verdana" w:cs="Verdana" w:eastAsia="Verdana" w:hAnsi="Verdana"/>
                <w:sz w:val="16"/>
                <w:szCs w:val="16"/>
                <w:color w:val="auto"/>
              </w:rPr>
              <w:t>155,573</w:t>
            </w:r>
          </w:p>
        </w:tc>
        <w:tc>
          <w:tcPr>
            <w:tcW w:w="1080" w:type="dxa"/>
            <w:vAlign w:val="bottom"/>
          </w:tcPr>
          <w:p>
            <w:pPr>
              <w:jc w:val="right"/>
              <w:ind w:right="161"/>
              <w:spacing w:after="0"/>
              <w:rPr>
                <w:sz w:val="20"/>
                <w:szCs w:val="20"/>
                <w:color w:val="auto"/>
              </w:rPr>
            </w:pPr>
            <w:r>
              <w:rPr>
                <w:rFonts w:ascii="Verdana" w:cs="Verdana" w:eastAsia="Verdana" w:hAnsi="Verdana"/>
                <w:sz w:val="16"/>
                <w:szCs w:val="16"/>
                <w:color w:val="auto"/>
              </w:rPr>
              <w:t>110,635</w:t>
            </w:r>
          </w:p>
        </w:tc>
      </w:tr>
      <w:tr>
        <w:trPr>
          <w:trHeight w:val="242"/>
        </w:trPr>
        <w:tc>
          <w:tcPr>
            <w:tcW w:w="4780" w:type="dxa"/>
            <w:vAlign w:val="bottom"/>
            <w:tcBorders>
              <w:bottom w:val="single" w:sz="8" w:color="auto"/>
            </w:tcBorders>
          </w:tcPr>
          <w:p>
            <w:pPr>
              <w:ind w:left="160"/>
              <w:spacing w:after="0"/>
              <w:rPr>
                <w:sz w:val="20"/>
                <w:szCs w:val="20"/>
                <w:color w:val="auto"/>
              </w:rPr>
            </w:pPr>
            <w:r>
              <w:rPr>
                <w:rFonts w:ascii="Verdana" w:cs="Verdana" w:eastAsia="Verdana" w:hAnsi="Verdana"/>
                <w:sz w:val="16"/>
                <w:szCs w:val="16"/>
                <w:color w:val="auto"/>
              </w:rPr>
              <w:t>Natural gas (Bcf)</w:t>
            </w:r>
          </w:p>
        </w:tc>
        <w:tc>
          <w:tcPr>
            <w:tcW w:w="2560" w:type="dxa"/>
            <w:vAlign w:val="bottom"/>
            <w:tcBorders>
              <w:bottom w:val="single" w:sz="8" w:color="auto"/>
            </w:tcBorders>
          </w:tcPr>
          <w:p>
            <w:pPr>
              <w:jc w:val="right"/>
              <w:ind w:right="241"/>
              <w:spacing w:after="0"/>
              <w:rPr>
                <w:sz w:val="20"/>
                <w:szCs w:val="20"/>
                <w:color w:val="auto"/>
              </w:rPr>
            </w:pPr>
            <w:r>
              <w:rPr>
                <w:rFonts w:ascii="Verdana" w:cs="Verdana" w:eastAsia="Verdana" w:hAnsi="Verdana"/>
                <w:sz w:val="16"/>
                <w:szCs w:val="16"/>
                <w:color w:val="214E93"/>
              </w:rPr>
              <w:t>636.6</w:t>
            </w:r>
          </w:p>
        </w:tc>
        <w:tc>
          <w:tcPr>
            <w:tcW w:w="1120" w:type="dxa"/>
            <w:vAlign w:val="bottom"/>
            <w:tcBorders>
              <w:bottom w:val="single" w:sz="8" w:color="auto"/>
            </w:tcBorders>
          </w:tcPr>
          <w:p>
            <w:pPr>
              <w:jc w:val="right"/>
              <w:ind w:right="221"/>
              <w:spacing w:after="0"/>
              <w:rPr>
                <w:sz w:val="20"/>
                <w:szCs w:val="20"/>
                <w:color w:val="auto"/>
              </w:rPr>
            </w:pPr>
            <w:r>
              <w:rPr>
                <w:rFonts w:ascii="Verdana" w:cs="Verdana" w:eastAsia="Verdana" w:hAnsi="Verdana"/>
                <w:sz w:val="16"/>
                <w:szCs w:val="16"/>
                <w:color w:val="auto"/>
              </w:rPr>
              <w:t>535.0</w:t>
            </w:r>
          </w:p>
        </w:tc>
        <w:tc>
          <w:tcPr>
            <w:tcW w:w="1080" w:type="dxa"/>
            <w:vAlign w:val="bottom"/>
            <w:tcBorders>
              <w:bottom w:val="single" w:sz="8" w:color="auto"/>
            </w:tcBorders>
          </w:tcPr>
          <w:p>
            <w:pPr>
              <w:jc w:val="right"/>
              <w:ind w:right="161"/>
              <w:spacing w:after="0"/>
              <w:rPr>
                <w:sz w:val="20"/>
                <w:szCs w:val="20"/>
                <w:color w:val="auto"/>
              </w:rPr>
            </w:pPr>
            <w:r>
              <w:rPr>
                <w:rFonts w:ascii="Verdana" w:cs="Verdana" w:eastAsia="Verdana" w:hAnsi="Verdana"/>
                <w:sz w:val="16"/>
                <w:szCs w:val="16"/>
                <w:color w:val="auto"/>
              </w:rPr>
              <w:t>344.0</w:t>
            </w:r>
          </w:p>
        </w:tc>
      </w:tr>
      <w:tr>
        <w:trPr>
          <w:trHeight w:val="217"/>
        </w:trPr>
        <w:tc>
          <w:tcPr>
            <w:tcW w:w="4780" w:type="dxa"/>
            <w:vAlign w:val="bottom"/>
            <w:tcBorders>
              <w:bottom w:val="single" w:sz="8" w:color="214E93"/>
            </w:tcBorders>
          </w:tcPr>
          <w:p>
            <w:pPr>
              <w:ind w:left="280"/>
              <w:spacing w:after="0" w:line="216" w:lineRule="exact"/>
              <w:rPr>
                <w:sz w:val="20"/>
                <w:szCs w:val="20"/>
                <w:color w:val="auto"/>
              </w:rPr>
            </w:pPr>
            <w:r>
              <w:rPr>
                <w:rFonts w:ascii="Verdana" w:cs="Verdana" w:eastAsia="Verdana" w:hAnsi="Verdana"/>
                <w:sz w:val="16"/>
                <w:szCs w:val="16"/>
                <w:color w:val="auto"/>
              </w:rPr>
              <w:t>Total (MBOE)</w:t>
            </w:r>
            <w:r>
              <w:rPr>
                <w:rFonts w:ascii="Verdana" w:cs="Verdana" w:eastAsia="Verdana" w:hAnsi="Verdana"/>
                <w:sz w:val="20"/>
                <w:szCs w:val="20"/>
                <w:color w:val="auto"/>
                <w:vertAlign w:val="superscript"/>
              </w:rPr>
              <w:t>(3)</w:t>
            </w:r>
          </w:p>
        </w:tc>
        <w:tc>
          <w:tcPr>
            <w:tcW w:w="2560" w:type="dxa"/>
            <w:vAlign w:val="bottom"/>
            <w:tcBorders>
              <w:bottom w:val="single" w:sz="8" w:color="214E93"/>
            </w:tcBorders>
          </w:tcPr>
          <w:p>
            <w:pPr>
              <w:jc w:val="right"/>
              <w:ind w:right="241"/>
              <w:spacing w:after="0"/>
              <w:rPr>
                <w:sz w:val="20"/>
                <w:szCs w:val="20"/>
                <w:color w:val="auto"/>
              </w:rPr>
            </w:pPr>
            <w:r>
              <w:rPr>
                <w:rFonts w:ascii="Verdana" w:cs="Verdana" w:eastAsia="Verdana" w:hAnsi="Verdana"/>
                <w:sz w:val="16"/>
                <w:szCs w:val="16"/>
                <w:color w:val="214E93"/>
              </w:rPr>
              <w:t>259,060</w:t>
            </w:r>
          </w:p>
        </w:tc>
        <w:tc>
          <w:tcPr>
            <w:tcW w:w="1120" w:type="dxa"/>
            <w:vAlign w:val="bottom"/>
            <w:tcBorders>
              <w:bottom w:val="single" w:sz="8" w:color="214E93"/>
            </w:tcBorders>
          </w:tcPr>
          <w:p>
            <w:pPr>
              <w:jc w:val="right"/>
              <w:ind w:right="221"/>
              <w:spacing w:after="0"/>
              <w:rPr>
                <w:sz w:val="20"/>
                <w:szCs w:val="20"/>
                <w:color w:val="auto"/>
              </w:rPr>
            </w:pPr>
            <w:r>
              <w:rPr>
                <w:rFonts w:ascii="Verdana" w:cs="Verdana" w:eastAsia="Verdana" w:hAnsi="Verdana"/>
                <w:sz w:val="16"/>
                <w:szCs w:val="16"/>
                <w:color w:val="auto"/>
              </w:rPr>
              <w:t>244,740</w:t>
            </w:r>
          </w:p>
        </w:tc>
        <w:tc>
          <w:tcPr>
            <w:tcW w:w="1080" w:type="dxa"/>
            <w:vAlign w:val="bottom"/>
            <w:tcBorders>
              <w:bottom w:val="single" w:sz="8" w:color="214E93"/>
            </w:tcBorders>
          </w:tcPr>
          <w:p>
            <w:pPr>
              <w:jc w:val="right"/>
              <w:ind w:right="161"/>
              <w:spacing w:after="0"/>
              <w:rPr>
                <w:sz w:val="20"/>
                <w:szCs w:val="20"/>
                <w:color w:val="auto"/>
              </w:rPr>
            </w:pPr>
            <w:r>
              <w:rPr>
                <w:rFonts w:ascii="Verdana" w:cs="Verdana" w:eastAsia="Verdana" w:hAnsi="Verdana"/>
                <w:sz w:val="16"/>
                <w:szCs w:val="16"/>
                <w:color w:val="auto"/>
              </w:rPr>
              <w:t>167,973</w:t>
            </w:r>
          </w:p>
        </w:tc>
      </w:tr>
      <w:tr>
        <w:trPr>
          <w:trHeight w:val="235"/>
        </w:trPr>
        <w:tc>
          <w:tcPr>
            <w:tcW w:w="4780" w:type="dxa"/>
            <w:vAlign w:val="bottom"/>
          </w:tcPr>
          <w:p>
            <w:pPr>
              <w:ind w:left="40"/>
              <w:spacing w:after="0" w:line="234" w:lineRule="exact"/>
              <w:rPr>
                <w:sz w:val="20"/>
                <w:szCs w:val="20"/>
                <w:color w:val="auto"/>
              </w:rPr>
            </w:pPr>
            <w:r>
              <w:rPr>
                <w:rFonts w:ascii="Verdana" w:cs="Verdana" w:eastAsia="Verdana" w:hAnsi="Verdana"/>
                <w:sz w:val="16"/>
                <w:szCs w:val="16"/>
                <w:color w:val="auto"/>
              </w:rPr>
              <w:t>Standardized Measure</w:t>
            </w:r>
            <w:r>
              <w:rPr>
                <w:rFonts w:ascii="Verdana" w:cs="Verdana" w:eastAsia="Verdana" w:hAnsi="Verdana"/>
                <w:sz w:val="20"/>
                <w:szCs w:val="20"/>
                <w:color w:val="auto"/>
                <w:vertAlign w:val="superscript"/>
              </w:rPr>
              <w:t>(4)</w:t>
            </w:r>
            <w:r>
              <w:rPr>
                <w:rFonts w:ascii="Verdana" w:cs="Verdana" w:eastAsia="Verdana" w:hAnsi="Verdana"/>
                <w:sz w:val="16"/>
                <w:szCs w:val="16"/>
                <w:color w:val="auto"/>
              </w:rPr>
              <w:t xml:space="preserve"> (in millions)</w:t>
            </w:r>
          </w:p>
        </w:tc>
        <w:tc>
          <w:tcPr>
            <w:tcW w:w="2560" w:type="dxa"/>
            <w:vAlign w:val="bottom"/>
          </w:tcPr>
          <w:p>
            <w:pPr>
              <w:jc w:val="right"/>
              <w:ind w:right="241"/>
              <w:spacing w:after="0"/>
              <w:rPr>
                <w:sz w:val="20"/>
                <w:szCs w:val="20"/>
                <w:color w:val="auto"/>
              </w:rPr>
            </w:pPr>
            <w:r>
              <w:rPr>
                <w:rFonts w:ascii="Verdana" w:cs="Verdana" w:eastAsia="Verdana" w:hAnsi="Verdana"/>
                <w:sz w:val="16"/>
                <w:szCs w:val="16"/>
                <w:color w:val="214E93"/>
              </w:rPr>
              <w:t>$ 6,986.6</w:t>
            </w:r>
          </w:p>
        </w:tc>
        <w:tc>
          <w:tcPr>
            <w:tcW w:w="1120" w:type="dxa"/>
            <w:vAlign w:val="bottom"/>
          </w:tcPr>
          <w:p>
            <w:pPr>
              <w:jc w:val="right"/>
              <w:ind w:right="221"/>
              <w:spacing w:after="0"/>
              <w:rPr>
                <w:sz w:val="20"/>
                <w:szCs w:val="20"/>
                <w:color w:val="auto"/>
              </w:rPr>
            </w:pPr>
            <w:r>
              <w:rPr>
                <w:rFonts w:ascii="Verdana" w:cs="Verdana" w:eastAsia="Verdana" w:hAnsi="Verdana"/>
                <w:sz w:val="16"/>
                <w:szCs w:val="16"/>
                <w:color w:val="auto"/>
              </w:rPr>
              <w:t>$ 7,376.6</w:t>
            </w:r>
          </w:p>
        </w:tc>
        <w:tc>
          <w:tcPr>
            <w:tcW w:w="1080" w:type="dxa"/>
            <w:vAlign w:val="bottom"/>
          </w:tcPr>
          <w:p>
            <w:pPr>
              <w:jc w:val="right"/>
              <w:ind w:right="161"/>
              <w:spacing w:after="0"/>
              <w:rPr>
                <w:sz w:val="20"/>
                <w:szCs w:val="20"/>
                <w:color w:val="auto"/>
              </w:rPr>
            </w:pPr>
            <w:r>
              <w:rPr>
                <w:rFonts w:ascii="Verdana" w:cs="Verdana" w:eastAsia="Verdana" w:hAnsi="Verdana"/>
                <w:sz w:val="16"/>
                <w:szCs w:val="16"/>
                <w:color w:val="auto"/>
              </w:rPr>
              <w:t>$ 6,113.5</w:t>
            </w:r>
          </w:p>
        </w:tc>
      </w:tr>
      <w:tr>
        <w:trPr>
          <w:trHeight w:val="301"/>
        </w:trPr>
        <w:tc>
          <w:tcPr>
            <w:tcW w:w="4780" w:type="dxa"/>
            <w:vAlign w:val="bottom"/>
          </w:tcPr>
          <w:p>
            <w:pPr>
              <w:ind w:left="40"/>
              <w:spacing w:after="0"/>
              <w:rPr>
                <w:sz w:val="20"/>
                <w:szCs w:val="20"/>
                <w:color w:val="auto"/>
              </w:rPr>
            </w:pPr>
            <w:r>
              <w:rPr>
                <w:rFonts w:ascii="Verdana" w:cs="Verdana" w:eastAsia="Verdana" w:hAnsi="Verdana"/>
                <w:sz w:val="16"/>
                <w:szCs w:val="16"/>
                <w:color w:val="auto"/>
              </w:rPr>
              <w:t>PV-10</w:t>
            </w:r>
            <w:r>
              <w:rPr>
                <w:rFonts w:ascii="Verdana" w:cs="Verdana" w:eastAsia="Verdana" w:hAnsi="Verdana"/>
                <w:sz w:val="20"/>
                <w:szCs w:val="20"/>
                <w:color w:val="auto"/>
                <w:vertAlign w:val="superscript"/>
              </w:rPr>
              <w:t>(5)</w:t>
            </w:r>
            <w:r>
              <w:rPr>
                <w:rFonts w:ascii="Verdana" w:cs="Verdana" w:eastAsia="Verdana" w:hAnsi="Verdana"/>
                <w:sz w:val="16"/>
                <w:szCs w:val="16"/>
                <w:color w:val="auto"/>
              </w:rPr>
              <w:t xml:space="preserve"> (in millions)</w:t>
            </w:r>
          </w:p>
        </w:tc>
        <w:tc>
          <w:tcPr>
            <w:tcW w:w="2560" w:type="dxa"/>
            <w:vAlign w:val="bottom"/>
          </w:tcPr>
          <w:p>
            <w:pPr>
              <w:jc w:val="right"/>
              <w:ind w:right="241"/>
              <w:spacing w:after="0"/>
              <w:rPr>
                <w:sz w:val="20"/>
                <w:szCs w:val="20"/>
                <w:color w:val="auto"/>
              </w:rPr>
            </w:pPr>
            <w:r>
              <w:rPr>
                <w:rFonts w:ascii="Verdana" w:cs="Verdana" w:eastAsia="Verdana" w:hAnsi="Verdana"/>
                <w:sz w:val="16"/>
                <w:szCs w:val="16"/>
                <w:color w:val="214E93"/>
              </w:rPr>
              <w:t>$ 8,237.8</w:t>
            </w:r>
          </w:p>
        </w:tc>
        <w:tc>
          <w:tcPr>
            <w:tcW w:w="1120" w:type="dxa"/>
            <w:vAlign w:val="bottom"/>
          </w:tcPr>
          <w:p>
            <w:pPr>
              <w:jc w:val="right"/>
              <w:ind w:right="221"/>
              <w:spacing w:after="0"/>
              <w:rPr>
                <w:sz w:val="20"/>
                <w:szCs w:val="20"/>
                <w:color w:val="auto"/>
              </w:rPr>
            </w:pPr>
            <w:r>
              <w:rPr>
                <w:rFonts w:ascii="Verdana" w:cs="Verdana" w:eastAsia="Verdana" w:hAnsi="Verdana"/>
                <w:sz w:val="16"/>
                <w:szCs w:val="16"/>
                <w:color w:val="auto"/>
              </w:rPr>
              <w:t>$ 9,233.8</w:t>
            </w:r>
          </w:p>
        </w:tc>
        <w:tc>
          <w:tcPr>
            <w:tcW w:w="1080" w:type="dxa"/>
            <w:vAlign w:val="bottom"/>
          </w:tcPr>
          <w:p>
            <w:pPr>
              <w:jc w:val="right"/>
              <w:ind w:right="161"/>
              <w:spacing w:after="0"/>
              <w:rPr>
                <w:sz w:val="20"/>
                <w:szCs w:val="20"/>
                <w:color w:val="auto"/>
              </w:rPr>
            </w:pPr>
            <w:r>
              <w:rPr>
                <w:rFonts w:ascii="Verdana" w:cs="Verdana" w:eastAsia="Verdana" w:hAnsi="Verdana"/>
                <w:sz w:val="16"/>
                <w:szCs w:val="16"/>
                <w:color w:val="auto"/>
              </w:rPr>
              <w:t>$ 7,704.1</w:t>
            </w:r>
          </w:p>
        </w:tc>
      </w:tr>
    </w:tbl>
    <w:p>
      <w:pPr>
        <w:spacing w:after="0" w:line="20" w:lineRule="exact"/>
        <w:rPr>
          <w:sz w:val="20"/>
          <w:szCs w:val="20"/>
          <w:color w:val="auto"/>
        </w:rPr>
      </w:pPr>
    </w:p>
    <w:p>
      <w:pPr>
        <w:spacing w:after="0" w:line="42" w:lineRule="exact"/>
        <w:rPr>
          <w:sz w:val="20"/>
          <w:szCs w:val="20"/>
          <w:color w:val="auto"/>
        </w:rPr>
      </w:pPr>
    </w:p>
    <w:p>
      <w:pPr>
        <w:ind w:left="1200" w:hanging="350"/>
        <w:spacing w:after="0"/>
        <w:tabs>
          <w:tab w:leader="none" w:pos="1200" w:val="left"/>
        </w:tabs>
        <w:numPr>
          <w:ilvl w:val="0"/>
          <w:numId w:val="28"/>
        </w:numPr>
        <w:rPr>
          <w:rFonts w:ascii="Calibri" w:cs="Calibri" w:eastAsia="Calibri" w:hAnsi="Calibri"/>
          <w:sz w:val="14"/>
          <w:szCs w:val="14"/>
          <w:color w:val="auto"/>
        </w:rPr>
      </w:pPr>
      <w:r>
        <w:rPr>
          <w:rFonts w:ascii="Calibri" w:cs="Calibri" w:eastAsia="Calibri" w:hAnsi="Calibri"/>
          <w:sz w:val="14"/>
          <w:szCs w:val="14"/>
          <w:color w:val="auto"/>
        </w:rPr>
        <w:t>Numbers in table may not total due to rounding.</w:t>
      </w:r>
    </w:p>
    <w:p>
      <w:pPr>
        <w:spacing w:after="0" w:line="86" w:lineRule="exact"/>
        <w:rPr>
          <w:rFonts w:ascii="Calibri" w:cs="Calibri" w:eastAsia="Calibri" w:hAnsi="Calibri"/>
          <w:sz w:val="14"/>
          <w:szCs w:val="14"/>
          <w:color w:val="auto"/>
        </w:rPr>
      </w:pPr>
    </w:p>
    <w:p>
      <w:pPr>
        <w:ind w:left="1200" w:hanging="350"/>
        <w:spacing w:after="0" w:line="230" w:lineRule="auto"/>
        <w:tabs>
          <w:tab w:leader="none" w:pos="1200" w:val="left"/>
        </w:tabs>
        <w:numPr>
          <w:ilvl w:val="0"/>
          <w:numId w:val="28"/>
        </w:numPr>
        <w:rPr>
          <w:rFonts w:ascii="Calibri" w:cs="Calibri" w:eastAsia="Calibri" w:hAnsi="Calibri"/>
          <w:sz w:val="14"/>
          <w:szCs w:val="14"/>
          <w:color w:val="auto"/>
        </w:rPr>
      </w:pPr>
      <w:r>
        <w:rPr>
          <w:rFonts w:ascii="Calibri" w:cs="Calibri" w:eastAsia="Calibri" w:hAnsi="Calibri"/>
          <w:sz w:val="14"/>
          <w:szCs w:val="14"/>
          <w:color w:val="auto"/>
        </w:rPr>
        <w:t>Our estimated proved reserves, Standardized Measure and PV-10 were determined using index prices for oil and natural gas, without giving effect to derivative transactions, and were held constant throughout the life of the properties. The unweighted arithmetic averages of the first-day-of-the-month prices for the 12 months ended December 31, 2025 were $61.82 per Bbl for oil and $3.39 per MMBtu for natural gas, for the 12 months ended December 31, 2024 were $71.96 per Bbl for oil and $2.13 per MMBtu for natural gas and for the 12 months ended December 31, 2023 were $74.70 per Bbl for oil and $2.64 per MMBtu for natural gas. These prices were adjusted by property for quality, energy content, regional price differentials, transportation fees, marketing deductions and other factors affecting the price received at the wellhead.</w:t>
      </w:r>
    </w:p>
    <w:p>
      <w:pPr>
        <w:spacing w:after="0" w:line="74" w:lineRule="exact"/>
        <w:rPr>
          <w:rFonts w:ascii="Calibri" w:cs="Calibri" w:eastAsia="Calibri" w:hAnsi="Calibri"/>
          <w:sz w:val="14"/>
          <w:szCs w:val="14"/>
          <w:color w:val="auto"/>
        </w:rPr>
      </w:pPr>
    </w:p>
    <w:p>
      <w:pPr>
        <w:ind w:left="1200" w:hanging="350"/>
        <w:spacing w:after="0"/>
        <w:tabs>
          <w:tab w:leader="none" w:pos="1200" w:val="left"/>
        </w:tabs>
        <w:numPr>
          <w:ilvl w:val="0"/>
          <w:numId w:val="28"/>
        </w:numPr>
        <w:rPr>
          <w:rFonts w:ascii="Calibri" w:cs="Calibri" w:eastAsia="Calibri" w:hAnsi="Calibri"/>
          <w:sz w:val="14"/>
          <w:szCs w:val="14"/>
          <w:color w:val="auto"/>
        </w:rPr>
      </w:pPr>
      <w:r>
        <w:rPr>
          <w:rFonts w:ascii="Calibri" w:cs="Calibri" w:eastAsia="Calibri" w:hAnsi="Calibri"/>
          <w:sz w:val="14"/>
          <w:szCs w:val="14"/>
          <w:color w:val="auto"/>
        </w:rPr>
        <w:t>Estimated using a conversion ratio of one Bbl of oil per six Mcf of natural gas.</w:t>
      </w:r>
    </w:p>
    <w:p>
      <w:pPr>
        <w:spacing w:after="0" w:line="86" w:lineRule="exact"/>
        <w:rPr>
          <w:rFonts w:ascii="Calibri" w:cs="Calibri" w:eastAsia="Calibri" w:hAnsi="Calibri"/>
          <w:sz w:val="14"/>
          <w:szCs w:val="14"/>
          <w:color w:val="auto"/>
        </w:rPr>
      </w:pPr>
    </w:p>
    <w:p>
      <w:pPr>
        <w:ind w:left="1200" w:hanging="350"/>
        <w:spacing w:after="0" w:line="228" w:lineRule="auto"/>
        <w:tabs>
          <w:tab w:leader="none" w:pos="1200" w:val="left"/>
        </w:tabs>
        <w:numPr>
          <w:ilvl w:val="0"/>
          <w:numId w:val="28"/>
        </w:numPr>
        <w:rPr>
          <w:rFonts w:ascii="Calibri" w:cs="Calibri" w:eastAsia="Calibri" w:hAnsi="Calibri"/>
          <w:sz w:val="14"/>
          <w:szCs w:val="14"/>
          <w:color w:val="auto"/>
        </w:rPr>
      </w:pPr>
      <w:r>
        <w:rPr>
          <w:rFonts w:ascii="Calibri" w:cs="Calibri" w:eastAsia="Calibri" w:hAnsi="Calibri"/>
          <w:sz w:val="14"/>
          <w:szCs w:val="14"/>
          <w:color w:val="auto"/>
        </w:rPr>
        <w:t>Standardized Measure represents the present value of estimated future net cash flows from proved reserves, less estimated future development, production, plugging and abandonment and income tax expenses, discounted at 10% to reflect the timing of future cash flows. Standardized Measure is not an estimate of the fair market value of our properties.</w:t>
      </w:r>
    </w:p>
    <w:p>
      <w:pPr>
        <w:spacing w:after="0" w:line="87" w:lineRule="exact"/>
        <w:rPr>
          <w:rFonts w:ascii="Calibri" w:cs="Calibri" w:eastAsia="Calibri" w:hAnsi="Calibri"/>
          <w:sz w:val="14"/>
          <w:szCs w:val="14"/>
          <w:color w:val="auto"/>
        </w:rPr>
      </w:pPr>
    </w:p>
    <w:p>
      <w:pPr>
        <w:ind w:left="1200" w:right="60" w:hanging="350"/>
        <w:spacing w:after="0" w:line="259" w:lineRule="auto"/>
        <w:tabs>
          <w:tab w:leader="none" w:pos="1200" w:val="left"/>
        </w:tabs>
        <w:numPr>
          <w:ilvl w:val="0"/>
          <w:numId w:val="28"/>
        </w:numPr>
        <w:rPr>
          <w:rFonts w:ascii="Calibri" w:cs="Calibri" w:eastAsia="Calibri" w:hAnsi="Calibri"/>
          <w:sz w:val="13"/>
          <w:szCs w:val="13"/>
          <w:color w:val="auto"/>
        </w:rPr>
      </w:pPr>
      <w:r>
        <w:rPr>
          <w:rFonts w:ascii="Calibri" w:cs="Calibri" w:eastAsia="Calibri" w:hAnsi="Calibri"/>
          <w:sz w:val="13"/>
          <w:szCs w:val="13"/>
          <w:color w:val="auto"/>
        </w:rPr>
        <w:t>PV-10 is a non-GAAP financial measure and generally differs from Standardized Measure, the most directly comparable GAAP financial measure, because it does not include the effects of income taxes on future net revenues. PV-10 is not an estimate of the fair market value of our properties. We and others in the industry use PV-10 as a measure to compare the relative size and value of proved reserves held by companies and of the potential return on investment related to the companies’ properties without regard to the specific tax characteristics of such entities. Our PV-10 at December 31, 2025, 2024 and 2023 may be reconciled to our Standardized Measure of discounted future net cash flows at such dates by adding the discounted future income taxes associated with such reserves to the Standardized Measure. The discounted future income taxes at December 31, 2025, 2024 and 2023 were $1.25 billion, $1.86 billion and $1.59 billion, respectively.</w:t>
      </w:r>
    </w:p>
    <w:p>
      <w:pPr>
        <w:spacing w:after="0" w:line="223" w:lineRule="exact"/>
        <w:rPr>
          <w:sz w:val="20"/>
          <w:szCs w:val="20"/>
          <w:color w:val="auto"/>
        </w:rPr>
      </w:pPr>
    </w:p>
    <w:p>
      <w:pPr>
        <w:ind w:left="720" w:firstLine="241"/>
        <w:spacing w:after="0" w:line="286" w:lineRule="auto"/>
        <w:rPr>
          <w:sz w:val="20"/>
          <w:szCs w:val="20"/>
          <w:color w:val="auto"/>
        </w:rPr>
      </w:pPr>
      <w:r>
        <w:rPr>
          <w:rFonts w:ascii="Calibri" w:cs="Calibri" w:eastAsia="Calibri" w:hAnsi="Calibri"/>
          <w:sz w:val="17"/>
          <w:szCs w:val="17"/>
          <w:color w:val="auto"/>
        </w:rPr>
        <w:t>Our estimated total proved oil and natural gas reserves increased 9% from 611.5 million BOE at December 31, 2024 to 667.0 million BOE at December 31, 2025. Our proved oil and natural gas reserves increased by 131.1 million BOE and we produced 75.6 million BOE during the year ended December 31, 2025. This increase in proved oil and natural gas reserves was primarily attributable to our delineation and development operations in the Delaware Basin during 2025. We increased our total proved oil and natural gas reserves by 3.3 million BOE as a result of acquisitions, divestitures and trades during 2025. We also added 135.0 million BOE in proved oil and natural gas reserves through extensions and discoveries during 2025, of which 23.0 million BOE resulted from new well locations turned to sales during 2025 to establish proved developed reserves and 112.0 million BOE resulted from new proved undeveloped locations identified as a result of drilling activities on our existing acreage in the Delaware Basin during 2025. Additionally, we realized approximately 7.2 million BOE in net downward revisions of prior estimates of proved reserves in 2025, which primarily included the removal of 22.8 million BOE in proved undeveloped reserves that were not developed or were no longer expected to be developed within five years of their initial booking resulting primarily from changes in development plans for certain of our properties in the Delaware Basin, and 5.6 million BOE resulting from pricing updates, including the 14% decrease in oil prices, which was partially offset by the 59% increase in natural gas prices used to estimate total proved reserves at December 31, 2025, as compared to December 31, 2024, and 2.9 million BOE in expense updates. As we continue to develop our Delaware Basin assets, we may reclassify some or all of the 22.8 million BOE to proved reserves at a future date. These downward revisions at December 31, 2025 were partially offset by positive forecast updates of 24.1 million BOE.</w:t>
      </w:r>
    </w:p>
    <w:p>
      <w:pPr>
        <w:spacing w:after="0" w:line="200" w:lineRule="exact"/>
        <w:rPr>
          <w:sz w:val="20"/>
          <w:szCs w:val="20"/>
          <w:color w:val="auto"/>
        </w:rPr>
      </w:pPr>
    </w:p>
    <w:p>
      <w:pPr>
        <w:spacing w:after="0" w:line="254" w:lineRule="exact"/>
        <w:rPr>
          <w:sz w:val="20"/>
          <w:szCs w:val="20"/>
          <w:color w:val="auto"/>
        </w:rPr>
      </w:pPr>
    </w:p>
    <w:p>
      <w:pPr>
        <w:ind w:left="720" w:right="140" w:firstLine="241"/>
        <w:spacing w:after="0" w:line="264" w:lineRule="auto"/>
        <w:rPr>
          <w:sz w:val="20"/>
          <w:szCs w:val="20"/>
          <w:color w:val="auto"/>
        </w:rPr>
      </w:pPr>
      <w:r>
        <w:rPr>
          <w:rFonts w:ascii="Calibri" w:cs="Calibri" w:eastAsia="Calibri" w:hAnsi="Calibri"/>
          <w:sz w:val="18"/>
          <w:szCs w:val="18"/>
          <w:color w:val="auto"/>
        </w:rPr>
        <w:t>Our proved oil reserves grew 4% from approximately 361.8 million Bbl at December 31, 2024 to approximately 376.0 million Bbl at December 31, 2025. Our proved natural gas reserves increased 17% from 1.50 Tcf at December 31, 2024 to 1.75 Tcf at December 31, 2025. Our proved reserves to production ratio at December 31, 2025 was 8.8, a decrease of 10% from 9.8 at December 31, 2024.</w:t>
      </w:r>
    </w:p>
    <w:p>
      <w:pPr>
        <w:sectPr>
          <w:pgSz w:w="11880" w:h="15480" w:orient="portrait"/>
          <w:cols w:equalWidth="0" w:num="1">
            <w:col w:w="10280"/>
          </w:cols>
          <w:pgMar w:left="440" w:top="498" w:right="1160" w:bottom="0" w:gutter="0" w:footer="0" w:header="0"/>
        </w:sectPr>
      </w:pPr>
    </w:p>
    <w:p>
      <w:pPr>
        <w:spacing w:after="0" w:line="200" w:lineRule="exact"/>
        <w:rPr>
          <w:sz w:val="20"/>
          <w:szCs w:val="20"/>
          <w:color w:val="auto"/>
        </w:rPr>
      </w:pPr>
    </w:p>
    <w:p>
      <w:pPr>
        <w:spacing w:after="0" w:line="379"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440" w:top="498" w:right="1160" w:bottom="0" w:gutter="0" w:footer="0" w:header="0"/>
          <w:type w:val="continuous"/>
        </w:sectPr>
      </w:pPr>
    </w:p>
    <w:bookmarkStart w:id="34" w:name="page35"/>
    <w:bookmarkEnd w:id="34"/>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21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720" w:firstLine="241"/>
        <w:spacing w:after="0" w:line="269" w:lineRule="auto"/>
        <w:rPr>
          <w:sz w:val="20"/>
          <w:szCs w:val="20"/>
          <w:color w:val="auto"/>
        </w:rPr>
      </w:pPr>
      <w:r>
        <w:rPr>
          <w:rFonts w:ascii="Calibri" w:cs="Calibri" w:eastAsia="Calibri" w:hAnsi="Calibri"/>
          <w:sz w:val="18"/>
          <w:szCs w:val="18"/>
          <w:color w:val="auto"/>
        </w:rPr>
        <w:t>The Standardized Measure of our total proved oil and natural gas reserves decreased 5% from $7.38 billion at December 31, 2024 to $6.99 billion at December 31, 2025. The PV-10 of our total proved oil and natural gas reserves decreased 11% from $9.23 billion at December 31, 2024 to $8.24 billion at December 31, 2025. The decreases in our Standardized Measure and PV-10 are primarily a result of the lower unweighted arithmetic average oil prices, which were partially offset by the higher unweighted arithmetic average natural gas prices used to estimate proved reserves at December 31, 2025, as compared to December 31, 2024, partially offset by a 9% increase in our total proved oil and natural gas reserves at December 31, 2025, as compared to December 31, 2024. The unweighted arithmetic averages of first-day-of-the-month oil and natural gas prices used to estimate proved reserves at December 31, 2025 were $61.82 per Bbl and $3.39 per MMBtu, a decrease of 14% and an increase of 59%, respectively, as compared to average oil and natural gas prices of $71.96 per Bbl and $2.13 per MMBtu used to estimate proved reserves at December 31, 2024. Our total proved reserves were made up of 56% oil and 44% natural gas at December 31, 2025 and 59% oil and 41% natural gas at December 31, 2024. PV-10 is a non-GAAP financial measure. For a reconciliation of PV-10 to Standardized Measure, see the preceding table.</w:t>
      </w:r>
    </w:p>
    <w:p>
      <w:pPr>
        <w:spacing w:after="0" w:line="199" w:lineRule="exact"/>
        <w:rPr>
          <w:sz w:val="20"/>
          <w:szCs w:val="20"/>
          <w:color w:val="auto"/>
        </w:rPr>
      </w:pPr>
    </w:p>
    <w:p>
      <w:pPr>
        <w:ind w:left="240"/>
        <w:spacing w:after="0"/>
        <w:rPr>
          <w:sz w:val="20"/>
          <w:szCs w:val="20"/>
          <w:color w:val="auto"/>
        </w:rPr>
      </w:pPr>
      <w:r>
        <w:rPr>
          <w:rFonts w:ascii="Calibri" w:cs="Calibri" w:eastAsia="Calibri" w:hAnsi="Calibri"/>
          <w:sz w:val="18"/>
          <w:szCs w:val="18"/>
          <w:color w:val="auto"/>
        </w:rPr>
        <w:t>The following table summarizes changes in our estimated proved developed reserves at December 31, 2025.</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rPr>
          <w:sz w:val="20"/>
          <w:szCs w:val="20"/>
          <w:color w:val="auto"/>
        </w:rPr>
      </w:pPr>
      <w:r>
        <w:rPr>
          <w:rFonts w:ascii="Verdana" w:cs="Verdana" w:eastAsia="Verdana" w:hAnsi="Verdana"/>
          <w:sz w:val="16"/>
          <w:szCs w:val="16"/>
          <w:color w:val="auto"/>
        </w:rPr>
        <w:t>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-162560</wp:posOffset>
            </wp:positionV>
            <wp:extent cx="6074410" cy="12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5">
                      <a:extLst>
                        <a:ext uri="{28A0092B-C50C-407E-A947-70E740481C1C}"/>
                      </a:extLst>
                    </a:blip>
                    <a:srcRect/>
                    <a:stretch>
                      <a:fillRect/>
                    </a:stretch>
                  </pic:blipFill>
                  <pic:spPr bwMode="auto">
                    <a:xfrm>
                      <a:off x="0" y="0"/>
                      <a:ext cx="6074410" cy="12700"/>
                    </a:xfrm>
                    <a:prstGeom prst="rect">
                      <a:avLst/>
                    </a:prstGeom>
                    <a:noFill/>
                  </pic:spPr>
                </pic:pic>
              </a:graphicData>
            </a:graphic>
          </wp:anchor>
        </w:drawing>
      </w:r>
    </w:p>
    <w:p>
      <w:pPr>
        <w:spacing w:after="0" w:line="66" w:lineRule="exact"/>
        <w:rPr>
          <w:sz w:val="20"/>
          <w:szCs w:val="20"/>
          <w:color w:val="auto"/>
        </w:rPr>
      </w:pPr>
    </w:p>
    <w:p>
      <w:pPr>
        <w:ind w:left="160"/>
        <w:spacing w:after="0"/>
        <w:rPr>
          <w:sz w:val="20"/>
          <w:szCs w:val="20"/>
          <w:color w:val="auto"/>
        </w:rPr>
      </w:pPr>
      <w:r>
        <w:rPr>
          <w:rFonts w:ascii="Verdana" w:cs="Verdana" w:eastAsia="Verdana" w:hAnsi="Verdana"/>
          <w:sz w:val="16"/>
          <w:szCs w:val="16"/>
          <w:color w:val="auto"/>
        </w:rPr>
        <w:t>Extensions and discoveries</w:t>
      </w:r>
    </w:p>
    <w:p>
      <w:pPr>
        <w:spacing w:after="0" w:line="86" w:lineRule="exact"/>
        <w:rPr>
          <w:sz w:val="20"/>
          <w:szCs w:val="20"/>
          <w:color w:val="auto"/>
        </w:rPr>
      </w:pPr>
    </w:p>
    <w:p>
      <w:pPr>
        <w:ind w:left="160"/>
        <w:spacing w:after="0"/>
        <w:rPr>
          <w:sz w:val="20"/>
          <w:szCs w:val="20"/>
          <w:color w:val="auto"/>
        </w:rPr>
      </w:pPr>
      <w:r>
        <w:rPr>
          <w:rFonts w:ascii="Verdana" w:cs="Verdana" w:eastAsia="Verdana" w:hAnsi="Verdana"/>
          <w:sz w:val="16"/>
          <w:szCs w:val="16"/>
          <w:color w:val="auto"/>
        </w:rPr>
        <w:t>Net acquisitions of minerals-in-place</w:t>
      </w:r>
    </w:p>
    <w:p>
      <w:pPr>
        <w:spacing w:after="0" w:line="86" w:lineRule="exact"/>
        <w:rPr>
          <w:sz w:val="20"/>
          <w:szCs w:val="20"/>
          <w:color w:val="auto"/>
        </w:rPr>
      </w:pPr>
    </w:p>
    <w:p>
      <w:pPr>
        <w:ind w:left="160"/>
        <w:spacing w:after="0"/>
        <w:rPr>
          <w:sz w:val="20"/>
          <w:szCs w:val="20"/>
          <w:color w:val="auto"/>
        </w:rPr>
      </w:pPr>
      <w:r>
        <w:rPr>
          <w:rFonts w:ascii="Verdana" w:cs="Verdana" w:eastAsia="Verdana" w:hAnsi="Verdana"/>
          <w:sz w:val="16"/>
          <w:szCs w:val="16"/>
          <w:color w:val="auto"/>
        </w:rPr>
        <w:t>Revisions of prior estimates</w:t>
      </w:r>
    </w:p>
    <w:p>
      <w:pPr>
        <w:spacing w:after="0" w:line="86" w:lineRule="exact"/>
        <w:rPr>
          <w:sz w:val="20"/>
          <w:szCs w:val="20"/>
          <w:color w:val="auto"/>
        </w:rPr>
      </w:pPr>
    </w:p>
    <w:p>
      <w:pPr>
        <w:ind w:left="160"/>
        <w:spacing w:after="0"/>
        <w:rPr>
          <w:sz w:val="20"/>
          <w:szCs w:val="20"/>
          <w:color w:val="auto"/>
        </w:rPr>
      </w:pPr>
      <w:r>
        <w:rPr>
          <w:rFonts w:ascii="Verdana" w:cs="Verdana" w:eastAsia="Verdana" w:hAnsi="Verdana"/>
          <w:sz w:val="16"/>
          <w:szCs w:val="16"/>
          <w:color w:val="auto"/>
        </w:rPr>
        <w:t>Production</w:t>
      </w:r>
    </w:p>
    <w:p>
      <w:pPr>
        <w:spacing w:after="0" w:line="86" w:lineRule="exact"/>
        <w:rPr>
          <w:sz w:val="20"/>
          <w:szCs w:val="20"/>
          <w:color w:val="auto"/>
        </w:rPr>
      </w:pPr>
    </w:p>
    <w:p>
      <w:pPr>
        <w:ind w:left="160"/>
        <w:spacing w:after="0"/>
        <w:rPr>
          <w:sz w:val="20"/>
          <w:szCs w:val="20"/>
          <w:color w:val="auto"/>
        </w:rPr>
      </w:pPr>
      <w:r>
        <w:rPr>
          <w:rFonts w:ascii="Verdana" w:cs="Verdana" w:eastAsia="Verdana" w:hAnsi="Verdana"/>
          <w:sz w:val="16"/>
          <w:szCs w:val="16"/>
          <w:color w:val="auto"/>
        </w:rPr>
        <w:t>Conversion of proved undeveloped to proved developed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607441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6">
                      <a:extLst>
                        <a:ext uri="{28A0092B-C50C-407E-A947-70E740481C1C}"/>
                      </a:extLst>
                    </a:blip>
                    <a:srcRect/>
                    <a:stretch>
                      <a:fillRect/>
                    </a:stretch>
                  </pic:blipFill>
                  <pic:spPr bwMode="auto">
                    <a:xfrm>
                      <a:off x="0" y="0"/>
                      <a:ext cx="6074410" cy="63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Verdana" w:cs="Verdana" w:eastAsia="Verdana" w:hAnsi="Verdana"/>
          <w:sz w:val="16"/>
          <w:szCs w:val="16"/>
          <w:color w:val="214E93"/>
        </w:rPr>
        <w:t>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6074410" cy="12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7">
                      <a:extLst>
                        <a:ext uri="{28A0092B-C50C-407E-A947-70E740481C1C}"/>
                      </a:extLst>
                    </a:blip>
                    <a:srcRect/>
                    <a:stretch>
                      <a:fillRect/>
                    </a:stretch>
                  </pic:blipFill>
                  <pic:spPr bwMode="auto">
                    <a:xfrm>
                      <a:off x="0" y="0"/>
                      <a:ext cx="6074410" cy="12700"/>
                    </a:xfrm>
                    <a:prstGeom prst="rect">
                      <a:avLst/>
                    </a:prstGeom>
                    <a:noFill/>
                  </pic:spPr>
                </pic:pic>
              </a:graphicData>
            </a:graphic>
          </wp:anchor>
        </w:drawing>
      </w:r>
    </w:p>
    <w:p>
      <w:pPr>
        <w:spacing w:after="0" w:line="149" w:lineRule="exact"/>
        <w:rPr>
          <w:sz w:val="20"/>
          <w:szCs w:val="20"/>
          <w:color w:val="auto"/>
        </w:rPr>
      </w:pPr>
    </w:p>
    <w:p>
      <w:pPr>
        <w:ind w:left="180"/>
        <w:spacing w:after="0"/>
        <w:tabs>
          <w:tab w:leader="none" w:pos="420" w:val="left"/>
        </w:tabs>
        <w:rPr>
          <w:sz w:val="20"/>
          <w:szCs w:val="20"/>
          <w:color w:val="auto"/>
        </w:rPr>
      </w:pPr>
      <w:r>
        <w:rPr>
          <w:rFonts w:ascii="Calibri" w:cs="Calibri" w:eastAsia="Calibri" w:hAnsi="Calibri"/>
          <w:sz w:val="14"/>
          <w:szCs w:val="14"/>
          <w:color w:val="auto"/>
        </w:rPr>
        <w:t>(1)</w:t>
      </w:r>
      <w:r>
        <w:rPr>
          <w:sz w:val="20"/>
          <w:szCs w:val="20"/>
          <w:color w:val="auto"/>
        </w:rPr>
        <w:tab/>
      </w:r>
      <w:r>
        <w:rPr>
          <w:rFonts w:ascii="Calibri" w:cs="Calibri" w:eastAsia="Calibri" w:hAnsi="Calibri"/>
          <w:sz w:val="13"/>
          <w:szCs w:val="13"/>
          <w:color w:val="auto"/>
        </w:rPr>
        <w:t>Estimated using a conversion ratio of one Bbl of oil per six Mcf of natural gas.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center"/>
        <w:ind w:right="940"/>
        <w:spacing w:after="0"/>
        <w:rPr>
          <w:sz w:val="20"/>
          <w:szCs w:val="20"/>
          <w:color w:val="auto"/>
        </w:rPr>
      </w:pPr>
      <w:r>
        <w:rPr>
          <w:rFonts w:ascii="Verdana" w:cs="Verdana" w:eastAsia="Verdana" w:hAnsi="Verdana"/>
          <w:sz w:val="14"/>
          <w:szCs w:val="14"/>
          <w:color w:val="auto"/>
        </w:rPr>
        <w:t>Proved</w:t>
      </w:r>
    </w:p>
    <w:p>
      <w:pPr>
        <w:jc w:val="center"/>
        <w:ind w:right="940"/>
        <w:spacing w:after="0"/>
        <w:rPr>
          <w:sz w:val="20"/>
          <w:szCs w:val="20"/>
          <w:color w:val="auto"/>
        </w:rPr>
      </w:pPr>
      <w:r>
        <w:rPr>
          <w:rFonts w:ascii="Verdana" w:cs="Verdana" w:eastAsia="Verdana" w:hAnsi="Verdana"/>
          <w:sz w:val="13"/>
          <w:szCs w:val="13"/>
          <w:color w:val="auto"/>
        </w:rPr>
        <w:t>Developed</w:t>
      </w:r>
    </w:p>
    <w:p>
      <w:pPr>
        <w:spacing w:after="0" w:line="7" w:lineRule="exact"/>
        <w:rPr>
          <w:sz w:val="20"/>
          <w:szCs w:val="20"/>
          <w:color w:val="auto"/>
        </w:rPr>
      </w:pPr>
    </w:p>
    <w:p>
      <w:pPr>
        <w:jc w:val="center"/>
        <w:ind w:right="940"/>
        <w:spacing w:after="0"/>
        <w:rPr>
          <w:sz w:val="20"/>
          <w:szCs w:val="20"/>
          <w:color w:val="auto"/>
        </w:rPr>
      </w:pPr>
      <w:r>
        <w:rPr>
          <w:rFonts w:ascii="Verdana" w:cs="Verdana" w:eastAsia="Verdana" w:hAnsi="Verdana"/>
          <w:sz w:val="14"/>
          <w:szCs w:val="14"/>
          <w:color w:val="auto"/>
        </w:rPr>
        <w:t>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14605</wp:posOffset>
            </wp:positionV>
            <wp:extent cx="740410" cy="12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8">
                      <a:extLst>
                        <a:ext uri="{28A0092B-C50C-407E-A947-70E740481C1C}"/>
                      </a:extLst>
                    </a:blip>
                    <a:srcRect/>
                    <a:stretch>
                      <a:fillRect/>
                    </a:stretch>
                  </pic:blipFill>
                  <pic:spPr bwMode="auto">
                    <a:xfrm>
                      <a:off x="0" y="0"/>
                      <a:ext cx="740410" cy="1270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Verdana" w:cs="Verdana" w:eastAsia="Verdana" w:hAnsi="Verdana"/>
          <w:sz w:val="14"/>
          <w:szCs w:val="14"/>
          <w:color w:val="auto"/>
        </w:rPr>
        <w:t>(MBOE)</w:t>
      </w:r>
      <w:r>
        <w:rPr>
          <w:rFonts w:ascii="Verdana" w:cs="Verdana" w:eastAsia="Verdana" w:hAnsi="Verdana"/>
          <w:sz w:val="17"/>
          <w:szCs w:val="17"/>
          <w:color w:val="auto"/>
          <w:vertAlign w:val="superscript"/>
        </w:rPr>
        <w:t>(1)</w:t>
      </w:r>
    </w:p>
    <w:p>
      <w:pPr>
        <w:spacing w:after="0" w:line="17" w:lineRule="exact"/>
        <w:rPr>
          <w:sz w:val="20"/>
          <w:szCs w:val="20"/>
          <w:color w:val="auto"/>
        </w:rPr>
      </w:pPr>
    </w:p>
    <w:p>
      <w:pPr>
        <w:ind w:left="300"/>
        <w:spacing w:after="0"/>
        <w:rPr>
          <w:sz w:val="20"/>
          <w:szCs w:val="20"/>
          <w:color w:val="auto"/>
        </w:rPr>
      </w:pPr>
      <w:r>
        <w:rPr>
          <w:rFonts w:ascii="Calibri" w:cs="Calibri" w:eastAsia="Calibri" w:hAnsi="Calibri"/>
          <w:sz w:val="18"/>
          <w:szCs w:val="18"/>
          <w:color w:val="auto"/>
        </w:rPr>
        <w:t>366,797</w:t>
      </w:r>
    </w:p>
    <w:p>
      <w:pPr>
        <w:spacing w:after="0" w:line="61" w:lineRule="exact"/>
        <w:rPr>
          <w:sz w:val="20"/>
          <w:szCs w:val="20"/>
          <w:color w:val="auto"/>
        </w:rPr>
      </w:pPr>
    </w:p>
    <w:p>
      <w:pPr>
        <w:jc w:val="right"/>
        <w:ind w:right="780"/>
        <w:spacing w:after="0"/>
        <w:rPr>
          <w:sz w:val="20"/>
          <w:szCs w:val="20"/>
          <w:color w:val="auto"/>
        </w:rPr>
      </w:pPr>
      <w:r>
        <w:rPr>
          <w:rFonts w:ascii="Calibri" w:cs="Calibri" w:eastAsia="Calibri" w:hAnsi="Calibri"/>
          <w:sz w:val="18"/>
          <w:szCs w:val="18"/>
          <w:color w:val="214E93"/>
        </w:rPr>
        <w:t>22,982</w:t>
      </w:r>
    </w:p>
    <w:p>
      <w:pPr>
        <w:spacing w:after="0" w:line="61" w:lineRule="exact"/>
        <w:rPr>
          <w:sz w:val="20"/>
          <w:szCs w:val="20"/>
          <w:color w:val="auto"/>
        </w:rPr>
      </w:pPr>
    </w:p>
    <w:p>
      <w:pPr>
        <w:jc w:val="right"/>
        <w:ind w:right="780"/>
        <w:spacing w:after="0"/>
        <w:rPr>
          <w:sz w:val="20"/>
          <w:szCs w:val="20"/>
          <w:color w:val="auto"/>
        </w:rPr>
      </w:pPr>
      <w:r>
        <w:rPr>
          <w:rFonts w:ascii="Calibri" w:cs="Calibri" w:eastAsia="Calibri" w:hAnsi="Calibri"/>
          <w:sz w:val="18"/>
          <w:szCs w:val="18"/>
          <w:color w:val="214E93"/>
        </w:rPr>
        <w:t>3,419</w:t>
      </w:r>
    </w:p>
    <w:p>
      <w:pPr>
        <w:spacing w:after="0" w:line="61" w:lineRule="exact"/>
        <w:rPr>
          <w:sz w:val="20"/>
          <w:szCs w:val="20"/>
          <w:color w:val="auto"/>
        </w:rPr>
      </w:pPr>
    </w:p>
    <w:p>
      <w:pPr>
        <w:jc w:val="right"/>
        <w:ind w:right="780"/>
        <w:spacing w:after="0"/>
        <w:rPr>
          <w:sz w:val="20"/>
          <w:szCs w:val="20"/>
          <w:color w:val="auto"/>
        </w:rPr>
      </w:pPr>
      <w:r>
        <w:rPr>
          <w:rFonts w:ascii="Calibri" w:cs="Calibri" w:eastAsia="Calibri" w:hAnsi="Calibri"/>
          <w:sz w:val="18"/>
          <w:szCs w:val="18"/>
          <w:color w:val="214E93"/>
        </w:rPr>
        <w:t>12,799</w:t>
      </w:r>
    </w:p>
    <w:p>
      <w:pPr>
        <w:spacing w:after="0" w:line="61" w:lineRule="exact"/>
        <w:rPr>
          <w:sz w:val="20"/>
          <w:szCs w:val="20"/>
          <w:color w:val="auto"/>
        </w:rPr>
      </w:pPr>
    </w:p>
    <w:p>
      <w:pPr>
        <w:jc w:val="right"/>
        <w:ind w:right="740"/>
        <w:spacing w:after="0"/>
        <w:rPr>
          <w:sz w:val="20"/>
          <w:szCs w:val="20"/>
          <w:color w:val="auto"/>
        </w:rPr>
      </w:pPr>
      <w:r>
        <w:rPr>
          <w:rFonts w:ascii="Calibri" w:cs="Calibri" w:eastAsia="Calibri" w:hAnsi="Calibri"/>
          <w:sz w:val="18"/>
          <w:szCs w:val="18"/>
          <w:color w:val="214E93"/>
        </w:rPr>
        <w:t>(75,575)</w:t>
      </w:r>
    </w:p>
    <w:p>
      <w:pPr>
        <w:spacing w:after="0" w:line="61" w:lineRule="exact"/>
        <w:rPr>
          <w:sz w:val="20"/>
          <w:szCs w:val="20"/>
          <w:color w:val="auto"/>
        </w:rPr>
      </w:pPr>
    </w:p>
    <w:p>
      <w:pPr>
        <w:jc w:val="right"/>
        <w:ind w:right="780"/>
        <w:spacing w:after="0"/>
        <w:rPr>
          <w:sz w:val="20"/>
          <w:szCs w:val="20"/>
          <w:color w:val="auto"/>
        </w:rPr>
      </w:pPr>
      <w:r>
        <w:rPr>
          <w:rFonts w:ascii="Calibri" w:cs="Calibri" w:eastAsia="Calibri" w:hAnsi="Calibri"/>
          <w:sz w:val="18"/>
          <w:szCs w:val="18"/>
          <w:color w:val="214E93"/>
        </w:rPr>
        <w:t>77,565</w:t>
      </w:r>
    </w:p>
    <w:p>
      <w:pPr>
        <w:spacing w:after="0" w:line="61" w:lineRule="exact"/>
        <w:rPr>
          <w:sz w:val="20"/>
          <w:szCs w:val="20"/>
          <w:color w:val="auto"/>
        </w:rPr>
      </w:pPr>
    </w:p>
    <w:p>
      <w:pPr>
        <w:jc w:val="right"/>
        <w:ind w:right="780"/>
        <w:spacing w:after="0"/>
        <w:rPr>
          <w:sz w:val="20"/>
          <w:szCs w:val="20"/>
          <w:color w:val="auto"/>
        </w:rPr>
      </w:pPr>
      <w:r>
        <w:rPr>
          <w:rFonts w:ascii="Calibri" w:cs="Calibri" w:eastAsia="Calibri" w:hAnsi="Calibri"/>
          <w:sz w:val="18"/>
          <w:szCs w:val="18"/>
          <w:color w:val="214E93"/>
        </w:rPr>
        <w:t>407,987</w:t>
      </w:r>
    </w:p>
    <w:p>
      <w:pPr>
        <w:spacing w:after="0" w:line="542" w:lineRule="exact"/>
        <w:rPr>
          <w:sz w:val="20"/>
          <w:szCs w:val="20"/>
          <w:color w:val="auto"/>
        </w:rPr>
      </w:pPr>
    </w:p>
    <w:p>
      <w:pPr>
        <w:sectPr>
          <w:pgSz w:w="11880" w:h="15480" w:orient="portrait"/>
          <w:cols w:equalWidth="0" w:num="2">
            <w:col w:w="7900" w:space="720"/>
            <w:col w:w="1660"/>
          </w:cols>
          <w:pgMar w:left="1160" w:top="498" w:right="440" w:bottom="0" w:gutter="0" w:footer="0" w:header="0"/>
          <w:type w:val="continuous"/>
        </w:sectPr>
      </w:pPr>
    </w:p>
    <w:p>
      <w:pPr>
        <w:ind w:right="740" w:firstLine="241"/>
        <w:spacing w:after="0" w:line="286" w:lineRule="auto"/>
        <w:rPr>
          <w:sz w:val="20"/>
          <w:szCs w:val="20"/>
          <w:color w:val="auto"/>
        </w:rPr>
      </w:pPr>
      <w:r>
        <w:rPr>
          <w:rFonts w:ascii="Calibri" w:cs="Calibri" w:eastAsia="Calibri" w:hAnsi="Calibri"/>
          <w:sz w:val="17"/>
          <w:szCs w:val="17"/>
          <w:color w:val="auto"/>
        </w:rPr>
        <w:t>Our proved developed oil and natural gas reserves increased 11% from 366.8 million BOE at December 31, 2024 to 408.0 million BOE at December 31, 2025. Our proved developed oil and natural gas reserves increased by 116.8 million BOE and we produced 75.6 million BOE during the year ended December 31, 2025, resulting in a net increase of 41.2 million BOE. We added 23.0 million BOE in proved developed reserves through extensions and discoveries during 2025, which resulted from new well locations drilled during 2025 to establish proved reserves. In addition, during 2025, we converted 77.6 million BOE of our proved undeveloped reserves to proved developed reserves primarily through our development activities in the Delaware Basin. We also increased our proved developed reserves by 3.4 million BOE at December 31, 2025 as a result of net property acquisitions, divestitures and trades completed during 2025. Additionally, we realized approximately 12.8 million BOE in net upward revisions of prior estimates of proved developed reserves in 2025, including positive forecast updates of 16.7 million BOE and ownership updates of 3.2 million BOE. These upward revisions were partially offset by downward revisions of 4.2 million BOE and 2.9 million BOE attributable to certain pricing and expense updates used to estimate proved developed reserves at December 31, 2025 and 2024, respectively.</w:t>
      </w:r>
    </w:p>
    <w:p>
      <w:pPr>
        <w:spacing w:after="0" w:line="203" w:lineRule="exact"/>
        <w:rPr>
          <w:sz w:val="20"/>
          <w:szCs w:val="20"/>
          <w:color w:val="auto"/>
        </w:rPr>
      </w:pPr>
    </w:p>
    <w:p>
      <w:pPr>
        <w:ind w:right="900" w:firstLine="241"/>
        <w:spacing w:after="0" w:line="264" w:lineRule="auto"/>
        <w:rPr>
          <w:sz w:val="20"/>
          <w:szCs w:val="20"/>
          <w:color w:val="auto"/>
        </w:rPr>
      </w:pPr>
      <w:r>
        <w:rPr>
          <w:rFonts w:ascii="Calibri" w:cs="Calibri" w:eastAsia="Calibri" w:hAnsi="Calibri"/>
          <w:sz w:val="18"/>
          <w:szCs w:val="18"/>
          <w:color w:val="auto"/>
        </w:rPr>
        <w:t>Our proved developed oil reserves increased 8% from 206.3 million Bbl at December 31, 2024 to 223.0 million Bbl at December 31, 2025. Our proved developed natural gas reserves increased 15% from 963.2 Bcf at December 31, 2024 to 1.11 Tcf at December 31, 2025. Proved developed reserves constituted 61% of our total proved oil and natural gas reserves at December 31, 2025, as compared to 60% at December 31, 2024.</w:t>
      </w:r>
    </w:p>
    <w:p>
      <w:pPr>
        <w:sectPr>
          <w:pgSz w:w="11880" w:h="15480" w:orient="portrait"/>
          <w:cols w:equalWidth="0" w:num="1">
            <w:col w:w="10280"/>
          </w:cols>
          <w:pgMar w:left="1160" w:top="498" w:right="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892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1160" w:top="498" w:right="440" w:bottom="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20"/>
        </w:trPr>
        <w:tc>
          <w:tcPr>
            <w:tcW w:w="720" w:type="dxa"/>
            <w:vAlign w:val="bottom"/>
          </w:tcPr>
          <w:p>
            <w:pPr>
              <w:jc w:val="right"/>
              <w:ind w:right="451"/>
              <w:spacing w:after="0"/>
              <w:rPr>
                <w:sz w:val="20"/>
                <w:szCs w:val="20"/>
                <w:color w:val="auto"/>
              </w:rPr>
            </w:pPr>
            <w:r>
              <w:rPr>
                <w:rFonts w:ascii="Calibri" w:cs="Calibri" w:eastAsia="Calibri" w:hAnsi="Calibri"/>
                <w:sz w:val="18"/>
                <w:szCs w:val="18"/>
                <w:color w:val="auto"/>
                <w:w w:val="87"/>
              </w:rPr>
              <w:t>22</w:t>
            </w:r>
          </w:p>
        </w:tc>
        <w:tc>
          <w:tcPr>
            <w:tcW w:w="8520" w:type="dxa"/>
            <w:vAlign w:val="bottom"/>
          </w:tcPr>
          <w:p>
            <w:pPr>
              <w:ind w:left="40"/>
              <w:spacing w:after="0"/>
              <w:rPr>
                <w:sz w:val="20"/>
                <w:szCs w:val="20"/>
                <w:color w:val="auto"/>
              </w:rPr>
            </w:pPr>
            <w:r>
              <w:rPr>
                <w:rFonts w:ascii="Calibri" w:cs="Calibri" w:eastAsia="Calibri" w:hAnsi="Calibri"/>
                <w:sz w:val="18"/>
                <w:szCs w:val="18"/>
                <w:color w:val="auto"/>
              </w:rPr>
              <w:t>MATADOR RESOURCES COMPANY</w:t>
            </w:r>
          </w:p>
        </w:tc>
        <w:tc>
          <w:tcPr>
            <w:tcW w:w="10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96"/>
        </w:trPr>
        <w:tc>
          <w:tcPr>
            <w:tcW w:w="720" w:type="dxa"/>
            <w:vAlign w:val="bottom"/>
          </w:tcPr>
          <w:p>
            <w:pPr>
              <w:spacing w:after="0"/>
              <w:rPr>
                <w:sz w:val="24"/>
                <w:szCs w:val="24"/>
                <w:color w:val="auto"/>
              </w:rPr>
            </w:pPr>
          </w:p>
        </w:tc>
        <w:tc>
          <w:tcPr>
            <w:tcW w:w="8520" w:type="dxa"/>
            <w:vAlign w:val="bottom"/>
            <w:tcBorders>
              <w:bottom w:val="single" w:sz="8" w:color="214E93"/>
            </w:tcBorders>
          </w:tcPr>
          <w:p>
            <w:pPr>
              <w:spacing w:after="0"/>
              <w:rPr>
                <w:sz w:val="24"/>
                <w:szCs w:val="24"/>
                <w:color w:val="auto"/>
              </w:rPr>
            </w:pPr>
          </w:p>
        </w:tc>
        <w:tc>
          <w:tcPr>
            <w:tcW w:w="1040" w:type="dxa"/>
            <w:vAlign w:val="bottom"/>
            <w:tcBorders>
              <w:bottom w:val="single" w:sz="8" w:color="214E93"/>
            </w:tcBorders>
          </w:tcPr>
          <w:p>
            <w:pPr>
              <w:spacing w:after="0"/>
              <w:rPr>
                <w:sz w:val="24"/>
                <w:szCs w:val="24"/>
                <w:color w:val="auto"/>
              </w:rPr>
            </w:pPr>
          </w:p>
        </w:tc>
        <w:tc>
          <w:tcPr>
            <w:tcW w:w="1160" w:type="dxa"/>
            <w:vAlign w:val="bottom"/>
            <w:tcBorders>
              <w:bottom w:val="single" w:sz="8" w:color="214E93"/>
            </w:tcBorders>
          </w:tcPr>
          <w:p>
            <w:pPr>
              <w:spacing w:after="0"/>
              <w:rPr>
                <w:sz w:val="24"/>
                <w:szCs w:val="24"/>
                <w:color w:val="auto"/>
              </w:rPr>
            </w:pPr>
          </w:p>
        </w:tc>
      </w:tr>
      <w:tr>
        <w:trPr>
          <w:trHeight w:val="376"/>
        </w:trPr>
        <w:tc>
          <w:tcPr>
            <w:tcW w:w="720" w:type="dxa"/>
            <w:vAlign w:val="bottom"/>
          </w:tcPr>
          <w:p>
            <w:pPr>
              <w:spacing w:after="0"/>
              <w:rPr>
                <w:sz w:val="24"/>
                <w:szCs w:val="24"/>
                <w:color w:val="auto"/>
              </w:rPr>
            </w:pPr>
          </w:p>
        </w:tc>
        <w:tc>
          <w:tcPr>
            <w:tcW w:w="8520" w:type="dxa"/>
            <w:vAlign w:val="bottom"/>
          </w:tcPr>
          <w:p>
            <w:pPr>
              <w:ind w:left="240"/>
              <w:spacing w:after="0"/>
              <w:rPr>
                <w:sz w:val="20"/>
                <w:szCs w:val="20"/>
                <w:color w:val="auto"/>
              </w:rPr>
            </w:pPr>
            <w:r>
              <w:rPr>
                <w:rFonts w:ascii="Calibri" w:cs="Calibri" w:eastAsia="Calibri" w:hAnsi="Calibri"/>
                <w:sz w:val="18"/>
                <w:szCs w:val="18"/>
                <w:color w:val="auto"/>
              </w:rPr>
              <w:t>The following table summarizes changes in our estimated proved undeveloped reserves at December 31, 2025</w:t>
            </w:r>
            <w:r>
              <w:rPr>
                <w:rFonts w:ascii="Times New Roman" w:cs="Times New Roman" w:eastAsia="Times New Roman" w:hAnsi="Times New Roman"/>
                <w:sz w:val="19"/>
                <w:szCs w:val="19"/>
                <w:color w:val="auto"/>
              </w:rPr>
              <w:t>.</w:t>
            </w: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16"/>
        </w:trPr>
        <w:tc>
          <w:tcPr>
            <w:tcW w:w="72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Verdana" w:cs="Verdana" w:eastAsia="Verdana" w:hAnsi="Verdana"/>
                <w:sz w:val="14"/>
                <w:szCs w:val="14"/>
                <w:color w:val="auto"/>
                <w:w w:val="99"/>
              </w:rPr>
              <w:t>Proved</w:t>
            </w:r>
          </w:p>
        </w:tc>
        <w:tc>
          <w:tcPr>
            <w:tcW w:w="1160" w:type="dxa"/>
            <w:vAlign w:val="bottom"/>
          </w:tcPr>
          <w:p>
            <w:pPr>
              <w:spacing w:after="0"/>
              <w:rPr>
                <w:sz w:val="24"/>
                <w:szCs w:val="24"/>
                <w:color w:val="auto"/>
              </w:rPr>
            </w:pPr>
          </w:p>
        </w:tc>
      </w:tr>
      <w:tr>
        <w:trPr>
          <w:trHeight w:val="165"/>
        </w:trPr>
        <w:tc>
          <w:tcPr>
            <w:tcW w:w="7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040" w:type="dxa"/>
            <w:vAlign w:val="bottom"/>
          </w:tcPr>
          <w:p>
            <w:pPr>
              <w:jc w:val="center"/>
              <w:spacing w:after="0" w:line="166" w:lineRule="exact"/>
              <w:rPr>
                <w:sz w:val="20"/>
                <w:szCs w:val="20"/>
                <w:color w:val="auto"/>
              </w:rPr>
            </w:pPr>
            <w:r>
              <w:rPr>
                <w:rFonts w:ascii="Verdana" w:cs="Verdana" w:eastAsia="Verdana" w:hAnsi="Verdana"/>
                <w:sz w:val="14"/>
                <w:szCs w:val="14"/>
                <w:color w:val="auto"/>
                <w:w w:val="96"/>
              </w:rPr>
              <w:t>Undeveloped</w:t>
            </w:r>
          </w:p>
        </w:tc>
        <w:tc>
          <w:tcPr>
            <w:tcW w:w="1160" w:type="dxa"/>
            <w:vAlign w:val="bottom"/>
          </w:tcPr>
          <w:p>
            <w:pPr>
              <w:spacing w:after="0"/>
              <w:rPr>
                <w:sz w:val="14"/>
                <w:szCs w:val="14"/>
                <w:color w:val="auto"/>
              </w:rPr>
            </w:pPr>
          </w:p>
        </w:tc>
      </w:tr>
      <w:tr>
        <w:trPr>
          <w:trHeight w:val="193"/>
        </w:trPr>
        <w:tc>
          <w:tcPr>
            <w:tcW w:w="720" w:type="dxa"/>
            <w:vAlign w:val="bottom"/>
          </w:tcPr>
          <w:p>
            <w:pPr>
              <w:spacing w:after="0"/>
              <w:rPr>
                <w:sz w:val="16"/>
                <w:szCs w:val="16"/>
                <w:color w:val="auto"/>
              </w:rPr>
            </w:pPr>
          </w:p>
        </w:tc>
        <w:tc>
          <w:tcPr>
            <w:tcW w:w="8520" w:type="dxa"/>
            <w:vAlign w:val="bottom"/>
          </w:tcPr>
          <w:p>
            <w:pPr>
              <w:spacing w:after="0"/>
              <w:rPr>
                <w:sz w:val="16"/>
                <w:szCs w:val="16"/>
                <w:color w:val="auto"/>
              </w:rPr>
            </w:pPr>
          </w:p>
        </w:tc>
        <w:tc>
          <w:tcPr>
            <w:tcW w:w="104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auto"/>
              </w:rPr>
              <w:t>Reserves</w:t>
            </w:r>
          </w:p>
        </w:tc>
        <w:tc>
          <w:tcPr>
            <w:tcW w:w="1160" w:type="dxa"/>
            <w:vAlign w:val="bottom"/>
          </w:tcPr>
          <w:p>
            <w:pPr>
              <w:spacing w:after="0"/>
              <w:rPr>
                <w:sz w:val="16"/>
                <w:szCs w:val="16"/>
                <w:color w:val="auto"/>
              </w:rPr>
            </w:pPr>
          </w:p>
        </w:tc>
      </w:tr>
      <w:tr>
        <w:trPr>
          <w:trHeight w:val="201"/>
        </w:trPr>
        <w:tc>
          <w:tcPr>
            <w:tcW w:w="720" w:type="dxa"/>
            <w:vAlign w:val="bottom"/>
          </w:tcPr>
          <w:p>
            <w:pPr>
              <w:spacing w:after="0"/>
              <w:rPr>
                <w:sz w:val="17"/>
                <w:szCs w:val="17"/>
                <w:color w:val="auto"/>
              </w:rPr>
            </w:pPr>
          </w:p>
        </w:tc>
        <w:tc>
          <w:tcPr>
            <w:tcW w:w="8520" w:type="dxa"/>
            <w:vAlign w:val="bottom"/>
            <w:tcBorders>
              <w:bottom w:val="single" w:sz="8" w:color="214E93"/>
            </w:tcBorders>
          </w:tcPr>
          <w:p>
            <w:pPr>
              <w:spacing w:after="0"/>
              <w:rPr>
                <w:sz w:val="17"/>
                <w:szCs w:val="17"/>
                <w:color w:val="auto"/>
              </w:rPr>
            </w:pPr>
          </w:p>
        </w:tc>
        <w:tc>
          <w:tcPr>
            <w:tcW w:w="1040" w:type="dxa"/>
            <w:vAlign w:val="bottom"/>
            <w:tcBorders>
              <w:bottom w:val="single" w:sz="8" w:color="214E93"/>
            </w:tcBorders>
          </w:tcPr>
          <w:p>
            <w:pPr>
              <w:jc w:val="center"/>
              <w:spacing w:after="0" w:line="201" w:lineRule="exact"/>
              <w:rPr>
                <w:sz w:val="20"/>
                <w:szCs w:val="20"/>
                <w:color w:val="auto"/>
              </w:rPr>
            </w:pPr>
            <w:r>
              <w:rPr>
                <w:rFonts w:ascii="Verdana" w:cs="Verdana" w:eastAsia="Verdana" w:hAnsi="Verdana"/>
                <w:sz w:val="14"/>
                <w:szCs w:val="14"/>
                <w:color w:val="auto"/>
                <w:w w:val="94"/>
              </w:rPr>
              <w:t>(MBOE)</w:t>
            </w:r>
            <w:r>
              <w:rPr>
                <w:rFonts w:ascii="Verdana" w:cs="Verdana" w:eastAsia="Verdana" w:hAnsi="Verdana"/>
                <w:sz w:val="17"/>
                <w:szCs w:val="17"/>
                <w:color w:val="auto"/>
                <w:w w:val="94"/>
                <w:vertAlign w:val="superscript"/>
              </w:rPr>
              <w:t>(1)</w:t>
            </w:r>
          </w:p>
        </w:tc>
        <w:tc>
          <w:tcPr>
            <w:tcW w:w="1160" w:type="dxa"/>
            <w:vAlign w:val="bottom"/>
          </w:tcPr>
          <w:p>
            <w:pPr>
              <w:spacing w:after="0"/>
              <w:rPr>
                <w:sz w:val="17"/>
                <w:szCs w:val="17"/>
                <w:color w:val="auto"/>
              </w:rPr>
            </w:pPr>
          </w:p>
        </w:tc>
      </w:tr>
      <w:tr>
        <w:trPr>
          <w:trHeight w:val="211"/>
        </w:trPr>
        <w:tc>
          <w:tcPr>
            <w:tcW w:w="720" w:type="dxa"/>
            <w:vAlign w:val="bottom"/>
          </w:tcPr>
          <w:p>
            <w:pPr>
              <w:spacing w:after="0"/>
              <w:rPr>
                <w:sz w:val="18"/>
                <w:szCs w:val="18"/>
                <w:color w:val="auto"/>
              </w:rPr>
            </w:pPr>
          </w:p>
        </w:tc>
        <w:tc>
          <w:tcPr>
            <w:tcW w:w="8520" w:type="dxa"/>
            <w:vAlign w:val="bottom"/>
          </w:tcPr>
          <w:p>
            <w:pPr>
              <w:ind w:left="40"/>
              <w:spacing w:after="0"/>
              <w:rPr>
                <w:sz w:val="20"/>
                <w:szCs w:val="20"/>
                <w:color w:val="auto"/>
              </w:rPr>
            </w:pPr>
            <w:r>
              <w:rPr>
                <w:rFonts w:ascii="Verdana" w:cs="Verdana" w:eastAsia="Verdana" w:hAnsi="Verdana"/>
                <w:sz w:val="16"/>
                <w:szCs w:val="16"/>
                <w:color w:val="auto"/>
              </w:rPr>
              <w:t>As of December 31, 2024</w:t>
            </w:r>
          </w:p>
        </w:tc>
        <w:tc>
          <w:tcPr>
            <w:tcW w:w="1040" w:type="dxa"/>
            <w:vAlign w:val="bottom"/>
          </w:tcPr>
          <w:p>
            <w:pPr>
              <w:jc w:val="right"/>
              <w:ind w:right="5"/>
              <w:spacing w:after="0"/>
              <w:rPr>
                <w:sz w:val="20"/>
                <w:szCs w:val="20"/>
                <w:color w:val="auto"/>
              </w:rPr>
            </w:pPr>
            <w:r>
              <w:rPr>
                <w:rFonts w:ascii="Verdana" w:cs="Verdana" w:eastAsia="Verdana" w:hAnsi="Verdana"/>
                <w:sz w:val="16"/>
                <w:szCs w:val="16"/>
                <w:color w:val="131313"/>
              </w:rPr>
              <w:t>244,740</w:t>
            </w:r>
          </w:p>
        </w:tc>
        <w:tc>
          <w:tcPr>
            <w:tcW w:w="1160" w:type="dxa"/>
            <w:vAlign w:val="bottom"/>
          </w:tcPr>
          <w:p>
            <w:pPr>
              <w:spacing w:after="0"/>
              <w:rPr>
                <w:sz w:val="18"/>
                <w:szCs w:val="18"/>
                <w:color w:val="auto"/>
              </w:rPr>
            </w:pPr>
          </w:p>
        </w:tc>
      </w:tr>
      <w:tr>
        <w:trPr>
          <w:trHeight w:val="235"/>
        </w:trPr>
        <w:tc>
          <w:tcPr>
            <w:tcW w:w="720" w:type="dxa"/>
            <w:vAlign w:val="bottom"/>
          </w:tcPr>
          <w:p>
            <w:pPr>
              <w:spacing w:after="0"/>
              <w:rPr>
                <w:sz w:val="20"/>
                <w:szCs w:val="20"/>
                <w:color w:val="auto"/>
              </w:rPr>
            </w:pPr>
          </w:p>
        </w:tc>
        <w:tc>
          <w:tcPr>
            <w:tcW w:w="8520" w:type="dxa"/>
            <w:vAlign w:val="bottom"/>
          </w:tcPr>
          <w:p>
            <w:pPr>
              <w:ind w:left="160"/>
              <w:spacing w:after="0"/>
              <w:rPr>
                <w:sz w:val="20"/>
                <w:szCs w:val="20"/>
                <w:color w:val="auto"/>
              </w:rPr>
            </w:pPr>
            <w:r>
              <w:rPr>
                <w:rFonts w:ascii="Verdana" w:cs="Verdana" w:eastAsia="Verdana" w:hAnsi="Verdana"/>
                <w:sz w:val="16"/>
                <w:szCs w:val="16"/>
                <w:color w:val="auto"/>
              </w:rPr>
              <w:t>Extensions and discoveries</w:t>
            </w:r>
          </w:p>
        </w:tc>
        <w:tc>
          <w:tcPr>
            <w:tcW w:w="1040" w:type="dxa"/>
            <w:vAlign w:val="bottom"/>
          </w:tcPr>
          <w:p>
            <w:pPr>
              <w:jc w:val="right"/>
              <w:ind w:right="5"/>
              <w:spacing w:after="0"/>
              <w:rPr>
                <w:sz w:val="20"/>
                <w:szCs w:val="20"/>
                <w:color w:val="auto"/>
              </w:rPr>
            </w:pPr>
            <w:r>
              <w:rPr>
                <w:rFonts w:ascii="Verdana" w:cs="Verdana" w:eastAsia="Verdana" w:hAnsi="Verdana"/>
                <w:sz w:val="16"/>
                <w:szCs w:val="16"/>
                <w:color w:val="214E93"/>
              </w:rPr>
              <w:t>111,990</w:t>
            </w:r>
          </w:p>
        </w:tc>
        <w:tc>
          <w:tcPr>
            <w:tcW w:w="1160" w:type="dxa"/>
            <w:vAlign w:val="bottom"/>
          </w:tcPr>
          <w:p>
            <w:pPr>
              <w:spacing w:after="0"/>
              <w:rPr>
                <w:sz w:val="20"/>
                <w:szCs w:val="20"/>
                <w:color w:val="auto"/>
              </w:rPr>
            </w:pPr>
          </w:p>
        </w:tc>
      </w:tr>
      <w:tr>
        <w:trPr>
          <w:trHeight w:val="236"/>
        </w:trPr>
        <w:tc>
          <w:tcPr>
            <w:tcW w:w="720" w:type="dxa"/>
            <w:vAlign w:val="bottom"/>
          </w:tcPr>
          <w:p>
            <w:pPr>
              <w:spacing w:after="0"/>
              <w:rPr>
                <w:sz w:val="20"/>
                <w:szCs w:val="20"/>
                <w:color w:val="auto"/>
              </w:rPr>
            </w:pPr>
          </w:p>
        </w:tc>
        <w:tc>
          <w:tcPr>
            <w:tcW w:w="8520" w:type="dxa"/>
            <w:vAlign w:val="bottom"/>
          </w:tcPr>
          <w:p>
            <w:pPr>
              <w:ind w:left="160"/>
              <w:spacing w:after="0"/>
              <w:rPr>
                <w:sz w:val="20"/>
                <w:szCs w:val="20"/>
                <w:color w:val="auto"/>
              </w:rPr>
            </w:pPr>
            <w:r>
              <w:rPr>
                <w:rFonts w:ascii="Verdana" w:cs="Verdana" w:eastAsia="Verdana" w:hAnsi="Verdana"/>
                <w:sz w:val="16"/>
                <w:szCs w:val="16"/>
                <w:color w:val="auto"/>
              </w:rPr>
              <w:t>Net divestitures of minerals-in-place</w:t>
            </w:r>
          </w:p>
        </w:tc>
        <w:tc>
          <w:tcPr>
            <w:tcW w:w="1040" w:type="dxa"/>
            <w:vAlign w:val="bottom"/>
          </w:tcPr>
          <w:p>
            <w:pPr>
              <w:jc w:val="right"/>
              <w:spacing w:after="0"/>
              <w:rPr>
                <w:sz w:val="20"/>
                <w:szCs w:val="20"/>
                <w:color w:val="auto"/>
              </w:rPr>
            </w:pPr>
            <w:r>
              <w:rPr>
                <w:rFonts w:ascii="Verdana" w:cs="Verdana" w:eastAsia="Verdana" w:hAnsi="Verdana"/>
                <w:sz w:val="16"/>
                <w:szCs w:val="16"/>
                <w:color w:val="214E93"/>
              </w:rPr>
              <w:t>(93)</w:t>
            </w:r>
          </w:p>
        </w:tc>
        <w:tc>
          <w:tcPr>
            <w:tcW w:w="1160" w:type="dxa"/>
            <w:vAlign w:val="bottom"/>
          </w:tcPr>
          <w:p>
            <w:pPr>
              <w:spacing w:after="0"/>
              <w:rPr>
                <w:sz w:val="20"/>
                <w:szCs w:val="20"/>
                <w:color w:val="auto"/>
              </w:rPr>
            </w:pPr>
          </w:p>
        </w:tc>
      </w:tr>
      <w:tr>
        <w:trPr>
          <w:trHeight w:val="236"/>
        </w:trPr>
        <w:tc>
          <w:tcPr>
            <w:tcW w:w="720" w:type="dxa"/>
            <w:vAlign w:val="bottom"/>
          </w:tcPr>
          <w:p>
            <w:pPr>
              <w:spacing w:after="0"/>
              <w:rPr>
                <w:sz w:val="20"/>
                <w:szCs w:val="20"/>
                <w:color w:val="auto"/>
              </w:rPr>
            </w:pPr>
          </w:p>
        </w:tc>
        <w:tc>
          <w:tcPr>
            <w:tcW w:w="8520" w:type="dxa"/>
            <w:vAlign w:val="bottom"/>
          </w:tcPr>
          <w:p>
            <w:pPr>
              <w:ind w:left="160"/>
              <w:spacing w:after="0"/>
              <w:rPr>
                <w:sz w:val="20"/>
                <w:szCs w:val="20"/>
                <w:color w:val="auto"/>
              </w:rPr>
            </w:pPr>
            <w:r>
              <w:rPr>
                <w:rFonts w:ascii="Verdana" w:cs="Verdana" w:eastAsia="Verdana" w:hAnsi="Verdana"/>
                <w:sz w:val="16"/>
                <w:szCs w:val="16"/>
                <w:color w:val="auto"/>
              </w:rPr>
              <w:t>Revisions of prior estimates</w:t>
            </w:r>
          </w:p>
        </w:tc>
        <w:tc>
          <w:tcPr>
            <w:tcW w:w="1040" w:type="dxa"/>
            <w:vAlign w:val="bottom"/>
          </w:tcPr>
          <w:p>
            <w:pPr>
              <w:jc w:val="right"/>
              <w:spacing w:after="0"/>
              <w:rPr>
                <w:sz w:val="20"/>
                <w:szCs w:val="20"/>
                <w:color w:val="auto"/>
              </w:rPr>
            </w:pPr>
            <w:r>
              <w:rPr>
                <w:rFonts w:ascii="Verdana" w:cs="Verdana" w:eastAsia="Verdana" w:hAnsi="Verdana"/>
                <w:sz w:val="16"/>
                <w:szCs w:val="16"/>
                <w:color w:val="214E93"/>
              </w:rPr>
              <w:t>(20,012)</w:t>
            </w:r>
          </w:p>
        </w:tc>
        <w:tc>
          <w:tcPr>
            <w:tcW w:w="1160" w:type="dxa"/>
            <w:vAlign w:val="bottom"/>
          </w:tcPr>
          <w:p>
            <w:pPr>
              <w:spacing w:after="0"/>
              <w:rPr>
                <w:sz w:val="20"/>
                <w:szCs w:val="20"/>
                <w:color w:val="auto"/>
              </w:rPr>
            </w:pPr>
          </w:p>
        </w:tc>
      </w:tr>
      <w:tr>
        <w:trPr>
          <w:trHeight w:val="242"/>
        </w:trPr>
        <w:tc>
          <w:tcPr>
            <w:tcW w:w="720" w:type="dxa"/>
            <w:vAlign w:val="bottom"/>
          </w:tcPr>
          <w:p>
            <w:pPr>
              <w:spacing w:after="0"/>
              <w:rPr>
                <w:sz w:val="21"/>
                <w:szCs w:val="21"/>
                <w:color w:val="auto"/>
              </w:rPr>
            </w:pPr>
          </w:p>
        </w:tc>
        <w:tc>
          <w:tcPr>
            <w:tcW w:w="8520" w:type="dxa"/>
            <w:vAlign w:val="bottom"/>
            <w:tcBorders>
              <w:bottom w:val="single" w:sz="8" w:color="131313"/>
            </w:tcBorders>
          </w:tcPr>
          <w:p>
            <w:pPr>
              <w:ind w:left="160"/>
              <w:spacing w:after="0"/>
              <w:rPr>
                <w:sz w:val="20"/>
                <w:szCs w:val="20"/>
                <w:color w:val="auto"/>
              </w:rPr>
            </w:pPr>
            <w:r>
              <w:rPr>
                <w:rFonts w:ascii="Verdana" w:cs="Verdana" w:eastAsia="Verdana" w:hAnsi="Verdana"/>
                <w:sz w:val="16"/>
                <w:szCs w:val="16"/>
                <w:color w:val="auto"/>
              </w:rPr>
              <w:t>Conversion of proved undeveloped to proved developed</w:t>
            </w:r>
          </w:p>
        </w:tc>
        <w:tc>
          <w:tcPr>
            <w:tcW w:w="1040" w:type="dxa"/>
            <w:vAlign w:val="bottom"/>
            <w:tcBorders>
              <w:bottom w:val="single" w:sz="8" w:color="131313"/>
            </w:tcBorders>
          </w:tcPr>
          <w:p>
            <w:pPr>
              <w:jc w:val="right"/>
              <w:spacing w:after="0"/>
              <w:rPr>
                <w:sz w:val="20"/>
                <w:szCs w:val="20"/>
                <w:color w:val="auto"/>
              </w:rPr>
            </w:pPr>
            <w:r>
              <w:rPr>
                <w:rFonts w:ascii="Verdana" w:cs="Verdana" w:eastAsia="Verdana" w:hAnsi="Verdana"/>
                <w:sz w:val="16"/>
                <w:szCs w:val="16"/>
                <w:color w:val="214E93"/>
              </w:rPr>
              <w:t>(77,565)</w:t>
            </w:r>
          </w:p>
        </w:tc>
        <w:tc>
          <w:tcPr>
            <w:tcW w:w="1160" w:type="dxa"/>
            <w:vAlign w:val="bottom"/>
          </w:tcPr>
          <w:p>
            <w:pPr>
              <w:spacing w:after="0"/>
              <w:rPr>
                <w:sz w:val="21"/>
                <w:szCs w:val="21"/>
                <w:color w:val="auto"/>
              </w:rPr>
            </w:pPr>
          </w:p>
        </w:tc>
      </w:tr>
      <w:tr>
        <w:trPr>
          <w:trHeight w:val="217"/>
        </w:trPr>
        <w:tc>
          <w:tcPr>
            <w:tcW w:w="720" w:type="dxa"/>
            <w:vAlign w:val="bottom"/>
          </w:tcPr>
          <w:p>
            <w:pPr>
              <w:spacing w:after="0"/>
              <w:rPr>
                <w:sz w:val="18"/>
                <w:szCs w:val="18"/>
                <w:color w:val="auto"/>
              </w:rPr>
            </w:pPr>
          </w:p>
        </w:tc>
        <w:tc>
          <w:tcPr>
            <w:tcW w:w="8520" w:type="dxa"/>
            <w:vAlign w:val="bottom"/>
            <w:tcBorders>
              <w:bottom w:val="single" w:sz="8" w:color="214E93"/>
            </w:tcBorders>
          </w:tcPr>
          <w:p>
            <w:pPr>
              <w:ind w:left="40"/>
              <w:spacing w:after="0"/>
              <w:rPr>
                <w:sz w:val="20"/>
                <w:szCs w:val="20"/>
                <w:color w:val="auto"/>
              </w:rPr>
            </w:pPr>
            <w:r>
              <w:rPr>
                <w:rFonts w:ascii="Verdana" w:cs="Verdana" w:eastAsia="Verdana" w:hAnsi="Verdana"/>
                <w:sz w:val="16"/>
                <w:szCs w:val="16"/>
                <w:color w:val="214E93"/>
              </w:rPr>
              <w:t>As of December 31, 2025</w:t>
            </w:r>
          </w:p>
        </w:tc>
        <w:tc>
          <w:tcPr>
            <w:tcW w:w="1040" w:type="dxa"/>
            <w:vAlign w:val="bottom"/>
            <w:tcBorders>
              <w:bottom w:val="single" w:sz="8" w:color="214E93"/>
            </w:tcBorders>
          </w:tcPr>
          <w:p>
            <w:pPr>
              <w:jc w:val="right"/>
              <w:ind w:right="5"/>
              <w:spacing w:after="0"/>
              <w:rPr>
                <w:sz w:val="20"/>
                <w:szCs w:val="20"/>
                <w:color w:val="auto"/>
              </w:rPr>
            </w:pPr>
            <w:r>
              <w:rPr>
                <w:rFonts w:ascii="Verdana" w:cs="Verdana" w:eastAsia="Verdana" w:hAnsi="Verdana"/>
                <w:sz w:val="16"/>
                <w:szCs w:val="16"/>
                <w:color w:val="214E93"/>
              </w:rPr>
              <w:t>259,060</w:t>
            </w:r>
          </w:p>
        </w:tc>
        <w:tc>
          <w:tcPr>
            <w:tcW w:w="11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-1726565</wp:posOffset>
                </wp:positionV>
                <wp:extent cx="681228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135.9499pt" to="572pt,-135.9499pt" o:allowincell="f" strokecolor="#000000" strokeweight="0pt"/>
            </w:pict>
          </mc:Fallback>
        </mc:AlternateContent>
      </w:r>
    </w:p>
    <w:p>
      <w:pPr>
        <w:spacing w:after="0" w:line="106" w:lineRule="exact"/>
        <w:rPr>
          <w:sz w:val="20"/>
          <w:szCs w:val="20"/>
          <w:color w:val="auto"/>
        </w:rPr>
      </w:pPr>
    </w:p>
    <w:p>
      <w:pPr>
        <w:ind w:left="900"/>
        <w:spacing w:after="0"/>
        <w:tabs>
          <w:tab w:leader="none" w:pos="1140" w:val="left"/>
        </w:tabs>
        <w:rPr>
          <w:sz w:val="20"/>
          <w:szCs w:val="20"/>
          <w:color w:val="auto"/>
        </w:rPr>
      </w:pPr>
      <w:r>
        <w:rPr>
          <w:rFonts w:ascii="Calibri" w:cs="Calibri" w:eastAsia="Calibri" w:hAnsi="Calibri"/>
          <w:sz w:val="14"/>
          <w:szCs w:val="14"/>
          <w:color w:val="auto"/>
        </w:rPr>
        <w:t>(1)</w:t>
      </w:r>
      <w:r>
        <w:rPr>
          <w:sz w:val="20"/>
          <w:szCs w:val="20"/>
          <w:color w:val="auto"/>
        </w:rPr>
        <w:tab/>
      </w:r>
      <w:r>
        <w:rPr>
          <w:rFonts w:ascii="Calibri" w:cs="Calibri" w:eastAsia="Calibri" w:hAnsi="Calibri"/>
          <w:sz w:val="13"/>
          <w:szCs w:val="13"/>
          <w:color w:val="auto"/>
        </w:rPr>
        <w:t>Estimated using a conversion ratio of one Bbl of oil per six Mcf of natural gas.</w:t>
      </w:r>
    </w:p>
    <w:p>
      <w:pPr>
        <w:spacing w:after="0" w:line="196" w:lineRule="exact"/>
        <w:rPr>
          <w:sz w:val="20"/>
          <w:szCs w:val="20"/>
          <w:color w:val="auto"/>
        </w:rPr>
      </w:pPr>
    </w:p>
    <w:p>
      <w:pPr>
        <w:ind w:left="720" w:right="1180" w:firstLine="241"/>
        <w:spacing w:after="0" w:line="286" w:lineRule="auto"/>
        <w:rPr>
          <w:sz w:val="20"/>
          <w:szCs w:val="20"/>
          <w:color w:val="auto"/>
        </w:rPr>
      </w:pPr>
      <w:r>
        <w:rPr>
          <w:rFonts w:ascii="Calibri" w:cs="Calibri" w:eastAsia="Calibri" w:hAnsi="Calibri"/>
          <w:sz w:val="17"/>
          <w:szCs w:val="17"/>
          <w:color w:val="auto"/>
        </w:rPr>
        <w:t>Our proved undeveloped oil and natural gas reserves increased 6% from 244.7 million BOE at December 31, 2024 to 259.1 million at December 31, 2025. We added 112.0 million BOE in proved undeveloped reserves through extensions and discoveries during 2025, which resulted primarily from new proved undeveloped locations identified as a result of drilling activities on our existing acreage in the Delaware Basin during 2025. We also decreased our proved undeveloped reserves by 0.1 million BOE at December 31, 2025 as a result of net property acquisitions, divestitures and trades completed during 2025. Additionally, we realized approximately 20.0 million BOE in net downward revisions of prior estimates of proved undeveloped reserves in 2025, which included the removal of 22.8 million BOE in proved undeveloped reserves that were not developed or were no longer expected to be developed within five years of their initial booking resulting primarily from changes in development plans for certain of our properties in the Delaware Basin and the removal of 3.2 million BOE and 1.4 million BOE for certain ownership and pricing updates at December 31, 2025 and 2024, respectively. These downward revisions were partially offset by positive forecast updates of 7.4 million BOE.</w:t>
      </w:r>
    </w:p>
    <w:p>
      <w:pPr>
        <w:spacing w:after="0" w:line="203" w:lineRule="exact"/>
        <w:rPr>
          <w:sz w:val="20"/>
          <w:szCs w:val="20"/>
          <w:color w:val="auto"/>
        </w:rPr>
      </w:pPr>
    </w:p>
    <w:p>
      <w:pPr>
        <w:ind w:left="720" w:right="1200" w:firstLine="241"/>
        <w:spacing w:after="0" w:line="266" w:lineRule="auto"/>
        <w:rPr>
          <w:sz w:val="20"/>
          <w:szCs w:val="20"/>
          <w:color w:val="auto"/>
        </w:rPr>
      </w:pPr>
      <w:r>
        <w:rPr>
          <w:rFonts w:ascii="Calibri" w:cs="Calibri" w:eastAsia="Calibri" w:hAnsi="Calibri"/>
          <w:sz w:val="18"/>
          <w:szCs w:val="18"/>
          <w:color w:val="auto"/>
        </w:rPr>
        <w:t>At December 31, 2025, we had no proved undeveloped reserves in our estimates that remained undeveloped for five years or more following their initial booking, and we currently have plans to use anticipated capital resources to develop the proved undeveloped reserves remaining as of December 31, 2025 within five years of booking these reserves. The following table sets forth, since 2022, proved undeveloped reserves converted to proved developed reserves during each year and the investments associated with these conversions (dollars in thousands).</w:t>
      </w:r>
    </w:p>
    <w:p>
      <w:pPr>
        <w:spacing w:after="0" w:line="384" w:lineRule="exact"/>
        <w:rPr>
          <w:sz w:val="20"/>
          <w:szCs w:val="20"/>
          <w:color w:val="auto"/>
        </w:rPr>
      </w:pPr>
    </w:p>
    <w:tbl>
      <w:tblPr>
        <w:tblLayout w:type="fixed"/>
        <w:tblInd w:w="72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2700" w:type="dxa"/>
            <w:vAlign w:val="bottom"/>
            <w:gridSpan w:val="5"/>
          </w:tcPr>
          <w:p>
            <w:pPr>
              <w:jc w:val="center"/>
              <w:spacing w:after="0"/>
              <w:rPr>
                <w:sz w:val="20"/>
                <w:szCs w:val="20"/>
                <w:color w:val="auto"/>
              </w:rPr>
            </w:pPr>
            <w:r>
              <w:rPr>
                <w:rFonts w:ascii="Verdana" w:cs="Verdana" w:eastAsia="Verdana" w:hAnsi="Verdana"/>
                <w:sz w:val="14"/>
                <w:szCs w:val="14"/>
                <w:color w:val="auto"/>
                <w:w w:val="97"/>
              </w:rPr>
              <w:t>Proved Undeveloped Reserves</w:t>
            </w:r>
          </w:p>
        </w:tc>
        <w:tc>
          <w:tcPr>
            <w:tcW w:w="280" w:type="dxa"/>
            <w:vAlign w:val="bottom"/>
          </w:tcPr>
          <w:p>
            <w:pPr>
              <w:spacing w:after="0"/>
              <w:rPr>
                <w:sz w:val="16"/>
                <w:szCs w:val="16"/>
                <w:color w:val="auto"/>
              </w:rPr>
            </w:pPr>
          </w:p>
        </w:tc>
        <w:tc>
          <w:tcPr>
            <w:tcW w:w="1260" w:type="dxa"/>
            <w:vAlign w:val="bottom"/>
          </w:tcPr>
          <w:p>
            <w:pPr>
              <w:jc w:val="center"/>
              <w:ind w:right="107"/>
              <w:spacing w:after="0"/>
              <w:rPr>
                <w:sz w:val="20"/>
                <w:szCs w:val="20"/>
                <w:color w:val="auto"/>
              </w:rPr>
            </w:pPr>
            <w:r>
              <w:rPr>
                <w:rFonts w:ascii="Verdana" w:cs="Verdana" w:eastAsia="Verdana" w:hAnsi="Verdana"/>
                <w:sz w:val="14"/>
                <w:szCs w:val="14"/>
                <w:color w:val="auto"/>
                <w:w w:val="97"/>
              </w:rPr>
              <w:t>Investment in</w:t>
            </w:r>
          </w:p>
        </w:tc>
        <w:tc>
          <w:tcPr>
            <w:tcW w:w="0" w:type="dxa"/>
            <w:vAlign w:val="bottom"/>
          </w:tcPr>
          <w:p>
            <w:pPr>
              <w:spacing w:after="0"/>
              <w:rPr>
                <w:sz w:val="1"/>
                <w:szCs w:val="1"/>
                <w:color w:val="auto"/>
              </w:rPr>
            </w:pPr>
          </w:p>
        </w:tc>
      </w:tr>
      <w:tr>
        <w:trPr>
          <w:trHeight w:val="165"/>
        </w:trPr>
        <w:tc>
          <w:tcPr>
            <w:tcW w:w="5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center"/>
              <w:spacing w:after="0" w:line="166" w:lineRule="exact"/>
              <w:rPr>
                <w:sz w:val="20"/>
                <w:szCs w:val="20"/>
                <w:color w:val="auto"/>
              </w:rPr>
            </w:pPr>
            <w:r>
              <w:rPr>
                <w:rFonts w:ascii="Verdana" w:cs="Verdana" w:eastAsia="Verdana" w:hAnsi="Verdana"/>
                <w:sz w:val="14"/>
                <w:szCs w:val="14"/>
                <w:color w:val="auto"/>
                <w:w w:val="98"/>
              </w:rPr>
              <w:t>Converted to</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center"/>
              <w:ind w:right="127"/>
              <w:spacing w:after="0" w:line="166" w:lineRule="exact"/>
              <w:rPr>
                <w:sz w:val="20"/>
                <w:szCs w:val="20"/>
                <w:color w:val="auto"/>
              </w:rPr>
            </w:pPr>
            <w:r>
              <w:rPr>
                <w:rFonts w:ascii="Verdana" w:cs="Verdana" w:eastAsia="Verdana" w:hAnsi="Verdana"/>
                <w:sz w:val="14"/>
                <w:szCs w:val="14"/>
                <w:color w:val="auto"/>
                <w:w w:val="97"/>
              </w:rPr>
              <w:t>Conversion of</w:t>
            </w:r>
          </w:p>
        </w:tc>
        <w:tc>
          <w:tcPr>
            <w:tcW w:w="0" w:type="dxa"/>
            <w:vAlign w:val="bottom"/>
          </w:tcPr>
          <w:p>
            <w:pPr>
              <w:spacing w:after="0"/>
              <w:rPr>
                <w:sz w:val="1"/>
                <w:szCs w:val="1"/>
                <w:color w:val="auto"/>
              </w:rPr>
            </w:pPr>
          </w:p>
        </w:tc>
      </w:tr>
      <w:tr>
        <w:trPr>
          <w:trHeight w:val="165"/>
        </w:trPr>
        <w:tc>
          <w:tcPr>
            <w:tcW w:w="5320" w:type="dxa"/>
            <w:vAlign w:val="bottom"/>
          </w:tcPr>
          <w:p>
            <w:pPr>
              <w:spacing w:after="0"/>
              <w:rPr>
                <w:sz w:val="14"/>
                <w:szCs w:val="14"/>
                <w:color w:val="auto"/>
              </w:rPr>
            </w:pPr>
          </w:p>
        </w:tc>
        <w:tc>
          <w:tcPr>
            <w:tcW w:w="2700" w:type="dxa"/>
            <w:vAlign w:val="bottom"/>
            <w:gridSpan w:val="5"/>
          </w:tcPr>
          <w:p>
            <w:pPr>
              <w:jc w:val="center"/>
              <w:spacing w:after="0" w:line="166" w:lineRule="exact"/>
              <w:rPr>
                <w:sz w:val="20"/>
                <w:szCs w:val="20"/>
                <w:color w:val="auto"/>
              </w:rPr>
            </w:pPr>
            <w:r>
              <w:rPr>
                <w:rFonts w:ascii="Verdana" w:cs="Verdana" w:eastAsia="Verdana" w:hAnsi="Verdana"/>
                <w:sz w:val="14"/>
                <w:szCs w:val="14"/>
                <w:color w:val="auto"/>
                <w:w w:val="98"/>
              </w:rPr>
              <w:t>Proved Developed Reserves</w:t>
            </w:r>
          </w:p>
        </w:tc>
        <w:tc>
          <w:tcPr>
            <w:tcW w:w="280" w:type="dxa"/>
            <w:vAlign w:val="bottom"/>
          </w:tcPr>
          <w:p>
            <w:pPr>
              <w:spacing w:after="0"/>
              <w:rPr>
                <w:sz w:val="14"/>
                <w:szCs w:val="14"/>
                <w:color w:val="auto"/>
              </w:rPr>
            </w:pPr>
          </w:p>
        </w:tc>
        <w:tc>
          <w:tcPr>
            <w:tcW w:w="1260" w:type="dxa"/>
            <w:vAlign w:val="bottom"/>
          </w:tcPr>
          <w:p>
            <w:pPr>
              <w:jc w:val="center"/>
              <w:ind w:right="127"/>
              <w:spacing w:after="0" w:line="166" w:lineRule="exact"/>
              <w:rPr>
                <w:sz w:val="20"/>
                <w:szCs w:val="20"/>
                <w:color w:val="auto"/>
              </w:rPr>
            </w:pPr>
            <w:r>
              <w:rPr>
                <w:rFonts w:ascii="Verdana" w:cs="Verdana" w:eastAsia="Verdana" w:hAnsi="Verdana"/>
                <w:sz w:val="14"/>
                <w:szCs w:val="14"/>
                <w:color w:val="auto"/>
                <w:w w:val="95"/>
              </w:rPr>
              <w:t>Proved</w:t>
            </w:r>
          </w:p>
        </w:tc>
        <w:tc>
          <w:tcPr>
            <w:tcW w:w="0" w:type="dxa"/>
            <w:vAlign w:val="bottom"/>
          </w:tcPr>
          <w:p>
            <w:pPr>
              <w:spacing w:after="0"/>
              <w:rPr>
                <w:sz w:val="1"/>
                <w:szCs w:val="1"/>
                <w:color w:val="auto"/>
              </w:rPr>
            </w:pPr>
          </w:p>
        </w:tc>
      </w:tr>
      <w:tr>
        <w:trPr>
          <w:trHeight w:val="48"/>
        </w:trPr>
        <w:tc>
          <w:tcPr>
            <w:tcW w:w="5320" w:type="dxa"/>
            <w:vAlign w:val="bottom"/>
          </w:tcPr>
          <w:p>
            <w:pPr>
              <w:spacing w:after="0"/>
              <w:rPr>
                <w:sz w:val="4"/>
                <w:szCs w:val="4"/>
                <w:color w:val="auto"/>
              </w:rPr>
            </w:pPr>
          </w:p>
        </w:tc>
        <w:tc>
          <w:tcPr>
            <w:tcW w:w="840" w:type="dxa"/>
            <w:vAlign w:val="bottom"/>
            <w:tcBorders>
              <w:bottom w:val="single" w:sz="8" w:color="214E93"/>
            </w:tcBorders>
          </w:tcPr>
          <w:p>
            <w:pPr>
              <w:spacing w:after="0"/>
              <w:rPr>
                <w:sz w:val="4"/>
                <w:szCs w:val="4"/>
                <w:color w:val="auto"/>
              </w:rPr>
            </w:pPr>
          </w:p>
        </w:tc>
        <w:tc>
          <w:tcPr>
            <w:tcW w:w="60" w:type="dxa"/>
            <w:vAlign w:val="bottom"/>
            <w:tcBorders>
              <w:bottom w:val="single" w:sz="8" w:color="214E93"/>
            </w:tcBorders>
          </w:tcPr>
          <w:p>
            <w:pPr>
              <w:spacing w:after="0"/>
              <w:rPr>
                <w:sz w:val="4"/>
                <w:szCs w:val="4"/>
                <w:color w:val="auto"/>
              </w:rPr>
            </w:pPr>
          </w:p>
        </w:tc>
        <w:tc>
          <w:tcPr>
            <w:tcW w:w="840" w:type="dxa"/>
            <w:vAlign w:val="bottom"/>
            <w:tcBorders>
              <w:bottom w:val="single" w:sz="8" w:color="214E93"/>
            </w:tcBorders>
          </w:tcPr>
          <w:p>
            <w:pPr>
              <w:spacing w:after="0"/>
              <w:rPr>
                <w:sz w:val="4"/>
                <w:szCs w:val="4"/>
                <w:color w:val="auto"/>
              </w:rPr>
            </w:pPr>
          </w:p>
        </w:tc>
        <w:tc>
          <w:tcPr>
            <w:tcW w:w="60" w:type="dxa"/>
            <w:vAlign w:val="bottom"/>
            <w:tcBorders>
              <w:bottom w:val="single" w:sz="8" w:color="214E93"/>
            </w:tcBorders>
          </w:tcPr>
          <w:p>
            <w:pPr>
              <w:spacing w:after="0"/>
              <w:rPr>
                <w:sz w:val="4"/>
                <w:szCs w:val="4"/>
                <w:color w:val="auto"/>
              </w:rPr>
            </w:pPr>
          </w:p>
        </w:tc>
        <w:tc>
          <w:tcPr>
            <w:tcW w:w="900" w:type="dxa"/>
            <w:vAlign w:val="bottom"/>
            <w:tcBorders>
              <w:bottom w:val="single" w:sz="8" w:color="214E93"/>
            </w:tcBorders>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vMerge w:val="restart"/>
          </w:tcPr>
          <w:p>
            <w:pPr>
              <w:jc w:val="center"/>
              <w:ind w:right="127"/>
              <w:spacing w:after="0" w:line="144" w:lineRule="exact"/>
              <w:rPr>
                <w:sz w:val="20"/>
                <w:szCs w:val="20"/>
                <w:color w:val="auto"/>
              </w:rPr>
            </w:pPr>
            <w:r>
              <w:rPr>
                <w:rFonts w:ascii="Verdana" w:cs="Verdana" w:eastAsia="Verdana" w:hAnsi="Verdana"/>
                <w:sz w:val="14"/>
                <w:szCs w:val="14"/>
                <w:color w:val="auto"/>
                <w:w w:val="98"/>
              </w:rPr>
              <w:t>Undeveloped</w:t>
            </w:r>
          </w:p>
        </w:tc>
        <w:tc>
          <w:tcPr>
            <w:tcW w:w="0" w:type="dxa"/>
            <w:vAlign w:val="bottom"/>
          </w:tcPr>
          <w:p>
            <w:pPr>
              <w:spacing w:after="0"/>
              <w:rPr>
                <w:sz w:val="1"/>
                <w:szCs w:val="1"/>
                <w:color w:val="auto"/>
              </w:rPr>
            </w:pPr>
          </w:p>
        </w:tc>
      </w:tr>
      <w:tr>
        <w:trPr>
          <w:trHeight w:val="77"/>
        </w:trPr>
        <w:tc>
          <w:tcPr>
            <w:tcW w:w="53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gridSpan w:val="2"/>
            <w:vMerge w:val="restart"/>
          </w:tcPr>
          <w:p>
            <w:pPr>
              <w:jc w:val="center"/>
              <w:ind w:right="60"/>
              <w:spacing w:after="0"/>
              <w:rPr>
                <w:sz w:val="20"/>
                <w:szCs w:val="20"/>
                <w:color w:val="auto"/>
              </w:rPr>
            </w:pPr>
            <w:r>
              <w:rPr>
                <w:rFonts w:ascii="Verdana" w:cs="Verdana" w:eastAsia="Verdana" w:hAnsi="Verdana"/>
                <w:sz w:val="14"/>
                <w:szCs w:val="14"/>
                <w:color w:val="auto"/>
              </w:rPr>
              <w:t>Natural</w:t>
            </w:r>
          </w:p>
        </w:tc>
        <w:tc>
          <w:tcPr>
            <w:tcW w:w="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5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900" w:type="dxa"/>
            <w:vAlign w:val="bottom"/>
          </w:tcPr>
          <w:p>
            <w:pPr>
              <w:spacing w:after="0"/>
              <w:rPr>
                <w:sz w:val="9"/>
                <w:szCs w:val="9"/>
                <w:color w:val="auto"/>
              </w:rPr>
            </w:pPr>
          </w:p>
        </w:tc>
        <w:tc>
          <w:tcPr>
            <w:tcW w:w="1540" w:type="dxa"/>
            <w:vAlign w:val="bottom"/>
            <w:gridSpan w:val="2"/>
            <w:vMerge w:val="restart"/>
          </w:tcPr>
          <w:p>
            <w:pPr>
              <w:jc w:val="center"/>
              <w:ind w:left="6"/>
              <w:spacing w:after="0" w:line="166" w:lineRule="exact"/>
              <w:rPr>
                <w:sz w:val="20"/>
                <w:szCs w:val="20"/>
                <w:color w:val="auto"/>
              </w:rPr>
            </w:pPr>
            <w:r>
              <w:rPr>
                <w:rFonts w:ascii="Verdana" w:cs="Verdana" w:eastAsia="Verdana" w:hAnsi="Verdana"/>
                <w:sz w:val="14"/>
                <w:szCs w:val="14"/>
                <w:color w:val="auto"/>
                <w:w w:val="98"/>
              </w:rPr>
              <w:t>Reserves to Proved</w:t>
            </w:r>
          </w:p>
        </w:tc>
        <w:tc>
          <w:tcPr>
            <w:tcW w:w="0" w:type="dxa"/>
            <w:vAlign w:val="bottom"/>
          </w:tcPr>
          <w:p>
            <w:pPr>
              <w:spacing w:after="0"/>
              <w:rPr>
                <w:sz w:val="1"/>
                <w:szCs w:val="1"/>
                <w:color w:val="auto"/>
              </w:rPr>
            </w:pPr>
          </w:p>
        </w:tc>
      </w:tr>
      <w:tr>
        <w:trPr>
          <w:trHeight w:val="56"/>
        </w:trPr>
        <w:tc>
          <w:tcPr>
            <w:tcW w:w="5320" w:type="dxa"/>
            <w:vAlign w:val="bottom"/>
          </w:tcPr>
          <w:p>
            <w:pPr>
              <w:spacing w:after="0"/>
              <w:rPr>
                <w:sz w:val="4"/>
                <w:szCs w:val="4"/>
                <w:color w:val="auto"/>
              </w:rPr>
            </w:pPr>
          </w:p>
        </w:tc>
        <w:tc>
          <w:tcPr>
            <w:tcW w:w="840" w:type="dxa"/>
            <w:vAlign w:val="bottom"/>
            <w:vMerge w:val="restart"/>
          </w:tcPr>
          <w:p>
            <w:pPr>
              <w:jc w:val="right"/>
              <w:ind w:right="246"/>
              <w:spacing w:after="0"/>
              <w:rPr>
                <w:sz w:val="20"/>
                <w:szCs w:val="20"/>
                <w:color w:val="auto"/>
              </w:rPr>
            </w:pPr>
            <w:r>
              <w:rPr>
                <w:rFonts w:ascii="Verdana" w:cs="Verdana" w:eastAsia="Verdana" w:hAnsi="Verdana"/>
                <w:sz w:val="14"/>
                <w:szCs w:val="14"/>
                <w:color w:val="auto"/>
              </w:rPr>
              <w:t>Oil</w:t>
            </w:r>
          </w:p>
        </w:tc>
        <w:tc>
          <w:tcPr>
            <w:tcW w:w="60" w:type="dxa"/>
            <w:vAlign w:val="bottom"/>
          </w:tcPr>
          <w:p>
            <w:pPr>
              <w:spacing w:after="0"/>
              <w:rPr>
                <w:sz w:val="4"/>
                <w:szCs w:val="4"/>
                <w:color w:val="auto"/>
              </w:rPr>
            </w:pPr>
          </w:p>
        </w:tc>
        <w:tc>
          <w:tcPr>
            <w:tcW w:w="840" w:type="dxa"/>
            <w:vAlign w:val="bottom"/>
            <w:vMerge w:val="restart"/>
          </w:tcPr>
          <w:p>
            <w:pPr>
              <w:jc w:val="center"/>
              <w:spacing w:after="0"/>
              <w:rPr>
                <w:sz w:val="20"/>
                <w:szCs w:val="20"/>
                <w:color w:val="auto"/>
              </w:rPr>
            </w:pPr>
            <w:r>
              <w:rPr>
                <w:rFonts w:ascii="Verdana" w:cs="Verdana" w:eastAsia="Verdana" w:hAnsi="Verdana"/>
                <w:sz w:val="14"/>
                <w:szCs w:val="14"/>
                <w:color w:val="auto"/>
              </w:rPr>
              <w:t>Gas</w:t>
            </w:r>
          </w:p>
        </w:tc>
        <w:tc>
          <w:tcPr>
            <w:tcW w:w="60" w:type="dxa"/>
            <w:vAlign w:val="bottom"/>
            <w:vMerge w:val="restart"/>
          </w:tcPr>
          <w:p>
            <w:pPr>
              <w:spacing w:after="0"/>
              <w:rPr>
                <w:sz w:val="4"/>
                <w:szCs w:val="4"/>
                <w:color w:val="auto"/>
              </w:rPr>
            </w:pPr>
          </w:p>
        </w:tc>
        <w:tc>
          <w:tcPr>
            <w:tcW w:w="900" w:type="dxa"/>
            <w:vAlign w:val="bottom"/>
            <w:vMerge w:val="restart"/>
          </w:tcPr>
          <w:p>
            <w:pPr>
              <w:jc w:val="right"/>
              <w:ind w:right="204"/>
              <w:spacing w:after="0"/>
              <w:rPr>
                <w:sz w:val="20"/>
                <w:szCs w:val="20"/>
                <w:color w:val="auto"/>
              </w:rPr>
            </w:pPr>
            <w:r>
              <w:rPr>
                <w:rFonts w:ascii="Verdana" w:cs="Verdana" w:eastAsia="Verdana" w:hAnsi="Verdana"/>
                <w:sz w:val="14"/>
                <w:szCs w:val="14"/>
                <w:color w:val="auto"/>
              </w:rPr>
              <w:t>Total</w:t>
            </w:r>
          </w:p>
        </w:tc>
        <w:tc>
          <w:tcPr>
            <w:tcW w:w="15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1"/>
                <w:szCs w:val="11"/>
                <w:color w:val="auto"/>
              </w:rPr>
            </w:pPr>
          </w:p>
        </w:tc>
        <w:tc>
          <w:tcPr>
            <w:tcW w:w="840" w:type="dxa"/>
            <w:vAlign w:val="bottom"/>
            <w:tcBorders>
              <w:bottom w:val="single" w:sz="8" w:color="214E93"/>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Borders>
              <w:bottom w:val="single" w:sz="8" w:color="214E93"/>
            </w:tcBorders>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900" w:type="dxa"/>
            <w:vAlign w:val="bottom"/>
            <w:tcBorders>
              <w:bottom w:val="single" w:sz="8" w:color="214E93"/>
            </w:tcBorders>
            <w:vMerge w:val="continue"/>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Pr>
          <w:p>
            <w:pPr>
              <w:jc w:val="center"/>
              <w:ind w:right="127"/>
              <w:spacing w:after="0" w:line="137" w:lineRule="exact"/>
              <w:rPr>
                <w:sz w:val="20"/>
                <w:szCs w:val="20"/>
                <w:color w:val="auto"/>
              </w:rPr>
            </w:pPr>
            <w:r>
              <w:rPr>
                <w:rFonts w:ascii="Verdana" w:cs="Verdana" w:eastAsia="Verdana" w:hAnsi="Verdana"/>
                <w:sz w:val="14"/>
                <w:szCs w:val="14"/>
                <w:color w:val="auto"/>
                <w:w w:val="99"/>
              </w:rPr>
              <w:t>Developed</w:t>
            </w:r>
          </w:p>
        </w:tc>
        <w:tc>
          <w:tcPr>
            <w:tcW w:w="0" w:type="dxa"/>
            <w:vAlign w:val="bottom"/>
          </w:tcPr>
          <w:p>
            <w:pPr>
              <w:spacing w:after="0"/>
              <w:rPr>
                <w:sz w:val="1"/>
                <w:szCs w:val="1"/>
                <w:color w:val="auto"/>
              </w:rPr>
            </w:pPr>
          </w:p>
        </w:tc>
      </w:tr>
      <w:tr>
        <w:trPr>
          <w:trHeight w:val="201"/>
        </w:trPr>
        <w:tc>
          <w:tcPr>
            <w:tcW w:w="5320" w:type="dxa"/>
            <w:vAlign w:val="bottom"/>
            <w:tcBorders>
              <w:bottom w:val="single" w:sz="8" w:color="214E93"/>
            </w:tcBorders>
          </w:tcPr>
          <w:p>
            <w:pPr>
              <w:spacing w:after="0"/>
              <w:rPr>
                <w:sz w:val="17"/>
                <w:szCs w:val="17"/>
                <w:color w:val="auto"/>
              </w:rPr>
            </w:pPr>
          </w:p>
        </w:tc>
        <w:tc>
          <w:tcPr>
            <w:tcW w:w="840" w:type="dxa"/>
            <w:vAlign w:val="bottom"/>
            <w:tcBorders>
              <w:bottom w:val="single" w:sz="8" w:color="214E93"/>
            </w:tcBorders>
          </w:tcPr>
          <w:p>
            <w:pPr>
              <w:jc w:val="right"/>
              <w:ind w:right="126"/>
              <w:spacing w:after="0"/>
              <w:rPr>
                <w:sz w:val="20"/>
                <w:szCs w:val="20"/>
                <w:color w:val="auto"/>
              </w:rPr>
            </w:pPr>
            <w:r>
              <w:rPr>
                <w:rFonts w:ascii="Verdana" w:cs="Verdana" w:eastAsia="Verdana" w:hAnsi="Verdana"/>
                <w:sz w:val="14"/>
                <w:szCs w:val="14"/>
                <w:color w:val="auto"/>
              </w:rPr>
              <w:t>(MBbl)</w:t>
            </w:r>
          </w:p>
        </w:tc>
        <w:tc>
          <w:tcPr>
            <w:tcW w:w="60" w:type="dxa"/>
            <w:vAlign w:val="bottom"/>
            <w:tcBorders>
              <w:bottom w:val="single" w:sz="8" w:color="214E93"/>
            </w:tcBorders>
          </w:tcPr>
          <w:p>
            <w:pPr>
              <w:spacing w:after="0"/>
              <w:rPr>
                <w:sz w:val="17"/>
                <w:szCs w:val="17"/>
                <w:color w:val="auto"/>
              </w:rPr>
            </w:pPr>
          </w:p>
        </w:tc>
        <w:tc>
          <w:tcPr>
            <w:tcW w:w="900" w:type="dxa"/>
            <w:vAlign w:val="bottom"/>
            <w:tcBorders>
              <w:bottom w:val="single" w:sz="8" w:color="214E93"/>
            </w:tcBorders>
            <w:gridSpan w:val="2"/>
          </w:tcPr>
          <w:p>
            <w:pPr>
              <w:jc w:val="center"/>
              <w:ind w:right="40"/>
              <w:spacing w:after="0"/>
              <w:rPr>
                <w:sz w:val="20"/>
                <w:szCs w:val="20"/>
                <w:color w:val="auto"/>
              </w:rPr>
            </w:pPr>
            <w:r>
              <w:rPr>
                <w:rFonts w:ascii="Verdana" w:cs="Verdana" w:eastAsia="Verdana" w:hAnsi="Verdana"/>
                <w:sz w:val="14"/>
                <w:szCs w:val="14"/>
                <w:color w:val="auto"/>
                <w:w w:val="98"/>
              </w:rPr>
              <w:t>(Bcf)</w:t>
            </w:r>
          </w:p>
        </w:tc>
        <w:tc>
          <w:tcPr>
            <w:tcW w:w="900" w:type="dxa"/>
            <w:vAlign w:val="bottom"/>
            <w:tcBorders>
              <w:bottom w:val="single" w:sz="8" w:color="214E93"/>
            </w:tcBorders>
          </w:tcPr>
          <w:p>
            <w:pPr>
              <w:jc w:val="right"/>
              <w:ind w:right="24"/>
              <w:spacing w:after="0" w:line="201" w:lineRule="exact"/>
              <w:rPr>
                <w:sz w:val="20"/>
                <w:szCs w:val="20"/>
                <w:color w:val="auto"/>
              </w:rPr>
            </w:pPr>
            <w:r>
              <w:rPr>
                <w:rFonts w:ascii="Verdana" w:cs="Verdana" w:eastAsia="Verdana" w:hAnsi="Verdana"/>
                <w:sz w:val="14"/>
                <w:szCs w:val="14"/>
                <w:color w:val="auto"/>
              </w:rPr>
              <w:t>(MBOE)</w:t>
            </w:r>
            <w:r>
              <w:rPr>
                <w:rFonts w:ascii="Verdana" w:cs="Verdana" w:eastAsia="Verdana" w:hAnsi="Verdana"/>
                <w:sz w:val="17"/>
                <w:szCs w:val="17"/>
                <w:color w:val="auto"/>
                <w:vertAlign w:val="superscript"/>
              </w:rPr>
              <w:t>(1)</w:t>
            </w:r>
          </w:p>
        </w:tc>
        <w:tc>
          <w:tcPr>
            <w:tcW w:w="280" w:type="dxa"/>
            <w:vAlign w:val="bottom"/>
            <w:tcBorders>
              <w:bottom w:val="single" w:sz="8" w:color="214E93"/>
            </w:tcBorders>
          </w:tcPr>
          <w:p>
            <w:pPr>
              <w:spacing w:after="0"/>
              <w:rPr>
                <w:sz w:val="17"/>
                <w:szCs w:val="17"/>
                <w:color w:val="auto"/>
              </w:rPr>
            </w:pPr>
          </w:p>
        </w:tc>
        <w:tc>
          <w:tcPr>
            <w:tcW w:w="1260" w:type="dxa"/>
            <w:vAlign w:val="bottom"/>
            <w:tcBorders>
              <w:bottom w:val="single" w:sz="8" w:color="214E93"/>
            </w:tcBorders>
          </w:tcPr>
          <w:p>
            <w:pPr>
              <w:jc w:val="center"/>
              <w:ind w:right="127"/>
              <w:spacing w:after="0"/>
              <w:rPr>
                <w:sz w:val="20"/>
                <w:szCs w:val="20"/>
                <w:color w:val="auto"/>
              </w:rPr>
            </w:pPr>
            <w:r>
              <w:rPr>
                <w:rFonts w:ascii="Verdana" w:cs="Verdana" w:eastAsia="Verdana" w:hAnsi="Verdana"/>
                <w:sz w:val="14"/>
                <w:szCs w:val="14"/>
                <w:color w:val="auto"/>
                <w:w w:val="97"/>
              </w:rPr>
              <w:t>Reserves</w:t>
            </w:r>
          </w:p>
        </w:tc>
        <w:tc>
          <w:tcPr>
            <w:tcW w:w="0" w:type="dxa"/>
            <w:vAlign w:val="bottom"/>
          </w:tcPr>
          <w:p>
            <w:pPr>
              <w:spacing w:after="0"/>
              <w:rPr>
                <w:sz w:val="1"/>
                <w:szCs w:val="1"/>
                <w:color w:val="auto"/>
              </w:rPr>
            </w:pPr>
          </w:p>
        </w:tc>
      </w:tr>
      <w:tr>
        <w:trPr>
          <w:trHeight w:val="211"/>
        </w:trPr>
        <w:tc>
          <w:tcPr>
            <w:tcW w:w="5320" w:type="dxa"/>
            <w:vAlign w:val="bottom"/>
          </w:tcPr>
          <w:p>
            <w:pPr>
              <w:jc w:val="right"/>
              <w:ind w:right="4801"/>
              <w:spacing w:after="0"/>
              <w:rPr>
                <w:sz w:val="20"/>
                <w:szCs w:val="20"/>
                <w:color w:val="auto"/>
              </w:rPr>
            </w:pPr>
            <w:r>
              <w:rPr>
                <w:rFonts w:ascii="Verdana" w:cs="Verdana" w:eastAsia="Verdana" w:hAnsi="Verdana"/>
                <w:sz w:val="16"/>
                <w:szCs w:val="16"/>
                <w:color w:val="auto"/>
              </w:rPr>
              <w:t>2022</w:t>
            </w:r>
          </w:p>
        </w:tc>
        <w:tc>
          <w:tcPr>
            <w:tcW w:w="840" w:type="dxa"/>
            <w:vAlign w:val="bottom"/>
          </w:tcPr>
          <w:p>
            <w:pPr>
              <w:jc w:val="right"/>
              <w:ind w:right="26"/>
              <w:spacing w:after="0"/>
              <w:rPr>
                <w:sz w:val="20"/>
                <w:szCs w:val="20"/>
                <w:color w:val="auto"/>
              </w:rPr>
            </w:pPr>
            <w:r>
              <w:rPr>
                <w:rFonts w:ascii="Verdana" w:cs="Verdana" w:eastAsia="Verdana" w:hAnsi="Verdana"/>
                <w:sz w:val="16"/>
                <w:szCs w:val="16"/>
                <w:color w:val="131313"/>
              </w:rPr>
              <w:t>22,515</w:t>
            </w:r>
          </w:p>
        </w:tc>
        <w:tc>
          <w:tcPr>
            <w:tcW w:w="900" w:type="dxa"/>
            <w:vAlign w:val="bottom"/>
            <w:gridSpan w:val="2"/>
          </w:tcPr>
          <w:p>
            <w:pPr>
              <w:jc w:val="right"/>
              <w:ind w:right="31"/>
              <w:spacing w:after="0"/>
              <w:rPr>
                <w:sz w:val="20"/>
                <w:szCs w:val="20"/>
                <w:color w:val="auto"/>
              </w:rPr>
            </w:pPr>
            <w:r>
              <w:rPr>
                <w:rFonts w:ascii="Verdana" w:cs="Verdana" w:eastAsia="Verdana" w:hAnsi="Verdana"/>
                <w:sz w:val="16"/>
                <w:szCs w:val="16"/>
                <w:color w:val="131313"/>
              </w:rPr>
              <w:t>95.3</w:t>
            </w:r>
          </w:p>
        </w:tc>
        <w:tc>
          <w:tcPr>
            <w:tcW w:w="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Verdana" w:cs="Verdana" w:eastAsia="Verdana" w:hAnsi="Verdana"/>
                <w:sz w:val="16"/>
                <w:szCs w:val="16"/>
                <w:color w:val="131313"/>
              </w:rPr>
              <w:t>38,403</w:t>
            </w:r>
          </w:p>
        </w:tc>
        <w:tc>
          <w:tcPr>
            <w:tcW w:w="280" w:type="dxa"/>
            <w:vAlign w:val="bottom"/>
          </w:tcPr>
          <w:p>
            <w:pPr>
              <w:spacing w:after="0"/>
              <w:rPr>
                <w:sz w:val="18"/>
                <w:szCs w:val="18"/>
                <w:color w:val="auto"/>
              </w:rPr>
            </w:pPr>
          </w:p>
        </w:tc>
        <w:tc>
          <w:tcPr>
            <w:tcW w:w="1260" w:type="dxa"/>
            <w:vAlign w:val="bottom"/>
          </w:tcPr>
          <w:p>
            <w:pPr>
              <w:jc w:val="right"/>
              <w:ind w:right="7"/>
              <w:spacing w:after="0"/>
              <w:rPr>
                <w:sz w:val="20"/>
                <w:szCs w:val="20"/>
                <w:color w:val="auto"/>
              </w:rPr>
            </w:pPr>
            <w:r>
              <w:rPr>
                <w:rFonts w:ascii="Verdana" w:cs="Verdana" w:eastAsia="Verdana" w:hAnsi="Verdana"/>
                <w:sz w:val="16"/>
                <w:szCs w:val="16"/>
                <w:color w:val="131313"/>
              </w:rPr>
              <w:t>434,336</w:t>
            </w:r>
          </w:p>
        </w:tc>
        <w:tc>
          <w:tcPr>
            <w:tcW w:w="0" w:type="dxa"/>
            <w:vAlign w:val="bottom"/>
          </w:tcPr>
          <w:p>
            <w:pPr>
              <w:spacing w:after="0"/>
              <w:rPr>
                <w:sz w:val="1"/>
                <w:szCs w:val="1"/>
                <w:color w:val="auto"/>
              </w:rPr>
            </w:pPr>
          </w:p>
        </w:tc>
      </w:tr>
      <w:tr>
        <w:trPr>
          <w:trHeight w:val="235"/>
        </w:trPr>
        <w:tc>
          <w:tcPr>
            <w:tcW w:w="5320" w:type="dxa"/>
            <w:vAlign w:val="bottom"/>
          </w:tcPr>
          <w:p>
            <w:pPr>
              <w:jc w:val="right"/>
              <w:ind w:right="4801"/>
              <w:spacing w:after="0"/>
              <w:rPr>
                <w:sz w:val="20"/>
                <w:szCs w:val="20"/>
                <w:color w:val="auto"/>
              </w:rPr>
            </w:pPr>
            <w:r>
              <w:rPr>
                <w:rFonts w:ascii="Verdana" w:cs="Verdana" w:eastAsia="Verdana" w:hAnsi="Verdana"/>
                <w:sz w:val="16"/>
                <w:szCs w:val="16"/>
                <w:color w:val="auto"/>
              </w:rPr>
              <w:t>2023</w:t>
            </w:r>
          </w:p>
        </w:tc>
        <w:tc>
          <w:tcPr>
            <w:tcW w:w="840" w:type="dxa"/>
            <w:vAlign w:val="bottom"/>
          </w:tcPr>
          <w:p>
            <w:pPr>
              <w:jc w:val="right"/>
              <w:ind w:right="26"/>
              <w:spacing w:after="0"/>
              <w:rPr>
                <w:sz w:val="20"/>
                <w:szCs w:val="20"/>
                <w:color w:val="auto"/>
              </w:rPr>
            </w:pPr>
            <w:r>
              <w:rPr>
                <w:rFonts w:ascii="Verdana" w:cs="Verdana" w:eastAsia="Verdana" w:hAnsi="Verdana"/>
                <w:sz w:val="16"/>
                <w:szCs w:val="16"/>
                <w:color w:val="131313"/>
              </w:rPr>
              <w:t>18,492</w:t>
            </w:r>
          </w:p>
        </w:tc>
        <w:tc>
          <w:tcPr>
            <w:tcW w:w="900" w:type="dxa"/>
            <w:vAlign w:val="bottom"/>
            <w:gridSpan w:val="2"/>
          </w:tcPr>
          <w:p>
            <w:pPr>
              <w:jc w:val="right"/>
              <w:ind w:right="31"/>
              <w:spacing w:after="0"/>
              <w:rPr>
                <w:sz w:val="20"/>
                <w:szCs w:val="20"/>
                <w:color w:val="auto"/>
              </w:rPr>
            </w:pPr>
            <w:r>
              <w:rPr>
                <w:rFonts w:ascii="Verdana" w:cs="Verdana" w:eastAsia="Verdana" w:hAnsi="Verdana"/>
                <w:sz w:val="16"/>
                <w:szCs w:val="16"/>
                <w:color w:val="131313"/>
              </w:rPr>
              <w:t>98.6</w:t>
            </w:r>
          </w:p>
        </w:tc>
        <w:tc>
          <w:tcPr>
            <w:tcW w:w="60" w:type="dxa"/>
            <w:vAlign w:val="bottom"/>
          </w:tcPr>
          <w:p>
            <w:pPr>
              <w:spacing w:after="0"/>
              <w:rPr>
                <w:sz w:val="20"/>
                <w:szCs w:val="20"/>
                <w:color w:val="auto"/>
              </w:rPr>
            </w:pPr>
          </w:p>
        </w:tc>
        <w:tc>
          <w:tcPr>
            <w:tcW w:w="900" w:type="dxa"/>
            <w:vAlign w:val="bottom"/>
          </w:tcPr>
          <w:p>
            <w:pPr>
              <w:jc w:val="right"/>
              <w:ind w:right="4"/>
              <w:spacing w:after="0"/>
              <w:rPr>
                <w:sz w:val="20"/>
                <w:szCs w:val="20"/>
                <w:color w:val="auto"/>
              </w:rPr>
            </w:pPr>
            <w:r>
              <w:rPr>
                <w:rFonts w:ascii="Verdana" w:cs="Verdana" w:eastAsia="Verdana" w:hAnsi="Verdana"/>
                <w:sz w:val="16"/>
                <w:szCs w:val="16"/>
                <w:color w:val="131313"/>
              </w:rPr>
              <w:t>34,928</w:t>
            </w:r>
          </w:p>
        </w:tc>
        <w:tc>
          <w:tcPr>
            <w:tcW w:w="280" w:type="dxa"/>
            <w:vAlign w:val="bottom"/>
          </w:tcPr>
          <w:p>
            <w:pPr>
              <w:spacing w:after="0"/>
              <w:rPr>
                <w:sz w:val="20"/>
                <w:szCs w:val="20"/>
                <w:color w:val="auto"/>
              </w:rPr>
            </w:pPr>
          </w:p>
        </w:tc>
        <w:tc>
          <w:tcPr>
            <w:tcW w:w="1260" w:type="dxa"/>
            <w:vAlign w:val="bottom"/>
          </w:tcPr>
          <w:p>
            <w:pPr>
              <w:jc w:val="right"/>
              <w:ind w:right="7"/>
              <w:spacing w:after="0"/>
              <w:rPr>
                <w:sz w:val="20"/>
                <w:szCs w:val="20"/>
                <w:color w:val="auto"/>
              </w:rPr>
            </w:pPr>
            <w:r>
              <w:rPr>
                <w:rFonts w:ascii="Verdana" w:cs="Verdana" w:eastAsia="Verdana" w:hAnsi="Verdana"/>
                <w:sz w:val="16"/>
                <w:szCs w:val="16"/>
                <w:color w:val="131313"/>
              </w:rPr>
              <w:t>441,671</w:t>
            </w:r>
          </w:p>
        </w:tc>
        <w:tc>
          <w:tcPr>
            <w:tcW w:w="0" w:type="dxa"/>
            <w:vAlign w:val="bottom"/>
          </w:tcPr>
          <w:p>
            <w:pPr>
              <w:spacing w:after="0"/>
              <w:rPr>
                <w:sz w:val="1"/>
                <w:szCs w:val="1"/>
                <w:color w:val="auto"/>
              </w:rPr>
            </w:pPr>
          </w:p>
        </w:tc>
      </w:tr>
      <w:tr>
        <w:trPr>
          <w:trHeight w:val="236"/>
        </w:trPr>
        <w:tc>
          <w:tcPr>
            <w:tcW w:w="5320" w:type="dxa"/>
            <w:vAlign w:val="bottom"/>
          </w:tcPr>
          <w:p>
            <w:pPr>
              <w:jc w:val="right"/>
              <w:ind w:right="4801"/>
              <w:spacing w:after="0"/>
              <w:rPr>
                <w:sz w:val="20"/>
                <w:szCs w:val="20"/>
                <w:color w:val="auto"/>
              </w:rPr>
            </w:pPr>
            <w:r>
              <w:rPr>
                <w:rFonts w:ascii="Verdana" w:cs="Verdana" w:eastAsia="Verdana" w:hAnsi="Verdana"/>
                <w:sz w:val="16"/>
                <w:szCs w:val="16"/>
                <w:color w:val="auto"/>
              </w:rPr>
              <w:t>2024</w:t>
            </w:r>
          </w:p>
        </w:tc>
        <w:tc>
          <w:tcPr>
            <w:tcW w:w="840" w:type="dxa"/>
            <w:vAlign w:val="bottom"/>
          </w:tcPr>
          <w:p>
            <w:pPr>
              <w:jc w:val="right"/>
              <w:ind w:right="26"/>
              <w:spacing w:after="0"/>
              <w:rPr>
                <w:sz w:val="20"/>
                <w:szCs w:val="20"/>
                <w:color w:val="auto"/>
              </w:rPr>
            </w:pPr>
            <w:r>
              <w:rPr>
                <w:rFonts w:ascii="Verdana" w:cs="Verdana" w:eastAsia="Verdana" w:hAnsi="Verdana"/>
                <w:sz w:val="16"/>
                <w:szCs w:val="16"/>
                <w:color w:val="131313"/>
              </w:rPr>
              <w:t>34,857</w:t>
            </w:r>
          </w:p>
        </w:tc>
        <w:tc>
          <w:tcPr>
            <w:tcW w:w="900" w:type="dxa"/>
            <w:vAlign w:val="bottom"/>
            <w:gridSpan w:val="2"/>
          </w:tcPr>
          <w:p>
            <w:pPr>
              <w:jc w:val="right"/>
              <w:ind w:right="31"/>
              <w:spacing w:after="0"/>
              <w:rPr>
                <w:sz w:val="20"/>
                <w:szCs w:val="20"/>
                <w:color w:val="auto"/>
              </w:rPr>
            </w:pPr>
            <w:r>
              <w:rPr>
                <w:rFonts w:ascii="Verdana" w:cs="Verdana" w:eastAsia="Verdana" w:hAnsi="Verdana"/>
                <w:sz w:val="16"/>
                <w:szCs w:val="16"/>
                <w:color w:val="131313"/>
              </w:rPr>
              <w:t>118.4</w:t>
            </w:r>
          </w:p>
        </w:tc>
        <w:tc>
          <w:tcPr>
            <w:tcW w:w="60" w:type="dxa"/>
            <w:vAlign w:val="bottom"/>
          </w:tcPr>
          <w:p>
            <w:pPr>
              <w:spacing w:after="0"/>
              <w:rPr>
                <w:sz w:val="20"/>
                <w:szCs w:val="20"/>
                <w:color w:val="auto"/>
              </w:rPr>
            </w:pPr>
          </w:p>
        </w:tc>
        <w:tc>
          <w:tcPr>
            <w:tcW w:w="900" w:type="dxa"/>
            <w:vAlign w:val="bottom"/>
          </w:tcPr>
          <w:p>
            <w:pPr>
              <w:jc w:val="right"/>
              <w:ind w:right="4"/>
              <w:spacing w:after="0"/>
              <w:rPr>
                <w:sz w:val="20"/>
                <w:szCs w:val="20"/>
                <w:color w:val="auto"/>
              </w:rPr>
            </w:pPr>
            <w:r>
              <w:rPr>
                <w:rFonts w:ascii="Verdana" w:cs="Verdana" w:eastAsia="Verdana" w:hAnsi="Verdana"/>
                <w:sz w:val="16"/>
                <w:szCs w:val="16"/>
                <w:color w:val="131313"/>
              </w:rPr>
              <w:t>54,598</w:t>
            </w:r>
          </w:p>
        </w:tc>
        <w:tc>
          <w:tcPr>
            <w:tcW w:w="280" w:type="dxa"/>
            <w:vAlign w:val="bottom"/>
          </w:tcPr>
          <w:p>
            <w:pPr>
              <w:spacing w:after="0"/>
              <w:rPr>
                <w:sz w:val="20"/>
                <w:szCs w:val="20"/>
                <w:color w:val="auto"/>
              </w:rPr>
            </w:pPr>
          </w:p>
        </w:tc>
        <w:tc>
          <w:tcPr>
            <w:tcW w:w="1260" w:type="dxa"/>
            <w:vAlign w:val="bottom"/>
          </w:tcPr>
          <w:p>
            <w:pPr>
              <w:jc w:val="right"/>
              <w:ind w:right="7"/>
              <w:spacing w:after="0"/>
              <w:rPr>
                <w:sz w:val="20"/>
                <w:szCs w:val="20"/>
                <w:color w:val="auto"/>
              </w:rPr>
            </w:pPr>
            <w:r>
              <w:rPr>
                <w:rFonts w:ascii="Verdana" w:cs="Verdana" w:eastAsia="Verdana" w:hAnsi="Verdana"/>
                <w:sz w:val="16"/>
                <w:szCs w:val="16"/>
                <w:color w:val="131313"/>
              </w:rPr>
              <w:t>685,163</w:t>
            </w:r>
          </w:p>
        </w:tc>
        <w:tc>
          <w:tcPr>
            <w:tcW w:w="0" w:type="dxa"/>
            <w:vAlign w:val="bottom"/>
          </w:tcPr>
          <w:p>
            <w:pPr>
              <w:spacing w:after="0"/>
              <w:rPr>
                <w:sz w:val="1"/>
                <w:szCs w:val="1"/>
                <w:color w:val="auto"/>
              </w:rPr>
            </w:pPr>
          </w:p>
        </w:tc>
      </w:tr>
      <w:tr>
        <w:trPr>
          <w:trHeight w:val="242"/>
        </w:trPr>
        <w:tc>
          <w:tcPr>
            <w:tcW w:w="5320" w:type="dxa"/>
            <w:vAlign w:val="bottom"/>
            <w:tcBorders>
              <w:bottom w:val="single" w:sz="8" w:color="auto"/>
            </w:tcBorders>
          </w:tcPr>
          <w:p>
            <w:pPr>
              <w:jc w:val="right"/>
              <w:ind w:right="4801"/>
              <w:spacing w:after="0"/>
              <w:rPr>
                <w:sz w:val="20"/>
                <w:szCs w:val="20"/>
                <w:color w:val="auto"/>
              </w:rPr>
            </w:pPr>
            <w:r>
              <w:rPr>
                <w:rFonts w:ascii="Verdana" w:cs="Verdana" w:eastAsia="Verdana" w:hAnsi="Verdana"/>
                <w:sz w:val="16"/>
                <w:szCs w:val="16"/>
                <w:color w:val="214E93"/>
              </w:rPr>
              <w:t>2025</w:t>
            </w:r>
          </w:p>
        </w:tc>
        <w:tc>
          <w:tcPr>
            <w:tcW w:w="840" w:type="dxa"/>
            <w:vAlign w:val="bottom"/>
            <w:tcBorders>
              <w:bottom w:val="single" w:sz="8" w:color="auto"/>
            </w:tcBorders>
          </w:tcPr>
          <w:p>
            <w:pPr>
              <w:jc w:val="right"/>
              <w:ind w:right="26"/>
              <w:spacing w:after="0"/>
              <w:rPr>
                <w:sz w:val="20"/>
                <w:szCs w:val="20"/>
                <w:color w:val="auto"/>
              </w:rPr>
            </w:pPr>
            <w:r>
              <w:rPr>
                <w:rFonts w:ascii="Verdana" w:cs="Verdana" w:eastAsia="Verdana" w:hAnsi="Verdana"/>
                <w:sz w:val="16"/>
                <w:szCs w:val="16"/>
                <w:color w:val="214E93"/>
              </w:rPr>
              <w:t>51,666</w:t>
            </w:r>
          </w:p>
        </w:tc>
        <w:tc>
          <w:tcPr>
            <w:tcW w:w="900" w:type="dxa"/>
            <w:vAlign w:val="bottom"/>
            <w:tcBorders>
              <w:bottom w:val="single" w:sz="8" w:color="auto"/>
            </w:tcBorders>
            <w:gridSpan w:val="2"/>
          </w:tcPr>
          <w:p>
            <w:pPr>
              <w:jc w:val="right"/>
              <w:ind w:right="31"/>
              <w:spacing w:after="0"/>
              <w:rPr>
                <w:sz w:val="20"/>
                <w:szCs w:val="20"/>
                <w:color w:val="auto"/>
              </w:rPr>
            </w:pPr>
            <w:r>
              <w:rPr>
                <w:rFonts w:ascii="Verdana" w:cs="Verdana" w:eastAsia="Verdana" w:hAnsi="Verdana"/>
                <w:sz w:val="16"/>
                <w:szCs w:val="16"/>
                <w:color w:val="214E93"/>
              </w:rPr>
              <w:t>155.4</w:t>
            </w:r>
          </w:p>
        </w:tc>
        <w:tc>
          <w:tcPr>
            <w:tcW w:w="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
              <w:spacing w:after="0"/>
              <w:rPr>
                <w:sz w:val="20"/>
                <w:szCs w:val="20"/>
                <w:color w:val="auto"/>
              </w:rPr>
            </w:pPr>
            <w:r>
              <w:rPr>
                <w:rFonts w:ascii="Verdana" w:cs="Verdana" w:eastAsia="Verdana" w:hAnsi="Verdana"/>
                <w:sz w:val="16"/>
                <w:szCs w:val="16"/>
                <w:color w:val="214E93"/>
              </w:rPr>
              <w:t>77,565</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
              <w:spacing w:after="0"/>
              <w:rPr>
                <w:sz w:val="20"/>
                <w:szCs w:val="20"/>
                <w:color w:val="auto"/>
              </w:rPr>
            </w:pPr>
            <w:r>
              <w:rPr>
                <w:rFonts w:ascii="Verdana" w:cs="Verdana" w:eastAsia="Verdana" w:hAnsi="Verdana"/>
                <w:sz w:val="16"/>
                <w:szCs w:val="16"/>
                <w:color w:val="214E93"/>
              </w:rPr>
              <w:t>1,013,114</w:t>
            </w:r>
          </w:p>
        </w:tc>
        <w:tc>
          <w:tcPr>
            <w:tcW w:w="0" w:type="dxa"/>
            <w:vAlign w:val="bottom"/>
          </w:tcPr>
          <w:p>
            <w:pPr>
              <w:spacing w:after="0"/>
              <w:rPr>
                <w:sz w:val="1"/>
                <w:szCs w:val="1"/>
                <w:color w:val="auto"/>
              </w:rPr>
            </w:pPr>
          </w:p>
        </w:tc>
      </w:tr>
      <w:tr>
        <w:trPr>
          <w:trHeight w:val="217"/>
        </w:trPr>
        <w:tc>
          <w:tcPr>
            <w:tcW w:w="5320" w:type="dxa"/>
            <w:vAlign w:val="bottom"/>
            <w:tcBorders>
              <w:bottom w:val="single" w:sz="8" w:color="214E93"/>
            </w:tcBorders>
          </w:tcPr>
          <w:p>
            <w:pPr>
              <w:jc w:val="right"/>
              <w:ind w:right="4681"/>
              <w:spacing w:after="0"/>
              <w:rPr>
                <w:sz w:val="20"/>
                <w:szCs w:val="20"/>
                <w:color w:val="auto"/>
              </w:rPr>
            </w:pPr>
            <w:r>
              <w:rPr>
                <w:rFonts w:ascii="Verdana" w:cs="Verdana" w:eastAsia="Verdana" w:hAnsi="Verdana"/>
                <w:sz w:val="16"/>
                <w:szCs w:val="16"/>
                <w:color w:val="auto"/>
              </w:rPr>
              <w:t>Total</w:t>
            </w:r>
          </w:p>
        </w:tc>
        <w:tc>
          <w:tcPr>
            <w:tcW w:w="840" w:type="dxa"/>
            <w:vAlign w:val="bottom"/>
            <w:tcBorders>
              <w:bottom w:val="single" w:sz="8" w:color="214E93"/>
            </w:tcBorders>
          </w:tcPr>
          <w:p>
            <w:pPr>
              <w:jc w:val="right"/>
              <w:ind w:right="26"/>
              <w:spacing w:after="0"/>
              <w:rPr>
                <w:sz w:val="20"/>
                <w:szCs w:val="20"/>
                <w:color w:val="auto"/>
              </w:rPr>
            </w:pPr>
            <w:r>
              <w:rPr>
                <w:rFonts w:ascii="Verdana" w:cs="Verdana" w:eastAsia="Verdana" w:hAnsi="Verdana"/>
                <w:sz w:val="16"/>
                <w:szCs w:val="16"/>
                <w:color w:val="131313"/>
              </w:rPr>
              <w:t>127,530</w:t>
            </w:r>
          </w:p>
        </w:tc>
        <w:tc>
          <w:tcPr>
            <w:tcW w:w="900" w:type="dxa"/>
            <w:vAlign w:val="bottom"/>
            <w:tcBorders>
              <w:bottom w:val="single" w:sz="8" w:color="214E93"/>
            </w:tcBorders>
            <w:gridSpan w:val="2"/>
          </w:tcPr>
          <w:p>
            <w:pPr>
              <w:jc w:val="right"/>
              <w:ind w:right="31"/>
              <w:spacing w:after="0"/>
              <w:rPr>
                <w:sz w:val="20"/>
                <w:szCs w:val="20"/>
                <w:color w:val="auto"/>
              </w:rPr>
            </w:pPr>
            <w:r>
              <w:rPr>
                <w:rFonts w:ascii="Verdana" w:cs="Verdana" w:eastAsia="Verdana" w:hAnsi="Verdana"/>
                <w:sz w:val="16"/>
                <w:szCs w:val="16"/>
                <w:color w:val="131313"/>
              </w:rPr>
              <w:t>467.7</w:t>
            </w:r>
          </w:p>
        </w:tc>
        <w:tc>
          <w:tcPr>
            <w:tcW w:w="60" w:type="dxa"/>
            <w:vAlign w:val="bottom"/>
            <w:tcBorders>
              <w:bottom w:val="single" w:sz="8" w:color="214E93"/>
            </w:tcBorders>
          </w:tcPr>
          <w:p>
            <w:pPr>
              <w:spacing w:after="0"/>
              <w:rPr>
                <w:sz w:val="18"/>
                <w:szCs w:val="18"/>
                <w:color w:val="auto"/>
              </w:rPr>
            </w:pPr>
          </w:p>
        </w:tc>
        <w:tc>
          <w:tcPr>
            <w:tcW w:w="900" w:type="dxa"/>
            <w:vAlign w:val="bottom"/>
            <w:tcBorders>
              <w:bottom w:val="single" w:sz="8" w:color="214E93"/>
            </w:tcBorders>
          </w:tcPr>
          <w:p>
            <w:pPr>
              <w:jc w:val="right"/>
              <w:ind w:right="4"/>
              <w:spacing w:after="0"/>
              <w:rPr>
                <w:sz w:val="20"/>
                <w:szCs w:val="20"/>
                <w:color w:val="auto"/>
              </w:rPr>
            </w:pPr>
            <w:r>
              <w:rPr>
                <w:rFonts w:ascii="Verdana" w:cs="Verdana" w:eastAsia="Verdana" w:hAnsi="Verdana"/>
                <w:sz w:val="16"/>
                <w:szCs w:val="16"/>
                <w:color w:val="131313"/>
              </w:rPr>
              <w:t>205,494</w:t>
            </w:r>
          </w:p>
        </w:tc>
        <w:tc>
          <w:tcPr>
            <w:tcW w:w="28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131313"/>
              </w:rPr>
              <w:t>$</w:t>
            </w:r>
          </w:p>
        </w:tc>
        <w:tc>
          <w:tcPr>
            <w:tcW w:w="1260" w:type="dxa"/>
            <w:vAlign w:val="bottom"/>
            <w:tcBorders>
              <w:bottom w:val="single" w:sz="8" w:color="214E93"/>
            </w:tcBorders>
          </w:tcPr>
          <w:p>
            <w:pPr>
              <w:jc w:val="right"/>
              <w:ind w:right="7"/>
              <w:spacing w:after="0"/>
              <w:rPr>
                <w:sz w:val="20"/>
                <w:szCs w:val="20"/>
                <w:color w:val="auto"/>
              </w:rPr>
            </w:pPr>
            <w:r>
              <w:rPr>
                <w:rFonts w:ascii="Verdana" w:cs="Verdana" w:eastAsia="Verdana" w:hAnsi="Verdana"/>
                <w:sz w:val="16"/>
                <w:szCs w:val="16"/>
                <w:color w:val="131313"/>
              </w:rPr>
              <w:t>2,574,284</w:t>
            </w: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106" w:lineRule="exact"/>
        <w:rPr>
          <w:sz w:val="20"/>
          <w:szCs w:val="20"/>
          <w:color w:val="auto"/>
        </w:rPr>
      </w:pPr>
    </w:p>
    <w:p>
      <w:pPr>
        <w:ind w:left="900"/>
        <w:spacing w:after="0"/>
        <w:tabs>
          <w:tab w:leader="none" w:pos="1160" w:val="left"/>
        </w:tabs>
        <w:rPr>
          <w:sz w:val="20"/>
          <w:szCs w:val="20"/>
          <w:color w:val="auto"/>
        </w:rPr>
      </w:pPr>
      <w:r>
        <w:rPr>
          <w:rFonts w:ascii="Calibri" w:cs="Calibri" w:eastAsia="Calibri" w:hAnsi="Calibri"/>
          <w:sz w:val="14"/>
          <w:szCs w:val="14"/>
          <w:color w:val="auto"/>
        </w:rPr>
        <w:t>(1)</w:t>
      </w:r>
      <w:r>
        <w:rPr>
          <w:sz w:val="20"/>
          <w:szCs w:val="20"/>
          <w:color w:val="auto"/>
        </w:rPr>
        <w:tab/>
      </w:r>
      <w:r>
        <w:rPr>
          <w:rFonts w:ascii="Calibri" w:cs="Calibri" w:eastAsia="Calibri" w:hAnsi="Calibri"/>
          <w:sz w:val="13"/>
          <w:szCs w:val="13"/>
          <w:color w:val="auto"/>
        </w:rPr>
        <w:t>Estimated using a conversion ratio of one Bbl of oil per six Mcf of natural gas.</w:t>
      </w:r>
    </w:p>
    <w:p>
      <w:pPr>
        <w:sectPr>
          <w:pgSz w:w="11880" w:h="15480" w:orient="portrait"/>
          <w:cols w:equalWidth="0" w:num="1">
            <w:col w:w="11440"/>
          </w:cols>
          <w:pgMar w:left="440" w:top="498" w:right="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1440"/>
          </w:cols>
          <w:pgMar w:left="440" w:top="498" w:right="0" w:bottom="0" w:gutter="0" w:footer="0" w:header="0"/>
          <w:type w:val="continuous"/>
        </w:sectPr>
      </w:pPr>
    </w:p>
    <w:bookmarkStart w:id="36" w:name="page37"/>
    <w:bookmarkEnd w:id="36"/>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23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240" w:firstLine="241"/>
        <w:spacing w:after="0" w:line="252" w:lineRule="auto"/>
        <w:rPr>
          <w:sz w:val="20"/>
          <w:szCs w:val="20"/>
          <w:color w:val="auto"/>
        </w:rPr>
      </w:pPr>
      <w:r>
        <w:rPr>
          <w:rFonts w:ascii="Calibri" w:cs="Calibri" w:eastAsia="Calibri" w:hAnsi="Calibri"/>
          <w:sz w:val="18"/>
          <w:szCs w:val="18"/>
          <w:color w:val="auto"/>
        </w:rPr>
        <w:t>The following table sets forth additional summary information by operating area with respect to our estimated net proved reserves at December 31, 2025.</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3620" w:type="dxa"/>
            <w:vAlign w:val="bottom"/>
            <w:tcBorders>
              <w:bottom w:val="single" w:sz="8" w:color="214E93"/>
            </w:tcBorders>
            <w:gridSpan w:val="5"/>
          </w:tcPr>
          <w:p>
            <w:pPr>
              <w:jc w:val="center"/>
              <w:spacing w:after="0"/>
              <w:rPr>
                <w:sz w:val="20"/>
                <w:szCs w:val="20"/>
                <w:color w:val="auto"/>
              </w:rPr>
            </w:pPr>
            <w:r>
              <w:rPr>
                <w:rFonts w:ascii="Verdana" w:cs="Verdana" w:eastAsia="Verdana" w:hAnsi="Verdana"/>
                <w:sz w:val="14"/>
                <w:szCs w:val="14"/>
                <w:color w:val="auto"/>
                <w:w w:val="96"/>
              </w:rPr>
              <w:t>Net Proved Reserves</w:t>
            </w:r>
            <w:r>
              <w:rPr>
                <w:rFonts w:ascii="Verdana" w:cs="Verdana" w:eastAsia="Verdana" w:hAnsi="Verdana"/>
                <w:sz w:val="17"/>
                <w:szCs w:val="17"/>
                <w:color w:val="auto"/>
                <w:w w:val="96"/>
                <w:vertAlign w:val="superscript"/>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86"/>
        </w:trPr>
        <w:tc>
          <w:tcPr>
            <w:tcW w:w="3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Verdana" w:cs="Verdana" w:eastAsia="Verdana" w:hAnsi="Verdana"/>
                <w:sz w:val="14"/>
                <w:szCs w:val="14"/>
                <w:color w:val="auto"/>
                <w:w w:val="99"/>
              </w:rPr>
              <w:t>Standardized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3"/>
        </w:trPr>
        <w:tc>
          <w:tcPr>
            <w:tcW w:w="3480" w:type="dxa"/>
            <w:vAlign w:val="bottom"/>
          </w:tcPr>
          <w:p>
            <w:pPr>
              <w:spacing w:after="0"/>
              <w:rPr>
                <w:sz w:val="16"/>
                <w:szCs w:val="16"/>
                <w:color w:val="auto"/>
              </w:rPr>
            </w:pPr>
          </w:p>
        </w:tc>
        <w:tc>
          <w:tcPr>
            <w:tcW w:w="1160" w:type="dxa"/>
            <w:vAlign w:val="bottom"/>
            <w:tcBorders>
              <w:bottom w:val="single" w:sz="8" w:color="214E93"/>
            </w:tcBorders>
          </w:tcPr>
          <w:p>
            <w:pPr>
              <w:jc w:val="right"/>
              <w:ind w:right="405"/>
              <w:spacing w:after="0"/>
              <w:rPr>
                <w:sz w:val="20"/>
                <w:szCs w:val="20"/>
                <w:color w:val="auto"/>
              </w:rPr>
            </w:pPr>
            <w:r>
              <w:rPr>
                <w:rFonts w:ascii="Verdana" w:cs="Verdana" w:eastAsia="Verdana" w:hAnsi="Verdana"/>
                <w:sz w:val="14"/>
                <w:szCs w:val="14"/>
                <w:color w:val="auto"/>
              </w:rPr>
              <w:t>Oil</w:t>
            </w:r>
          </w:p>
        </w:tc>
        <w:tc>
          <w:tcPr>
            <w:tcW w:w="80" w:type="dxa"/>
            <w:vAlign w:val="bottom"/>
          </w:tcPr>
          <w:p>
            <w:pPr>
              <w:spacing w:after="0"/>
              <w:rPr>
                <w:sz w:val="16"/>
                <w:szCs w:val="16"/>
                <w:color w:val="auto"/>
              </w:rPr>
            </w:pPr>
          </w:p>
        </w:tc>
        <w:tc>
          <w:tcPr>
            <w:tcW w:w="114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auto"/>
                <w:w w:val="98"/>
              </w:rPr>
              <w:t>Natural Gas</w:t>
            </w:r>
          </w:p>
        </w:tc>
        <w:tc>
          <w:tcPr>
            <w:tcW w:w="80" w:type="dxa"/>
            <w:vAlign w:val="bottom"/>
          </w:tcPr>
          <w:p>
            <w:pPr>
              <w:spacing w:after="0"/>
              <w:rPr>
                <w:sz w:val="16"/>
                <w:szCs w:val="16"/>
                <w:color w:val="auto"/>
              </w:rPr>
            </w:pPr>
          </w:p>
        </w:tc>
        <w:tc>
          <w:tcPr>
            <w:tcW w:w="1160" w:type="dxa"/>
            <w:vAlign w:val="bottom"/>
            <w:tcBorders>
              <w:bottom w:val="single" w:sz="8" w:color="214E93"/>
            </w:tcBorders>
          </w:tcPr>
          <w:p>
            <w:pPr>
              <w:jc w:val="right"/>
              <w:ind w:right="31"/>
              <w:spacing w:after="0"/>
              <w:rPr>
                <w:sz w:val="20"/>
                <w:szCs w:val="20"/>
                <w:color w:val="auto"/>
              </w:rPr>
            </w:pPr>
            <w:r>
              <w:rPr>
                <w:rFonts w:ascii="Verdana" w:cs="Verdana" w:eastAsia="Verdana" w:hAnsi="Verdana"/>
                <w:sz w:val="14"/>
                <w:szCs w:val="14"/>
                <w:color w:val="auto"/>
              </w:rPr>
              <w:t>Oil Equivalent</w:t>
            </w:r>
          </w:p>
        </w:tc>
        <w:tc>
          <w:tcPr>
            <w:tcW w:w="80" w:type="dxa"/>
            <w:vAlign w:val="bottom"/>
          </w:tcPr>
          <w:p>
            <w:pPr>
              <w:spacing w:after="0"/>
              <w:rPr>
                <w:sz w:val="16"/>
                <w:szCs w:val="16"/>
                <w:color w:val="auto"/>
              </w:rPr>
            </w:pPr>
          </w:p>
        </w:tc>
        <w:tc>
          <w:tcPr>
            <w:tcW w:w="140" w:type="dxa"/>
            <w:vAlign w:val="bottom"/>
            <w:tcBorders>
              <w:bottom w:val="single" w:sz="8" w:color="214E93"/>
            </w:tcBorders>
          </w:tcPr>
          <w:p>
            <w:pPr>
              <w:spacing w:after="0"/>
              <w:rPr>
                <w:sz w:val="16"/>
                <w:szCs w:val="16"/>
                <w:color w:val="auto"/>
              </w:rPr>
            </w:pPr>
          </w:p>
        </w:tc>
        <w:tc>
          <w:tcPr>
            <w:tcW w:w="980" w:type="dxa"/>
            <w:vAlign w:val="bottom"/>
            <w:tcBorders>
              <w:bottom w:val="single" w:sz="8" w:color="214E93"/>
            </w:tcBorders>
          </w:tcPr>
          <w:p>
            <w:pPr>
              <w:jc w:val="center"/>
              <w:ind w:right="64"/>
              <w:spacing w:after="0" w:line="192" w:lineRule="exact"/>
              <w:rPr>
                <w:sz w:val="20"/>
                <w:szCs w:val="20"/>
                <w:color w:val="auto"/>
              </w:rPr>
            </w:pPr>
            <w:r>
              <w:rPr>
                <w:rFonts w:ascii="Verdana" w:cs="Verdana" w:eastAsia="Verdana" w:hAnsi="Verdana"/>
                <w:sz w:val="14"/>
                <w:szCs w:val="14"/>
                <w:color w:val="auto"/>
                <w:w w:val="93"/>
              </w:rPr>
              <w:t>Measure</w:t>
            </w:r>
            <w:r>
              <w:rPr>
                <w:rFonts w:ascii="Verdana" w:cs="Verdana" w:eastAsia="Verdana" w:hAnsi="Verdana"/>
                <w:sz w:val="17"/>
                <w:szCs w:val="17"/>
                <w:color w:val="auto"/>
                <w:w w:val="93"/>
                <w:vertAlign w:val="superscript"/>
              </w:rPr>
              <w:t>(2)</w:t>
            </w:r>
          </w:p>
        </w:tc>
        <w:tc>
          <w:tcPr>
            <w:tcW w:w="80" w:type="dxa"/>
            <w:vAlign w:val="bottom"/>
          </w:tcPr>
          <w:p>
            <w:pPr>
              <w:spacing w:after="0"/>
              <w:rPr>
                <w:sz w:val="16"/>
                <w:szCs w:val="16"/>
                <w:color w:val="auto"/>
              </w:rPr>
            </w:pPr>
          </w:p>
        </w:tc>
        <w:tc>
          <w:tcPr>
            <w:tcW w:w="160" w:type="dxa"/>
            <w:vAlign w:val="bottom"/>
            <w:tcBorders>
              <w:bottom w:val="single" w:sz="8" w:color="214E93"/>
            </w:tcBorders>
          </w:tcPr>
          <w:p>
            <w:pPr>
              <w:spacing w:after="0"/>
              <w:rPr>
                <w:sz w:val="16"/>
                <w:szCs w:val="16"/>
                <w:color w:val="auto"/>
              </w:rPr>
            </w:pPr>
          </w:p>
        </w:tc>
        <w:tc>
          <w:tcPr>
            <w:tcW w:w="1020" w:type="dxa"/>
            <w:vAlign w:val="bottom"/>
            <w:tcBorders>
              <w:bottom w:val="single" w:sz="8" w:color="214E93"/>
            </w:tcBorders>
          </w:tcPr>
          <w:p>
            <w:pPr>
              <w:jc w:val="right"/>
              <w:ind w:right="244"/>
              <w:spacing w:after="0" w:line="192" w:lineRule="exact"/>
              <w:rPr>
                <w:sz w:val="20"/>
                <w:szCs w:val="20"/>
                <w:color w:val="auto"/>
              </w:rPr>
            </w:pPr>
            <w:r>
              <w:rPr>
                <w:rFonts w:ascii="Verdana" w:cs="Verdana" w:eastAsia="Verdana" w:hAnsi="Verdana"/>
                <w:sz w:val="14"/>
                <w:szCs w:val="14"/>
                <w:color w:val="auto"/>
              </w:rPr>
              <w:t>PV-10</w:t>
            </w:r>
            <w:r>
              <w:rPr>
                <w:rFonts w:ascii="Verdana" w:cs="Verdana" w:eastAsia="Verdana" w:hAnsi="Verdana"/>
                <w:sz w:val="17"/>
                <w:szCs w:val="17"/>
                <w:color w:val="auto"/>
                <w:vertAlign w:val="superscript"/>
              </w:rPr>
              <w:t>(3)</w:t>
            </w:r>
          </w:p>
        </w:tc>
      </w:tr>
      <w:tr>
        <w:trPr>
          <w:trHeight w:val="201"/>
        </w:trPr>
        <w:tc>
          <w:tcPr>
            <w:tcW w:w="3480" w:type="dxa"/>
            <w:vAlign w:val="bottom"/>
            <w:tcBorders>
              <w:bottom w:val="single" w:sz="8" w:color="214E93"/>
            </w:tcBorders>
          </w:tcPr>
          <w:p>
            <w:pPr>
              <w:spacing w:after="0"/>
              <w:rPr>
                <w:sz w:val="17"/>
                <w:szCs w:val="17"/>
                <w:color w:val="auto"/>
              </w:rPr>
            </w:pPr>
          </w:p>
        </w:tc>
        <w:tc>
          <w:tcPr>
            <w:tcW w:w="1160" w:type="dxa"/>
            <w:vAlign w:val="bottom"/>
            <w:tcBorders>
              <w:bottom w:val="single" w:sz="8" w:color="214E93"/>
            </w:tcBorders>
          </w:tcPr>
          <w:p>
            <w:pPr>
              <w:jc w:val="right"/>
              <w:ind w:right="265"/>
              <w:spacing w:after="0"/>
              <w:rPr>
                <w:sz w:val="20"/>
                <w:szCs w:val="20"/>
                <w:color w:val="auto"/>
              </w:rPr>
            </w:pPr>
            <w:r>
              <w:rPr>
                <w:rFonts w:ascii="Verdana" w:cs="Verdana" w:eastAsia="Verdana" w:hAnsi="Verdana"/>
                <w:sz w:val="14"/>
                <w:szCs w:val="14"/>
                <w:color w:val="auto"/>
              </w:rPr>
              <w:t>(MBbl)</w:t>
            </w:r>
          </w:p>
        </w:tc>
        <w:tc>
          <w:tcPr>
            <w:tcW w:w="80" w:type="dxa"/>
            <w:vAlign w:val="bottom"/>
            <w:tcBorders>
              <w:bottom w:val="single" w:sz="8" w:color="214E93"/>
            </w:tcBorders>
          </w:tcPr>
          <w:p>
            <w:pPr>
              <w:spacing w:after="0"/>
              <w:rPr>
                <w:sz w:val="17"/>
                <w:szCs w:val="17"/>
                <w:color w:val="auto"/>
              </w:rPr>
            </w:pPr>
          </w:p>
        </w:tc>
        <w:tc>
          <w:tcPr>
            <w:tcW w:w="114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auto"/>
                <w:w w:val="98"/>
              </w:rPr>
              <w:t>(Bcf)</w:t>
            </w:r>
          </w:p>
        </w:tc>
        <w:tc>
          <w:tcPr>
            <w:tcW w:w="80" w:type="dxa"/>
            <w:vAlign w:val="bottom"/>
            <w:tcBorders>
              <w:bottom w:val="single" w:sz="8" w:color="214E93"/>
            </w:tcBorders>
          </w:tcPr>
          <w:p>
            <w:pPr>
              <w:spacing w:after="0"/>
              <w:rPr>
                <w:sz w:val="17"/>
                <w:szCs w:val="17"/>
                <w:color w:val="auto"/>
              </w:rPr>
            </w:pPr>
          </w:p>
        </w:tc>
        <w:tc>
          <w:tcPr>
            <w:tcW w:w="1160" w:type="dxa"/>
            <w:vAlign w:val="bottom"/>
            <w:tcBorders>
              <w:bottom w:val="single" w:sz="8" w:color="214E93"/>
            </w:tcBorders>
          </w:tcPr>
          <w:p>
            <w:pPr>
              <w:jc w:val="right"/>
              <w:ind w:right="151"/>
              <w:spacing w:after="0" w:line="201" w:lineRule="exact"/>
              <w:rPr>
                <w:sz w:val="20"/>
                <w:szCs w:val="20"/>
                <w:color w:val="auto"/>
              </w:rPr>
            </w:pPr>
            <w:r>
              <w:rPr>
                <w:rFonts w:ascii="Verdana" w:cs="Verdana" w:eastAsia="Verdana" w:hAnsi="Verdana"/>
                <w:sz w:val="14"/>
                <w:szCs w:val="14"/>
                <w:color w:val="auto"/>
              </w:rPr>
              <w:t>(MBOE)</w:t>
            </w:r>
            <w:r>
              <w:rPr>
                <w:rFonts w:ascii="Verdana" w:cs="Verdana" w:eastAsia="Verdana" w:hAnsi="Verdana"/>
                <w:sz w:val="17"/>
                <w:szCs w:val="17"/>
                <w:color w:val="auto"/>
                <w:vertAlign w:val="superscript"/>
              </w:rPr>
              <w:t>(4)</w:t>
            </w:r>
          </w:p>
        </w:tc>
        <w:tc>
          <w:tcPr>
            <w:tcW w:w="80" w:type="dxa"/>
            <w:vAlign w:val="bottom"/>
            <w:tcBorders>
              <w:bottom w:val="single" w:sz="8" w:color="214E93"/>
            </w:tcBorders>
          </w:tcPr>
          <w:p>
            <w:pPr>
              <w:spacing w:after="0"/>
              <w:rPr>
                <w:sz w:val="17"/>
                <w:szCs w:val="17"/>
                <w:color w:val="auto"/>
              </w:rPr>
            </w:pPr>
          </w:p>
        </w:tc>
        <w:tc>
          <w:tcPr>
            <w:tcW w:w="140" w:type="dxa"/>
            <w:vAlign w:val="bottom"/>
            <w:tcBorders>
              <w:bottom w:val="single" w:sz="8" w:color="214E93"/>
            </w:tcBorders>
          </w:tcPr>
          <w:p>
            <w:pPr>
              <w:spacing w:after="0"/>
              <w:rPr>
                <w:sz w:val="17"/>
                <w:szCs w:val="17"/>
                <w:color w:val="auto"/>
              </w:rPr>
            </w:pPr>
          </w:p>
        </w:tc>
        <w:tc>
          <w:tcPr>
            <w:tcW w:w="980" w:type="dxa"/>
            <w:vAlign w:val="bottom"/>
            <w:tcBorders>
              <w:bottom w:val="single" w:sz="8" w:color="214E93"/>
            </w:tcBorders>
          </w:tcPr>
          <w:p>
            <w:pPr>
              <w:jc w:val="center"/>
              <w:ind w:right="64"/>
              <w:spacing w:after="0"/>
              <w:rPr>
                <w:sz w:val="20"/>
                <w:szCs w:val="20"/>
                <w:color w:val="auto"/>
              </w:rPr>
            </w:pPr>
            <w:r>
              <w:rPr>
                <w:rFonts w:ascii="Verdana" w:cs="Verdana" w:eastAsia="Verdana" w:hAnsi="Verdana"/>
                <w:sz w:val="14"/>
                <w:szCs w:val="14"/>
                <w:color w:val="auto"/>
                <w:w w:val="99"/>
              </w:rPr>
              <w:t>(in millions)</w:t>
            </w:r>
          </w:p>
        </w:tc>
        <w:tc>
          <w:tcPr>
            <w:tcW w:w="80" w:type="dxa"/>
            <w:vAlign w:val="bottom"/>
            <w:tcBorders>
              <w:bottom w:val="single" w:sz="8" w:color="214E93"/>
            </w:tcBorders>
          </w:tcPr>
          <w:p>
            <w:pPr>
              <w:spacing w:after="0"/>
              <w:rPr>
                <w:sz w:val="17"/>
                <w:szCs w:val="17"/>
                <w:color w:val="auto"/>
              </w:rPr>
            </w:pPr>
          </w:p>
        </w:tc>
        <w:tc>
          <w:tcPr>
            <w:tcW w:w="160" w:type="dxa"/>
            <w:vAlign w:val="bottom"/>
            <w:tcBorders>
              <w:bottom w:val="single" w:sz="8" w:color="214E93"/>
            </w:tcBorders>
          </w:tcPr>
          <w:p>
            <w:pPr>
              <w:spacing w:after="0"/>
              <w:rPr>
                <w:sz w:val="17"/>
                <w:szCs w:val="17"/>
                <w:color w:val="auto"/>
              </w:rPr>
            </w:pPr>
          </w:p>
        </w:tc>
        <w:tc>
          <w:tcPr>
            <w:tcW w:w="1020" w:type="dxa"/>
            <w:vAlign w:val="bottom"/>
            <w:tcBorders>
              <w:bottom w:val="single" w:sz="8" w:color="214E93"/>
            </w:tcBorders>
          </w:tcPr>
          <w:p>
            <w:pPr>
              <w:jc w:val="right"/>
              <w:ind w:right="104"/>
              <w:spacing w:after="0"/>
              <w:rPr>
                <w:sz w:val="20"/>
                <w:szCs w:val="20"/>
                <w:color w:val="auto"/>
              </w:rPr>
            </w:pPr>
            <w:r>
              <w:rPr>
                <w:rFonts w:ascii="Verdana" w:cs="Verdana" w:eastAsia="Verdana" w:hAnsi="Verdana"/>
                <w:sz w:val="14"/>
                <w:szCs w:val="14"/>
                <w:color w:val="auto"/>
                <w:w w:val="97"/>
              </w:rPr>
              <w:t>(in millions)</w:t>
            </w:r>
          </w:p>
        </w:tc>
      </w:tr>
      <w:tr>
        <w:trPr>
          <w:trHeight w:val="211"/>
        </w:trPr>
        <w:tc>
          <w:tcPr>
            <w:tcW w:w="3480" w:type="dxa"/>
            <w:vAlign w:val="bottom"/>
          </w:tcPr>
          <w:p>
            <w:pPr>
              <w:ind w:left="40"/>
              <w:spacing w:after="0"/>
              <w:rPr>
                <w:sz w:val="20"/>
                <w:szCs w:val="20"/>
                <w:color w:val="auto"/>
              </w:rPr>
            </w:pPr>
            <w:r>
              <w:rPr>
                <w:rFonts w:ascii="Verdana" w:cs="Verdana" w:eastAsia="Verdana" w:hAnsi="Verdana"/>
                <w:sz w:val="16"/>
                <w:szCs w:val="16"/>
                <w:color w:val="auto"/>
              </w:rPr>
              <w:t>Southeast New Mexico/West Texas:</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5"/>
        </w:trPr>
        <w:tc>
          <w:tcPr>
            <w:tcW w:w="3480" w:type="dxa"/>
            <w:vAlign w:val="bottom"/>
          </w:tcPr>
          <w:p>
            <w:pPr>
              <w:ind w:left="160"/>
              <w:spacing w:after="0"/>
              <w:rPr>
                <w:sz w:val="20"/>
                <w:szCs w:val="20"/>
                <w:color w:val="auto"/>
              </w:rPr>
            </w:pPr>
            <w:r>
              <w:rPr>
                <w:rFonts w:ascii="Verdana" w:cs="Verdana" w:eastAsia="Verdana" w:hAnsi="Verdana"/>
                <w:sz w:val="16"/>
                <w:szCs w:val="16"/>
                <w:color w:val="auto"/>
              </w:rPr>
              <w:t>Delaware Basin</w:t>
            </w:r>
          </w:p>
        </w:tc>
        <w:tc>
          <w:tcPr>
            <w:tcW w:w="1160" w:type="dxa"/>
            <w:vAlign w:val="bottom"/>
          </w:tcPr>
          <w:p>
            <w:pPr>
              <w:jc w:val="right"/>
              <w:ind w:right="5"/>
              <w:spacing w:after="0"/>
              <w:rPr>
                <w:sz w:val="20"/>
                <w:szCs w:val="20"/>
                <w:color w:val="auto"/>
              </w:rPr>
            </w:pPr>
            <w:r>
              <w:rPr>
                <w:rFonts w:ascii="Verdana" w:cs="Verdana" w:eastAsia="Verdana" w:hAnsi="Verdana"/>
                <w:sz w:val="16"/>
                <w:szCs w:val="16"/>
                <w:color w:val="214E93"/>
              </w:rPr>
              <w:t>375,975</w:t>
            </w:r>
          </w:p>
        </w:tc>
        <w:tc>
          <w:tcPr>
            <w:tcW w:w="1220" w:type="dxa"/>
            <w:vAlign w:val="bottom"/>
            <w:gridSpan w:val="2"/>
          </w:tcPr>
          <w:p>
            <w:pPr>
              <w:jc w:val="right"/>
              <w:ind w:right="11"/>
              <w:spacing w:after="0"/>
              <w:rPr>
                <w:sz w:val="20"/>
                <w:szCs w:val="20"/>
                <w:color w:val="auto"/>
              </w:rPr>
            </w:pPr>
            <w:r>
              <w:rPr>
                <w:rFonts w:ascii="Verdana" w:cs="Verdana" w:eastAsia="Verdana" w:hAnsi="Verdana"/>
                <w:sz w:val="16"/>
                <w:szCs w:val="16"/>
                <w:color w:val="214E93"/>
              </w:rPr>
              <w:t>1,717.6</w:t>
            </w:r>
          </w:p>
        </w:tc>
        <w:tc>
          <w:tcPr>
            <w:tcW w:w="1240" w:type="dxa"/>
            <w:vAlign w:val="bottom"/>
            <w:gridSpan w:val="2"/>
          </w:tcPr>
          <w:p>
            <w:pPr>
              <w:jc w:val="right"/>
              <w:ind w:right="11"/>
              <w:spacing w:after="0"/>
              <w:rPr>
                <w:sz w:val="20"/>
                <w:szCs w:val="20"/>
                <w:color w:val="auto"/>
              </w:rPr>
            </w:pPr>
            <w:r>
              <w:rPr>
                <w:rFonts w:ascii="Verdana" w:cs="Verdana" w:eastAsia="Verdana" w:hAnsi="Verdana"/>
                <w:sz w:val="16"/>
                <w:szCs w:val="16"/>
                <w:color w:val="214E93"/>
              </w:rPr>
              <w:t>662,248</w:t>
            </w:r>
          </w:p>
        </w:tc>
        <w:tc>
          <w:tcPr>
            <w:tcW w:w="220" w:type="dxa"/>
            <w:vAlign w:val="bottom"/>
            <w:gridSpan w:val="2"/>
          </w:tcPr>
          <w:p>
            <w:pPr>
              <w:jc w:val="right"/>
              <w:spacing w:after="0"/>
              <w:rPr>
                <w:sz w:val="20"/>
                <w:szCs w:val="20"/>
                <w:color w:val="auto"/>
              </w:rPr>
            </w:pPr>
            <w:r>
              <w:rPr>
                <w:rFonts w:ascii="Verdana" w:cs="Verdana" w:eastAsia="Verdana" w:hAnsi="Verdana"/>
                <w:sz w:val="16"/>
                <w:szCs w:val="16"/>
                <w:color w:val="214E93"/>
              </w:rPr>
              <w:t>$</w:t>
            </w:r>
          </w:p>
        </w:tc>
        <w:tc>
          <w:tcPr>
            <w:tcW w:w="980" w:type="dxa"/>
            <w:vAlign w:val="bottom"/>
          </w:tcPr>
          <w:p>
            <w:pPr>
              <w:jc w:val="right"/>
              <w:ind w:right="4"/>
              <w:spacing w:after="0"/>
              <w:rPr>
                <w:sz w:val="20"/>
                <w:szCs w:val="20"/>
                <w:color w:val="auto"/>
              </w:rPr>
            </w:pPr>
            <w:r>
              <w:rPr>
                <w:rFonts w:ascii="Verdana" w:cs="Verdana" w:eastAsia="Verdana" w:hAnsi="Verdana"/>
                <w:sz w:val="16"/>
                <w:szCs w:val="16"/>
                <w:color w:val="214E93"/>
              </w:rPr>
              <w:t>6,969.0</w:t>
            </w:r>
          </w:p>
        </w:tc>
        <w:tc>
          <w:tcPr>
            <w:tcW w:w="240" w:type="dxa"/>
            <w:vAlign w:val="bottom"/>
            <w:gridSpan w:val="2"/>
          </w:tcPr>
          <w:p>
            <w:pPr>
              <w:jc w:val="right"/>
              <w:spacing w:after="0"/>
              <w:rPr>
                <w:sz w:val="20"/>
                <w:szCs w:val="20"/>
                <w:color w:val="auto"/>
              </w:rPr>
            </w:pPr>
            <w:r>
              <w:rPr>
                <w:rFonts w:ascii="Verdana" w:cs="Verdana" w:eastAsia="Verdana" w:hAnsi="Verdana"/>
                <w:sz w:val="16"/>
                <w:szCs w:val="16"/>
                <w:color w:val="214E93"/>
              </w:rPr>
              <w:t>$</w:t>
            </w:r>
          </w:p>
        </w:tc>
        <w:tc>
          <w:tcPr>
            <w:tcW w:w="1020" w:type="dxa"/>
            <w:vAlign w:val="bottom"/>
          </w:tcPr>
          <w:p>
            <w:pPr>
              <w:jc w:val="right"/>
              <w:ind w:right="4"/>
              <w:spacing w:after="0"/>
              <w:rPr>
                <w:sz w:val="20"/>
                <w:szCs w:val="20"/>
                <w:color w:val="auto"/>
              </w:rPr>
            </w:pPr>
            <w:r>
              <w:rPr>
                <w:rFonts w:ascii="Verdana" w:cs="Verdana" w:eastAsia="Verdana" w:hAnsi="Verdana"/>
                <w:sz w:val="16"/>
                <w:szCs w:val="16"/>
                <w:color w:val="214E93"/>
              </w:rPr>
              <w:t>8,217.0</w:t>
            </w:r>
          </w:p>
        </w:tc>
      </w:tr>
      <w:tr>
        <w:trPr>
          <w:trHeight w:val="234"/>
        </w:trPr>
        <w:tc>
          <w:tcPr>
            <w:tcW w:w="3480" w:type="dxa"/>
            <w:vAlign w:val="bottom"/>
          </w:tcPr>
          <w:p>
            <w:pPr>
              <w:ind w:left="40"/>
              <w:spacing w:after="0"/>
              <w:rPr>
                <w:sz w:val="20"/>
                <w:szCs w:val="20"/>
                <w:color w:val="auto"/>
              </w:rPr>
            </w:pPr>
            <w:r>
              <w:rPr>
                <w:rFonts w:ascii="Verdana" w:cs="Verdana" w:eastAsia="Verdana" w:hAnsi="Verdana"/>
                <w:sz w:val="16"/>
                <w:szCs w:val="16"/>
                <w:color w:val="auto"/>
              </w:rPr>
              <w:t>Northwest Louisiana</w:t>
            </w: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8"/>
        </w:trPr>
        <w:tc>
          <w:tcPr>
            <w:tcW w:w="3480" w:type="dxa"/>
            <w:vAlign w:val="bottom"/>
          </w:tcPr>
          <w:p>
            <w:pPr>
              <w:ind w:left="160"/>
              <w:spacing w:after="0"/>
              <w:rPr>
                <w:sz w:val="20"/>
                <w:szCs w:val="20"/>
                <w:color w:val="auto"/>
              </w:rPr>
            </w:pPr>
            <w:r>
              <w:rPr>
                <w:rFonts w:ascii="Verdana" w:cs="Verdana" w:eastAsia="Verdana" w:hAnsi="Verdana"/>
                <w:sz w:val="16"/>
                <w:szCs w:val="16"/>
                <w:color w:val="auto"/>
              </w:rPr>
              <w:t>Haynesville</w:t>
            </w:r>
          </w:p>
        </w:tc>
        <w:tc>
          <w:tcPr>
            <w:tcW w:w="1160" w:type="dxa"/>
            <w:vAlign w:val="bottom"/>
          </w:tcPr>
          <w:p>
            <w:pPr>
              <w:jc w:val="right"/>
              <w:ind w:right="5"/>
              <w:spacing w:after="0"/>
              <w:rPr>
                <w:sz w:val="20"/>
                <w:szCs w:val="20"/>
                <w:color w:val="auto"/>
              </w:rPr>
            </w:pPr>
            <w:r>
              <w:rPr>
                <w:rFonts w:ascii="Verdana" w:cs="Verdana" w:eastAsia="Verdana" w:hAnsi="Verdana"/>
                <w:sz w:val="16"/>
                <w:szCs w:val="16"/>
                <w:color w:val="214E93"/>
              </w:rPr>
              <w:t>—</w:t>
            </w:r>
          </w:p>
        </w:tc>
        <w:tc>
          <w:tcPr>
            <w:tcW w:w="1220" w:type="dxa"/>
            <w:vAlign w:val="bottom"/>
            <w:gridSpan w:val="2"/>
          </w:tcPr>
          <w:p>
            <w:pPr>
              <w:jc w:val="right"/>
              <w:ind w:right="11"/>
              <w:spacing w:after="0"/>
              <w:rPr>
                <w:sz w:val="20"/>
                <w:szCs w:val="20"/>
                <w:color w:val="auto"/>
              </w:rPr>
            </w:pPr>
            <w:r>
              <w:rPr>
                <w:rFonts w:ascii="Verdana" w:cs="Verdana" w:eastAsia="Verdana" w:hAnsi="Verdana"/>
                <w:sz w:val="16"/>
                <w:szCs w:val="16"/>
                <w:color w:val="214E93"/>
              </w:rPr>
              <w:t>25.8</w:t>
            </w:r>
          </w:p>
        </w:tc>
        <w:tc>
          <w:tcPr>
            <w:tcW w:w="1240" w:type="dxa"/>
            <w:vAlign w:val="bottom"/>
            <w:gridSpan w:val="2"/>
          </w:tcPr>
          <w:p>
            <w:pPr>
              <w:jc w:val="right"/>
              <w:ind w:right="11"/>
              <w:spacing w:after="0"/>
              <w:rPr>
                <w:sz w:val="20"/>
                <w:szCs w:val="20"/>
                <w:color w:val="auto"/>
              </w:rPr>
            </w:pPr>
            <w:r>
              <w:rPr>
                <w:rFonts w:ascii="Verdana" w:cs="Verdana" w:eastAsia="Verdana" w:hAnsi="Verdana"/>
                <w:sz w:val="16"/>
                <w:szCs w:val="16"/>
                <w:color w:val="214E93"/>
              </w:rPr>
              <w:t>4,302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
              <w:spacing w:after="0"/>
              <w:rPr>
                <w:sz w:val="20"/>
                <w:szCs w:val="20"/>
                <w:color w:val="auto"/>
              </w:rPr>
            </w:pPr>
            <w:r>
              <w:rPr>
                <w:rFonts w:ascii="Verdana" w:cs="Verdana" w:eastAsia="Verdana" w:hAnsi="Verdana"/>
                <w:sz w:val="16"/>
                <w:szCs w:val="16"/>
                <w:color w:val="214E93"/>
              </w:rPr>
              <w:t>23.8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4"/>
              <w:spacing w:after="0"/>
              <w:rPr>
                <w:sz w:val="20"/>
                <w:szCs w:val="20"/>
                <w:color w:val="auto"/>
              </w:rPr>
            </w:pPr>
            <w:r>
              <w:rPr>
                <w:rFonts w:ascii="Verdana" w:cs="Verdana" w:eastAsia="Verdana" w:hAnsi="Verdana"/>
                <w:sz w:val="16"/>
                <w:szCs w:val="16"/>
                <w:color w:val="214E93"/>
              </w:rPr>
              <w:t>28.1</w:t>
            </w:r>
          </w:p>
        </w:tc>
      </w:tr>
      <w:tr>
        <w:trPr>
          <w:trHeight w:val="247"/>
        </w:trPr>
        <w:tc>
          <w:tcPr>
            <w:tcW w:w="3480" w:type="dxa"/>
            <w:vAlign w:val="bottom"/>
            <w:tcBorders>
              <w:bottom w:val="single" w:sz="8" w:color="131313"/>
            </w:tcBorders>
          </w:tcPr>
          <w:p>
            <w:pPr>
              <w:ind w:left="160"/>
              <w:spacing w:after="0"/>
              <w:rPr>
                <w:sz w:val="20"/>
                <w:szCs w:val="20"/>
                <w:color w:val="auto"/>
              </w:rPr>
            </w:pPr>
            <w:r>
              <w:rPr>
                <w:rFonts w:ascii="Verdana" w:cs="Verdana" w:eastAsia="Verdana" w:hAnsi="Verdana"/>
                <w:sz w:val="16"/>
                <w:szCs w:val="16"/>
                <w:color w:val="auto"/>
              </w:rPr>
              <w:t>Cotton Valley</w:t>
            </w:r>
            <w:r>
              <w:rPr>
                <w:rFonts w:ascii="Verdana" w:cs="Verdana" w:eastAsia="Verdana" w:hAnsi="Verdana"/>
                <w:sz w:val="20"/>
                <w:szCs w:val="20"/>
                <w:color w:val="auto"/>
                <w:vertAlign w:val="superscript"/>
              </w:rPr>
              <w:t>(5)</w:t>
            </w:r>
          </w:p>
        </w:tc>
        <w:tc>
          <w:tcPr>
            <w:tcW w:w="1160" w:type="dxa"/>
            <w:vAlign w:val="bottom"/>
            <w:tcBorders>
              <w:bottom w:val="single" w:sz="8" w:color="131313"/>
            </w:tcBorders>
          </w:tcPr>
          <w:p>
            <w:pPr>
              <w:jc w:val="right"/>
              <w:ind w:right="5"/>
              <w:spacing w:after="0"/>
              <w:rPr>
                <w:sz w:val="20"/>
                <w:szCs w:val="20"/>
                <w:color w:val="auto"/>
              </w:rPr>
            </w:pPr>
            <w:r>
              <w:rPr>
                <w:rFonts w:ascii="Verdana" w:cs="Verdana" w:eastAsia="Verdana" w:hAnsi="Verdana"/>
                <w:sz w:val="16"/>
                <w:szCs w:val="16"/>
                <w:color w:val="214E93"/>
              </w:rPr>
              <w:t>5</w:t>
            </w:r>
          </w:p>
        </w:tc>
        <w:tc>
          <w:tcPr>
            <w:tcW w:w="1220" w:type="dxa"/>
            <w:vAlign w:val="bottom"/>
            <w:tcBorders>
              <w:bottom w:val="single" w:sz="8" w:color="131313"/>
            </w:tcBorders>
            <w:gridSpan w:val="2"/>
          </w:tcPr>
          <w:p>
            <w:pPr>
              <w:jc w:val="right"/>
              <w:ind w:right="11"/>
              <w:spacing w:after="0"/>
              <w:rPr>
                <w:sz w:val="20"/>
                <w:szCs w:val="20"/>
                <w:color w:val="auto"/>
              </w:rPr>
            </w:pPr>
            <w:r>
              <w:rPr>
                <w:rFonts w:ascii="Verdana" w:cs="Verdana" w:eastAsia="Verdana" w:hAnsi="Verdana"/>
                <w:sz w:val="16"/>
                <w:szCs w:val="16"/>
                <w:color w:val="214E93"/>
              </w:rPr>
              <w:t>3.0</w:t>
            </w:r>
          </w:p>
        </w:tc>
        <w:tc>
          <w:tcPr>
            <w:tcW w:w="1240" w:type="dxa"/>
            <w:vAlign w:val="bottom"/>
            <w:tcBorders>
              <w:bottom w:val="single" w:sz="8" w:color="131313"/>
            </w:tcBorders>
            <w:gridSpan w:val="2"/>
          </w:tcPr>
          <w:p>
            <w:pPr>
              <w:jc w:val="right"/>
              <w:ind w:right="11"/>
              <w:spacing w:after="0"/>
              <w:rPr>
                <w:sz w:val="20"/>
                <w:szCs w:val="20"/>
                <w:color w:val="auto"/>
              </w:rPr>
            </w:pPr>
            <w:r>
              <w:rPr>
                <w:rFonts w:ascii="Verdana" w:cs="Verdana" w:eastAsia="Verdana" w:hAnsi="Verdana"/>
                <w:sz w:val="16"/>
                <w:szCs w:val="16"/>
                <w:color w:val="214E93"/>
              </w:rPr>
              <w:t>497</w:t>
            </w:r>
          </w:p>
        </w:tc>
        <w:tc>
          <w:tcPr>
            <w:tcW w:w="80" w:type="dxa"/>
            <w:vAlign w:val="bottom"/>
            <w:tcBorders>
              <w:bottom w:val="single" w:sz="8" w:color="131313"/>
            </w:tcBorders>
          </w:tcPr>
          <w:p>
            <w:pPr>
              <w:spacing w:after="0"/>
              <w:rPr>
                <w:sz w:val="21"/>
                <w:szCs w:val="21"/>
                <w:color w:val="auto"/>
              </w:rPr>
            </w:pPr>
          </w:p>
        </w:tc>
        <w:tc>
          <w:tcPr>
            <w:tcW w:w="140" w:type="dxa"/>
            <w:vAlign w:val="bottom"/>
            <w:tcBorders>
              <w:bottom w:val="single" w:sz="8" w:color="131313"/>
            </w:tcBorders>
          </w:tcPr>
          <w:p>
            <w:pPr>
              <w:spacing w:after="0"/>
              <w:rPr>
                <w:sz w:val="21"/>
                <w:szCs w:val="21"/>
                <w:color w:val="auto"/>
              </w:rPr>
            </w:pPr>
          </w:p>
        </w:tc>
        <w:tc>
          <w:tcPr>
            <w:tcW w:w="980" w:type="dxa"/>
            <w:vAlign w:val="bottom"/>
            <w:tcBorders>
              <w:bottom w:val="single" w:sz="8" w:color="131313"/>
            </w:tcBorders>
          </w:tcPr>
          <w:p>
            <w:pPr>
              <w:jc w:val="right"/>
              <w:spacing w:after="0"/>
              <w:rPr>
                <w:sz w:val="20"/>
                <w:szCs w:val="20"/>
                <w:color w:val="auto"/>
              </w:rPr>
            </w:pPr>
            <w:r>
              <w:rPr>
                <w:rFonts w:ascii="Verdana" w:cs="Verdana" w:eastAsia="Verdana" w:hAnsi="Verdana"/>
                <w:sz w:val="16"/>
                <w:szCs w:val="16"/>
                <w:color w:val="214E93"/>
              </w:rPr>
              <w:t>(6.2)</w:t>
            </w:r>
          </w:p>
        </w:tc>
        <w:tc>
          <w:tcPr>
            <w:tcW w:w="80" w:type="dxa"/>
            <w:vAlign w:val="bottom"/>
            <w:tcBorders>
              <w:bottom w:val="single" w:sz="8" w:color="131313"/>
            </w:tcBorders>
          </w:tcPr>
          <w:p>
            <w:pPr>
              <w:spacing w:after="0"/>
              <w:rPr>
                <w:sz w:val="21"/>
                <w:szCs w:val="21"/>
                <w:color w:val="auto"/>
              </w:rPr>
            </w:pPr>
          </w:p>
        </w:tc>
        <w:tc>
          <w:tcPr>
            <w:tcW w:w="160" w:type="dxa"/>
            <w:vAlign w:val="bottom"/>
            <w:tcBorders>
              <w:bottom w:val="single" w:sz="8" w:color="131313"/>
            </w:tcBorders>
          </w:tcPr>
          <w:p>
            <w:pPr>
              <w:spacing w:after="0"/>
              <w:rPr>
                <w:sz w:val="21"/>
                <w:szCs w:val="21"/>
                <w:color w:val="auto"/>
              </w:rPr>
            </w:pPr>
          </w:p>
        </w:tc>
        <w:tc>
          <w:tcPr>
            <w:tcW w:w="1020" w:type="dxa"/>
            <w:vAlign w:val="bottom"/>
            <w:tcBorders>
              <w:bottom w:val="single" w:sz="8" w:color="131313"/>
            </w:tcBorders>
          </w:tcPr>
          <w:p>
            <w:pPr>
              <w:jc w:val="right"/>
              <w:spacing w:after="0"/>
              <w:rPr>
                <w:sz w:val="20"/>
                <w:szCs w:val="20"/>
                <w:color w:val="auto"/>
              </w:rPr>
            </w:pPr>
            <w:r>
              <w:rPr>
                <w:rFonts w:ascii="Verdana" w:cs="Verdana" w:eastAsia="Verdana" w:hAnsi="Verdana"/>
                <w:sz w:val="16"/>
                <w:szCs w:val="16"/>
                <w:color w:val="214E93"/>
              </w:rPr>
              <w:t>(7.3)</w:t>
            </w:r>
          </w:p>
        </w:tc>
      </w:tr>
      <w:tr>
        <w:trPr>
          <w:trHeight w:val="211"/>
        </w:trPr>
        <w:tc>
          <w:tcPr>
            <w:tcW w:w="3480" w:type="dxa"/>
            <w:vAlign w:val="bottom"/>
            <w:tcBorders>
              <w:bottom w:val="single" w:sz="8" w:color="131313"/>
            </w:tcBorders>
          </w:tcPr>
          <w:p>
            <w:pPr>
              <w:ind w:left="280"/>
              <w:spacing w:after="0"/>
              <w:rPr>
                <w:sz w:val="20"/>
                <w:szCs w:val="20"/>
                <w:color w:val="auto"/>
              </w:rPr>
            </w:pPr>
            <w:r>
              <w:rPr>
                <w:rFonts w:ascii="Verdana" w:cs="Verdana" w:eastAsia="Verdana" w:hAnsi="Verdana"/>
                <w:sz w:val="16"/>
                <w:szCs w:val="16"/>
                <w:color w:val="auto"/>
              </w:rPr>
              <w:t>Area Total</w:t>
            </w:r>
          </w:p>
        </w:tc>
        <w:tc>
          <w:tcPr>
            <w:tcW w:w="1160" w:type="dxa"/>
            <w:vAlign w:val="bottom"/>
            <w:tcBorders>
              <w:bottom w:val="single" w:sz="8" w:color="131313"/>
            </w:tcBorders>
          </w:tcPr>
          <w:p>
            <w:pPr>
              <w:jc w:val="right"/>
              <w:ind w:right="5"/>
              <w:spacing w:after="0"/>
              <w:rPr>
                <w:sz w:val="20"/>
                <w:szCs w:val="20"/>
                <w:color w:val="auto"/>
              </w:rPr>
            </w:pPr>
            <w:r>
              <w:rPr>
                <w:rFonts w:ascii="Verdana" w:cs="Verdana" w:eastAsia="Verdana" w:hAnsi="Verdana"/>
                <w:sz w:val="16"/>
                <w:szCs w:val="16"/>
                <w:color w:val="214E93"/>
              </w:rPr>
              <w:t>5</w:t>
            </w:r>
          </w:p>
        </w:tc>
        <w:tc>
          <w:tcPr>
            <w:tcW w:w="1220" w:type="dxa"/>
            <w:vAlign w:val="bottom"/>
            <w:tcBorders>
              <w:bottom w:val="single" w:sz="8" w:color="131313"/>
            </w:tcBorders>
            <w:gridSpan w:val="2"/>
          </w:tcPr>
          <w:p>
            <w:pPr>
              <w:jc w:val="right"/>
              <w:ind w:right="11"/>
              <w:spacing w:after="0"/>
              <w:rPr>
                <w:sz w:val="20"/>
                <w:szCs w:val="20"/>
                <w:color w:val="auto"/>
              </w:rPr>
            </w:pPr>
            <w:r>
              <w:rPr>
                <w:rFonts w:ascii="Verdana" w:cs="Verdana" w:eastAsia="Verdana" w:hAnsi="Verdana"/>
                <w:sz w:val="16"/>
                <w:szCs w:val="16"/>
                <w:color w:val="214E93"/>
              </w:rPr>
              <w:t>28.8</w:t>
            </w:r>
          </w:p>
        </w:tc>
        <w:tc>
          <w:tcPr>
            <w:tcW w:w="1240" w:type="dxa"/>
            <w:vAlign w:val="bottom"/>
            <w:tcBorders>
              <w:bottom w:val="single" w:sz="8" w:color="131313"/>
            </w:tcBorders>
            <w:gridSpan w:val="2"/>
          </w:tcPr>
          <w:p>
            <w:pPr>
              <w:jc w:val="right"/>
              <w:ind w:right="11"/>
              <w:spacing w:after="0"/>
              <w:rPr>
                <w:sz w:val="20"/>
                <w:szCs w:val="20"/>
                <w:color w:val="auto"/>
              </w:rPr>
            </w:pPr>
            <w:r>
              <w:rPr>
                <w:rFonts w:ascii="Verdana" w:cs="Verdana" w:eastAsia="Verdana" w:hAnsi="Verdana"/>
                <w:sz w:val="16"/>
                <w:szCs w:val="16"/>
                <w:color w:val="214E93"/>
              </w:rPr>
              <w:t>4,799</w:t>
            </w:r>
          </w:p>
        </w:tc>
        <w:tc>
          <w:tcPr>
            <w:tcW w:w="80" w:type="dxa"/>
            <w:vAlign w:val="bottom"/>
            <w:tcBorders>
              <w:bottom w:val="single" w:sz="8" w:color="131313"/>
            </w:tcBorders>
          </w:tcPr>
          <w:p>
            <w:pPr>
              <w:spacing w:after="0"/>
              <w:rPr>
                <w:sz w:val="18"/>
                <w:szCs w:val="18"/>
                <w:color w:val="auto"/>
              </w:rPr>
            </w:pPr>
          </w:p>
        </w:tc>
        <w:tc>
          <w:tcPr>
            <w:tcW w:w="140" w:type="dxa"/>
            <w:vAlign w:val="bottom"/>
            <w:tcBorders>
              <w:bottom w:val="single" w:sz="8" w:color="131313"/>
            </w:tcBorders>
          </w:tcPr>
          <w:p>
            <w:pPr>
              <w:spacing w:after="0"/>
              <w:rPr>
                <w:sz w:val="18"/>
                <w:szCs w:val="18"/>
                <w:color w:val="auto"/>
              </w:rPr>
            </w:pPr>
          </w:p>
        </w:tc>
        <w:tc>
          <w:tcPr>
            <w:tcW w:w="980" w:type="dxa"/>
            <w:vAlign w:val="bottom"/>
            <w:tcBorders>
              <w:bottom w:val="single" w:sz="8" w:color="131313"/>
            </w:tcBorders>
          </w:tcPr>
          <w:p>
            <w:pPr>
              <w:jc w:val="right"/>
              <w:ind w:right="4"/>
              <w:spacing w:after="0"/>
              <w:rPr>
                <w:sz w:val="20"/>
                <w:szCs w:val="20"/>
                <w:color w:val="auto"/>
              </w:rPr>
            </w:pPr>
            <w:r>
              <w:rPr>
                <w:rFonts w:ascii="Verdana" w:cs="Verdana" w:eastAsia="Verdana" w:hAnsi="Verdana"/>
                <w:sz w:val="16"/>
                <w:szCs w:val="16"/>
                <w:color w:val="214E93"/>
              </w:rPr>
              <w:t>17.6</w:t>
            </w:r>
          </w:p>
        </w:tc>
        <w:tc>
          <w:tcPr>
            <w:tcW w:w="80" w:type="dxa"/>
            <w:vAlign w:val="bottom"/>
            <w:tcBorders>
              <w:bottom w:val="single" w:sz="8" w:color="131313"/>
            </w:tcBorders>
          </w:tcPr>
          <w:p>
            <w:pPr>
              <w:spacing w:after="0"/>
              <w:rPr>
                <w:sz w:val="18"/>
                <w:szCs w:val="18"/>
                <w:color w:val="auto"/>
              </w:rPr>
            </w:pPr>
          </w:p>
        </w:tc>
        <w:tc>
          <w:tcPr>
            <w:tcW w:w="160" w:type="dxa"/>
            <w:vAlign w:val="bottom"/>
            <w:tcBorders>
              <w:bottom w:val="single" w:sz="8" w:color="131313"/>
            </w:tcBorders>
          </w:tcPr>
          <w:p>
            <w:pPr>
              <w:spacing w:after="0"/>
              <w:rPr>
                <w:sz w:val="18"/>
                <w:szCs w:val="18"/>
                <w:color w:val="auto"/>
              </w:rPr>
            </w:pPr>
          </w:p>
        </w:tc>
        <w:tc>
          <w:tcPr>
            <w:tcW w:w="1020" w:type="dxa"/>
            <w:vAlign w:val="bottom"/>
            <w:tcBorders>
              <w:bottom w:val="single" w:sz="8" w:color="131313"/>
            </w:tcBorders>
          </w:tcPr>
          <w:p>
            <w:pPr>
              <w:jc w:val="right"/>
              <w:ind w:right="4"/>
              <w:spacing w:after="0"/>
              <w:rPr>
                <w:sz w:val="20"/>
                <w:szCs w:val="20"/>
                <w:color w:val="auto"/>
              </w:rPr>
            </w:pPr>
            <w:r>
              <w:rPr>
                <w:rFonts w:ascii="Verdana" w:cs="Verdana" w:eastAsia="Verdana" w:hAnsi="Verdana"/>
                <w:sz w:val="16"/>
                <w:szCs w:val="16"/>
                <w:color w:val="214E93"/>
              </w:rPr>
              <w:t>20.8</w:t>
            </w:r>
          </w:p>
        </w:tc>
      </w:tr>
      <w:tr>
        <w:trPr>
          <w:trHeight w:val="217"/>
        </w:trPr>
        <w:tc>
          <w:tcPr>
            <w:tcW w:w="3480" w:type="dxa"/>
            <w:vAlign w:val="bottom"/>
            <w:tcBorders>
              <w:bottom w:val="single" w:sz="8" w:color="214E93"/>
            </w:tcBorders>
          </w:tcPr>
          <w:p>
            <w:pPr>
              <w:ind w:left="280"/>
              <w:spacing w:after="0"/>
              <w:rPr>
                <w:sz w:val="20"/>
                <w:szCs w:val="20"/>
                <w:color w:val="auto"/>
              </w:rPr>
            </w:pPr>
            <w:r>
              <w:rPr>
                <w:rFonts w:ascii="Verdana" w:cs="Verdana" w:eastAsia="Verdana" w:hAnsi="Verdana"/>
                <w:sz w:val="16"/>
                <w:szCs w:val="16"/>
                <w:color w:val="auto"/>
              </w:rPr>
              <w:t>Total</w:t>
            </w:r>
          </w:p>
        </w:tc>
        <w:tc>
          <w:tcPr>
            <w:tcW w:w="1160" w:type="dxa"/>
            <w:vAlign w:val="bottom"/>
            <w:tcBorders>
              <w:bottom w:val="single" w:sz="8" w:color="214E93"/>
            </w:tcBorders>
          </w:tcPr>
          <w:p>
            <w:pPr>
              <w:jc w:val="right"/>
              <w:ind w:right="5"/>
              <w:spacing w:after="0"/>
              <w:rPr>
                <w:sz w:val="20"/>
                <w:szCs w:val="20"/>
                <w:color w:val="auto"/>
              </w:rPr>
            </w:pPr>
            <w:r>
              <w:rPr>
                <w:rFonts w:ascii="Verdana" w:cs="Verdana" w:eastAsia="Verdana" w:hAnsi="Verdana"/>
                <w:sz w:val="16"/>
                <w:szCs w:val="16"/>
                <w:color w:val="214E93"/>
              </w:rPr>
              <w:t>375,980</w:t>
            </w:r>
          </w:p>
        </w:tc>
        <w:tc>
          <w:tcPr>
            <w:tcW w:w="1220" w:type="dxa"/>
            <w:vAlign w:val="bottom"/>
            <w:tcBorders>
              <w:bottom w:val="single" w:sz="8" w:color="214E93"/>
            </w:tcBorders>
            <w:gridSpan w:val="2"/>
          </w:tcPr>
          <w:p>
            <w:pPr>
              <w:jc w:val="right"/>
              <w:ind w:right="11"/>
              <w:spacing w:after="0"/>
              <w:rPr>
                <w:sz w:val="20"/>
                <w:szCs w:val="20"/>
                <w:color w:val="auto"/>
              </w:rPr>
            </w:pPr>
            <w:r>
              <w:rPr>
                <w:rFonts w:ascii="Verdana" w:cs="Verdana" w:eastAsia="Verdana" w:hAnsi="Verdana"/>
                <w:sz w:val="16"/>
                <w:szCs w:val="16"/>
                <w:color w:val="214E93"/>
              </w:rPr>
              <w:t>1,746.4</w:t>
            </w:r>
          </w:p>
        </w:tc>
        <w:tc>
          <w:tcPr>
            <w:tcW w:w="1240" w:type="dxa"/>
            <w:vAlign w:val="bottom"/>
            <w:tcBorders>
              <w:bottom w:val="single" w:sz="8" w:color="214E93"/>
            </w:tcBorders>
            <w:gridSpan w:val="2"/>
          </w:tcPr>
          <w:p>
            <w:pPr>
              <w:jc w:val="right"/>
              <w:ind w:right="11"/>
              <w:spacing w:after="0"/>
              <w:rPr>
                <w:sz w:val="20"/>
                <w:szCs w:val="20"/>
                <w:color w:val="auto"/>
              </w:rPr>
            </w:pPr>
            <w:r>
              <w:rPr>
                <w:rFonts w:ascii="Verdana" w:cs="Verdana" w:eastAsia="Verdana" w:hAnsi="Verdana"/>
                <w:sz w:val="16"/>
                <w:szCs w:val="16"/>
                <w:color w:val="214E93"/>
              </w:rPr>
              <w:t>667,047</w:t>
            </w:r>
          </w:p>
        </w:tc>
        <w:tc>
          <w:tcPr>
            <w:tcW w:w="220" w:type="dxa"/>
            <w:vAlign w:val="bottom"/>
            <w:tcBorders>
              <w:bottom w:val="single" w:sz="8" w:color="214E93"/>
            </w:tcBorders>
            <w:gridSpan w:val="2"/>
          </w:tcPr>
          <w:p>
            <w:pPr>
              <w:jc w:val="right"/>
              <w:spacing w:after="0"/>
              <w:rPr>
                <w:sz w:val="20"/>
                <w:szCs w:val="20"/>
                <w:color w:val="auto"/>
              </w:rPr>
            </w:pPr>
            <w:r>
              <w:rPr>
                <w:rFonts w:ascii="Verdana" w:cs="Verdana" w:eastAsia="Verdana" w:hAnsi="Verdana"/>
                <w:sz w:val="16"/>
                <w:szCs w:val="16"/>
                <w:color w:val="214E93"/>
              </w:rPr>
              <w:t>$</w:t>
            </w:r>
          </w:p>
        </w:tc>
        <w:tc>
          <w:tcPr>
            <w:tcW w:w="980" w:type="dxa"/>
            <w:vAlign w:val="bottom"/>
            <w:tcBorders>
              <w:bottom w:val="single" w:sz="8" w:color="214E93"/>
            </w:tcBorders>
          </w:tcPr>
          <w:p>
            <w:pPr>
              <w:jc w:val="right"/>
              <w:ind w:right="4"/>
              <w:spacing w:after="0"/>
              <w:rPr>
                <w:sz w:val="20"/>
                <w:szCs w:val="20"/>
                <w:color w:val="auto"/>
              </w:rPr>
            </w:pPr>
            <w:r>
              <w:rPr>
                <w:rFonts w:ascii="Verdana" w:cs="Verdana" w:eastAsia="Verdana" w:hAnsi="Verdana"/>
                <w:sz w:val="16"/>
                <w:szCs w:val="16"/>
                <w:color w:val="214E93"/>
              </w:rPr>
              <w:t>6,986.6</w:t>
            </w:r>
          </w:p>
        </w:tc>
        <w:tc>
          <w:tcPr>
            <w:tcW w:w="240" w:type="dxa"/>
            <w:vAlign w:val="bottom"/>
            <w:tcBorders>
              <w:bottom w:val="single" w:sz="8" w:color="214E93"/>
            </w:tcBorders>
            <w:gridSpan w:val="2"/>
          </w:tcPr>
          <w:p>
            <w:pPr>
              <w:jc w:val="right"/>
              <w:spacing w:after="0"/>
              <w:rPr>
                <w:sz w:val="20"/>
                <w:szCs w:val="20"/>
                <w:color w:val="auto"/>
              </w:rPr>
            </w:pPr>
            <w:r>
              <w:rPr>
                <w:rFonts w:ascii="Verdana" w:cs="Verdana" w:eastAsia="Verdana" w:hAnsi="Verdana"/>
                <w:sz w:val="16"/>
                <w:szCs w:val="16"/>
                <w:color w:val="214E93"/>
              </w:rPr>
              <w:t>$</w:t>
            </w:r>
          </w:p>
        </w:tc>
        <w:tc>
          <w:tcPr>
            <w:tcW w:w="1020" w:type="dxa"/>
            <w:vAlign w:val="bottom"/>
            <w:tcBorders>
              <w:bottom w:val="single" w:sz="8" w:color="214E93"/>
            </w:tcBorders>
          </w:tcPr>
          <w:p>
            <w:pPr>
              <w:jc w:val="right"/>
              <w:ind w:right="4"/>
              <w:spacing w:after="0"/>
              <w:rPr>
                <w:sz w:val="20"/>
                <w:szCs w:val="20"/>
                <w:color w:val="auto"/>
              </w:rPr>
            </w:pPr>
            <w:r>
              <w:rPr>
                <w:rFonts w:ascii="Verdana" w:cs="Verdana" w:eastAsia="Verdana" w:hAnsi="Verdana"/>
                <w:sz w:val="16"/>
                <w:szCs w:val="16"/>
                <w:color w:val="214E93"/>
              </w:rPr>
              <w:t>8,237.8</w:t>
            </w:r>
          </w:p>
        </w:tc>
      </w:tr>
    </w:tbl>
    <w:p>
      <w:pPr>
        <w:spacing w:after="0" w:line="20" w:lineRule="exact"/>
        <w:rPr>
          <w:sz w:val="20"/>
          <w:szCs w:val="20"/>
          <w:color w:val="auto"/>
        </w:rPr>
      </w:pPr>
    </w:p>
    <w:p>
      <w:pPr>
        <w:spacing w:after="0" w:line="106" w:lineRule="exact"/>
        <w:rPr>
          <w:sz w:val="20"/>
          <w:szCs w:val="20"/>
          <w:color w:val="auto"/>
        </w:rPr>
      </w:pPr>
    </w:p>
    <w:p>
      <w:pPr>
        <w:ind w:left="480" w:hanging="350"/>
        <w:spacing w:after="0"/>
        <w:tabs>
          <w:tab w:leader="none" w:pos="480" w:val="left"/>
        </w:tabs>
        <w:numPr>
          <w:ilvl w:val="0"/>
          <w:numId w:val="29"/>
        </w:numPr>
        <w:rPr>
          <w:rFonts w:ascii="Calibri" w:cs="Calibri" w:eastAsia="Calibri" w:hAnsi="Calibri"/>
          <w:sz w:val="14"/>
          <w:szCs w:val="14"/>
          <w:color w:val="auto"/>
        </w:rPr>
      </w:pPr>
      <w:r>
        <w:rPr>
          <w:rFonts w:ascii="Calibri" w:cs="Calibri" w:eastAsia="Calibri" w:hAnsi="Calibri"/>
          <w:sz w:val="14"/>
          <w:szCs w:val="14"/>
          <w:color w:val="auto"/>
        </w:rPr>
        <w:t>Numbers in table may not total due to rounding.</w:t>
      </w:r>
    </w:p>
    <w:p>
      <w:pPr>
        <w:spacing w:after="0" w:line="86" w:lineRule="exact"/>
        <w:rPr>
          <w:rFonts w:ascii="Calibri" w:cs="Calibri" w:eastAsia="Calibri" w:hAnsi="Calibri"/>
          <w:sz w:val="14"/>
          <w:szCs w:val="14"/>
          <w:color w:val="auto"/>
        </w:rPr>
      </w:pPr>
    </w:p>
    <w:p>
      <w:pPr>
        <w:ind w:left="480" w:right="760" w:hanging="350"/>
        <w:spacing w:after="0" w:line="228" w:lineRule="auto"/>
        <w:tabs>
          <w:tab w:leader="none" w:pos="480" w:val="left"/>
        </w:tabs>
        <w:numPr>
          <w:ilvl w:val="0"/>
          <w:numId w:val="29"/>
        </w:numPr>
        <w:rPr>
          <w:rFonts w:ascii="Calibri" w:cs="Calibri" w:eastAsia="Calibri" w:hAnsi="Calibri"/>
          <w:sz w:val="14"/>
          <w:szCs w:val="14"/>
          <w:color w:val="auto"/>
        </w:rPr>
      </w:pPr>
      <w:r>
        <w:rPr>
          <w:rFonts w:ascii="Calibri" w:cs="Calibri" w:eastAsia="Calibri" w:hAnsi="Calibri"/>
          <w:sz w:val="14"/>
          <w:szCs w:val="14"/>
          <w:color w:val="auto"/>
        </w:rPr>
        <w:t>Standardized Measure represents the present value of estimated future net cash flows from proved reserves, less estimated future development, production, plugging and abandonment costs and income tax expenses, discounted at 10% to reflect the timing of future cash flows. Standardized Measure is not an estimate of the fair market value of our properties.</w:t>
      </w:r>
    </w:p>
    <w:p>
      <w:pPr>
        <w:spacing w:after="0" w:line="87" w:lineRule="exact"/>
        <w:rPr>
          <w:rFonts w:ascii="Calibri" w:cs="Calibri" w:eastAsia="Calibri" w:hAnsi="Calibri"/>
          <w:sz w:val="14"/>
          <w:szCs w:val="14"/>
          <w:color w:val="auto"/>
        </w:rPr>
      </w:pPr>
    </w:p>
    <w:p>
      <w:pPr>
        <w:ind w:left="480" w:right="800" w:hanging="350"/>
        <w:spacing w:after="0" w:line="230" w:lineRule="auto"/>
        <w:tabs>
          <w:tab w:leader="none" w:pos="480" w:val="left"/>
        </w:tabs>
        <w:numPr>
          <w:ilvl w:val="0"/>
          <w:numId w:val="29"/>
        </w:numPr>
        <w:rPr>
          <w:rFonts w:ascii="Calibri" w:cs="Calibri" w:eastAsia="Calibri" w:hAnsi="Calibri"/>
          <w:sz w:val="14"/>
          <w:szCs w:val="14"/>
          <w:color w:val="auto"/>
        </w:rPr>
      </w:pPr>
      <w:r>
        <w:rPr>
          <w:rFonts w:ascii="Calibri" w:cs="Calibri" w:eastAsia="Calibri" w:hAnsi="Calibri"/>
          <w:sz w:val="14"/>
          <w:szCs w:val="14"/>
          <w:color w:val="auto"/>
        </w:rPr>
        <w:t>PV-10 is a non-GAAP financial measure and generally differs from Standardized Measure, the most directly comparable GAAP financial measure, because it does not include the effects of income taxes on future net revenues. PV-10 is not an estimate of the fair market value of our properties. We and others in the industry use PV-10 as a measure to compare the relative size and value of proved reserves held by companies and of the potential return on investment related to the companies’ properties without regard to the specific tax characteristics of such entities. Our PV-10 at December 31, 2025 may be reconciled to our Standardized Measure of discounted future net cash flows at such date by adding the discounted future income taxes associated with such reserves to the Standardized Measure. The discounted future income taxes at December 31, 2025 were approximately $1.25 billion.</w:t>
      </w:r>
    </w:p>
    <w:p>
      <w:pPr>
        <w:spacing w:after="0" w:line="74" w:lineRule="exact"/>
        <w:rPr>
          <w:rFonts w:ascii="Calibri" w:cs="Calibri" w:eastAsia="Calibri" w:hAnsi="Calibri"/>
          <w:sz w:val="14"/>
          <w:szCs w:val="14"/>
          <w:color w:val="auto"/>
        </w:rPr>
      </w:pPr>
    </w:p>
    <w:p>
      <w:pPr>
        <w:ind w:left="480" w:hanging="350"/>
        <w:spacing w:after="0"/>
        <w:tabs>
          <w:tab w:leader="none" w:pos="480" w:val="left"/>
        </w:tabs>
        <w:numPr>
          <w:ilvl w:val="0"/>
          <w:numId w:val="29"/>
        </w:numPr>
        <w:rPr>
          <w:rFonts w:ascii="Calibri" w:cs="Calibri" w:eastAsia="Calibri" w:hAnsi="Calibri"/>
          <w:sz w:val="14"/>
          <w:szCs w:val="14"/>
          <w:color w:val="auto"/>
        </w:rPr>
      </w:pPr>
      <w:r>
        <w:rPr>
          <w:rFonts w:ascii="Calibri" w:cs="Calibri" w:eastAsia="Calibri" w:hAnsi="Calibri"/>
          <w:sz w:val="14"/>
          <w:szCs w:val="14"/>
          <w:color w:val="auto"/>
        </w:rPr>
        <w:t>Estimated using a conversion ratio of one Bbl of oil per six Mcf of natural gas.</w:t>
      </w:r>
    </w:p>
    <w:p>
      <w:pPr>
        <w:spacing w:after="0" w:line="73" w:lineRule="exact"/>
        <w:rPr>
          <w:rFonts w:ascii="Calibri" w:cs="Calibri" w:eastAsia="Calibri" w:hAnsi="Calibri"/>
          <w:sz w:val="14"/>
          <w:szCs w:val="14"/>
          <w:color w:val="auto"/>
        </w:rPr>
      </w:pPr>
    </w:p>
    <w:p>
      <w:pPr>
        <w:ind w:left="480" w:hanging="350"/>
        <w:spacing w:after="0"/>
        <w:tabs>
          <w:tab w:leader="none" w:pos="480" w:val="left"/>
        </w:tabs>
        <w:numPr>
          <w:ilvl w:val="0"/>
          <w:numId w:val="29"/>
        </w:numPr>
        <w:rPr>
          <w:rFonts w:ascii="Calibri" w:cs="Calibri" w:eastAsia="Calibri" w:hAnsi="Calibri"/>
          <w:sz w:val="14"/>
          <w:szCs w:val="14"/>
          <w:color w:val="auto"/>
        </w:rPr>
      </w:pPr>
      <w:r>
        <w:rPr>
          <w:rFonts w:ascii="Calibri" w:cs="Calibri" w:eastAsia="Calibri" w:hAnsi="Calibri"/>
          <w:sz w:val="14"/>
          <w:szCs w:val="14"/>
          <w:color w:val="auto"/>
        </w:rPr>
        <w:t>Includes the Cotton Valley formation and shallower zones.</w:t>
      </w:r>
    </w:p>
    <w:p>
      <w:pPr>
        <w:spacing w:after="0" w:line="182"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Technology Used to Establish Reserves</w:t>
      </w:r>
    </w:p>
    <w:p>
      <w:pPr>
        <w:spacing w:after="0" w:line="208" w:lineRule="exact"/>
        <w:rPr>
          <w:sz w:val="20"/>
          <w:szCs w:val="20"/>
          <w:color w:val="auto"/>
        </w:rPr>
      </w:pPr>
    </w:p>
    <w:p>
      <w:pPr>
        <w:ind w:right="720" w:firstLine="241"/>
        <w:spacing w:after="0" w:line="268" w:lineRule="auto"/>
        <w:rPr>
          <w:sz w:val="20"/>
          <w:szCs w:val="20"/>
          <w:color w:val="auto"/>
        </w:rPr>
      </w:pPr>
      <w:r>
        <w:rPr>
          <w:rFonts w:ascii="Calibri" w:cs="Calibri" w:eastAsia="Calibri" w:hAnsi="Calibri"/>
          <w:sz w:val="18"/>
          <w:szCs w:val="18"/>
          <w:color w:val="auto"/>
        </w:rPr>
        <w:t>Under current SEC rules, proved reserves are those quantities of oil and natural gas that, by analysis of geoscience and engineering data, can be estimated with reasonable certainty to be economically producible (from a given date forward, from known reservoirs and under existing economic conditions, operating methods and government regulations) prior to the time at which contracts providing the right to operate expire, unless evidence indicates that renewal is reasonably certain, regardless of whether deterministic or probabilistic methods are used for the estimation. The term “reasonable certainty” means a high degree of confidence that the quantities of oil and/or natural gas will be recovered. Reasonable certainty can be established using techniques that have been proven effective by actual production from projects in the same reservoir or an analogous reservoir or by other evidence using reliable technology that establishes reasonable certainty. Reliable technology is a grouping of one or more technologies (including computational methods) that have been field tested and have been demonstrated to provide reasonably certain results with consistency and repeatability in the formation being evaluated or in an analogous formation.</w:t>
      </w:r>
    </w:p>
    <w:p>
      <w:pPr>
        <w:spacing w:after="0" w:line="222" w:lineRule="exact"/>
        <w:rPr>
          <w:sz w:val="20"/>
          <w:szCs w:val="20"/>
          <w:color w:val="auto"/>
        </w:rPr>
      </w:pPr>
    </w:p>
    <w:p>
      <w:pPr>
        <w:ind w:right="860" w:firstLine="241"/>
        <w:spacing w:after="0" w:line="267" w:lineRule="auto"/>
        <w:rPr>
          <w:sz w:val="20"/>
          <w:szCs w:val="20"/>
          <w:color w:val="auto"/>
        </w:rPr>
      </w:pPr>
      <w:r>
        <w:rPr>
          <w:rFonts w:ascii="Calibri" w:cs="Calibri" w:eastAsia="Calibri" w:hAnsi="Calibri"/>
          <w:sz w:val="18"/>
          <w:szCs w:val="18"/>
          <w:color w:val="auto"/>
        </w:rPr>
        <w:t>In order to establish reasonable certainty with respect to our estimated proved reserves, we used technologies that have been demonstrated to yield results with consistency and repeatability. The technologies and technical data used in the estimation of our proved reserves include electric logs, radioactivity logs, core analyses, geologic maps and available pressure and production data, seismic data and well test data. Reserves for proved developed producing wells were estimated using production performance methods. Certain new producing properties with little production history were forecasted using a combination of production performance and analogy to offset production. Non-producing reserves estimates for both developed and undeveloped properties were forecasted using either analogy and/or volumetric methods.</w:t>
      </w:r>
    </w:p>
    <w:p>
      <w:pPr>
        <w:spacing w:after="0" w:line="207"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Internal Control Over Reserves Estimation Process</w:t>
      </w:r>
    </w:p>
    <w:p>
      <w:pPr>
        <w:spacing w:after="0" w:line="208" w:lineRule="exact"/>
        <w:rPr>
          <w:sz w:val="20"/>
          <w:szCs w:val="20"/>
          <w:color w:val="auto"/>
        </w:rPr>
      </w:pPr>
    </w:p>
    <w:p>
      <w:pPr>
        <w:ind w:right="880" w:firstLine="241"/>
        <w:spacing w:after="0" w:line="285" w:lineRule="auto"/>
        <w:rPr>
          <w:sz w:val="20"/>
          <w:szCs w:val="20"/>
          <w:color w:val="auto"/>
        </w:rPr>
      </w:pPr>
      <w:r>
        <w:rPr>
          <w:rFonts w:ascii="Calibri" w:cs="Calibri" w:eastAsia="Calibri" w:hAnsi="Calibri"/>
          <w:sz w:val="17"/>
          <w:szCs w:val="17"/>
          <w:color w:val="auto"/>
        </w:rPr>
        <w:t>We maintain an internal staff of petroleum engineers and geoscience professionals to ensure the integrity, accuracy and timeliness of the data used in our reserves estimation process. Individual asset teams are responsible for the day-to-day management of the oil and natural gas activities for each team’s asset area. These asset teams are staffed with reservoir engineers who prepare reserves estimates at the end of each calendar quarter for the assets they manage. Our Vice President of Reservoir Engineering and the Reserves Team was primarily responsible for overseeing the preparation of our reserves estimates in 2025. He received Bachelor of Science degrees in both Petroleum Engineering and Mechanical Engineering from Texas Tech University, is a licensed Professional Engineer in the state of Texas and has over ten years of industry experience. Our Vice President of Reservoir</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92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1160" w:top="498" w:right="440" w:bottom="0" w:gutter="0" w:footer="0" w:header="0"/>
          <w:type w:val="continuous"/>
        </w:sectPr>
      </w:pPr>
    </w:p>
    <w:bookmarkStart w:id="37" w:name="page38"/>
    <w:bookmarkEnd w:id="37"/>
    <w:p>
      <w:pPr>
        <w:spacing w:after="0"/>
        <w:tabs>
          <w:tab w:leader="none" w:pos="740" w:val="left"/>
        </w:tabs>
        <w:rPr>
          <w:sz w:val="20"/>
          <w:szCs w:val="20"/>
          <w:color w:val="auto"/>
        </w:rPr>
      </w:pPr>
      <w:r>
        <w:rPr>
          <w:rFonts w:ascii="Calibri" w:cs="Calibri" w:eastAsia="Calibri" w:hAnsi="Calibri"/>
          <w:sz w:val="18"/>
          <w:szCs w:val="18"/>
          <w:color w:val="auto"/>
        </w:rPr>
        <w:t>24</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20"/>
        <w:spacing w:after="0" w:line="286" w:lineRule="auto"/>
        <w:rPr>
          <w:sz w:val="20"/>
          <w:szCs w:val="20"/>
          <w:color w:val="auto"/>
        </w:rPr>
      </w:pPr>
      <w:r>
        <w:rPr>
          <w:rFonts w:ascii="Calibri" w:cs="Calibri" w:eastAsia="Calibri" w:hAnsi="Calibri"/>
          <w:sz w:val="17"/>
          <w:szCs w:val="17"/>
          <w:color w:val="auto"/>
        </w:rPr>
        <w:t>Engineering and the Reserves Team works under the direct supervision of our Executive Vice President of Reservoir Engineering and Senior Asset Manager, who received a Bachelor of Science degree in Petroleum Engineering from Texas A&amp;M University and has over 15 years of industry experience. The Company has established internal controls over its reserves estimation processes and procedures to support the accurate and timely preparation and disclosure of reserves estimates in accordance with SEC and GAAP requirements. These controls include oversight of the reserves estimation processes by our internal reserves group as well as accounting and finance personnel. Following the preparation of our reserves estimates, these estimates are audited for their reasonableness by Netherland, Sewell &amp; Associates, Inc., independent reservoir engineers. Members of our executive committee and members of the Operations and Engineering Committee of our Board of Directors (the “Board”) review the reserves report and our reserves estimation process, and the independent audit of our reserves is reviewed by other members of the Board as well.</w:t>
      </w:r>
    </w:p>
    <w:p>
      <w:pPr>
        <w:spacing w:after="0" w:line="200" w:lineRule="exact"/>
        <w:rPr>
          <w:sz w:val="20"/>
          <w:szCs w:val="20"/>
          <w:color w:val="auto"/>
        </w:rPr>
      </w:pPr>
    </w:p>
    <w:p>
      <w:pPr>
        <w:ind w:left="720"/>
        <w:spacing w:after="0"/>
        <w:rPr>
          <w:sz w:val="20"/>
          <w:szCs w:val="20"/>
          <w:color w:val="auto"/>
        </w:rPr>
      </w:pPr>
      <w:r>
        <w:rPr>
          <w:rFonts w:ascii="Verdana" w:cs="Verdana" w:eastAsia="Verdana" w:hAnsi="Verdana"/>
          <w:sz w:val="20"/>
          <w:szCs w:val="20"/>
          <w:color w:val="214E93"/>
        </w:rPr>
        <w:t>ACREAGE SUMMARY</w:t>
      </w:r>
    </w:p>
    <w:p>
      <w:pPr>
        <w:spacing w:after="0" w:line="209" w:lineRule="exact"/>
        <w:rPr>
          <w:sz w:val="20"/>
          <w:szCs w:val="20"/>
          <w:color w:val="auto"/>
        </w:rPr>
      </w:pPr>
    </w:p>
    <w:p>
      <w:pPr>
        <w:ind w:left="720" w:right="200" w:firstLine="241"/>
        <w:spacing w:after="0" w:line="252" w:lineRule="auto"/>
        <w:rPr>
          <w:sz w:val="20"/>
          <w:szCs w:val="20"/>
          <w:color w:val="auto"/>
        </w:rPr>
      </w:pPr>
      <w:r>
        <w:rPr>
          <w:rFonts w:ascii="Calibri" w:cs="Calibri" w:eastAsia="Calibri" w:hAnsi="Calibri"/>
          <w:sz w:val="18"/>
          <w:szCs w:val="18"/>
          <w:color w:val="auto"/>
        </w:rPr>
        <w:t>The following table sets forth the approximate acreage in which we held a leasehold, mineral or other interest at December 31, 2025.</w:t>
      </w:r>
    </w:p>
    <w:p>
      <w:pPr>
        <w:spacing w:after="0" w:line="89" w:lineRule="exact"/>
        <w:rPr>
          <w:sz w:val="20"/>
          <w:szCs w:val="20"/>
          <w:color w:val="auto"/>
        </w:rPr>
      </w:pPr>
    </w:p>
    <w:tbl>
      <w:tblPr>
        <w:tblLayout w:type="fixed"/>
        <w:tblInd w:w="720" w:type="dxa"/>
        <w:tblCellMar>
          <w:top w:w="0" w:type="dxa"/>
          <w:left w:w="0" w:type="dxa"/>
          <w:bottom w:w="0" w:type="dxa"/>
          <w:right w:w="0" w:type="dxa"/>
        </w:tblCellMar>
      </w:tblPr>
      <w:tr>
        <w:trPr>
          <w:trHeight w:val="193"/>
        </w:trPr>
        <w:tc>
          <w:tcPr>
            <w:tcW w:w="4540" w:type="dxa"/>
            <w:vAlign w:val="bottom"/>
          </w:tcPr>
          <w:p>
            <w:pPr>
              <w:spacing w:after="0"/>
              <w:rPr>
                <w:sz w:val="16"/>
                <w:szCs w:val="16"/>
                <w:color w:val="auto"/>
              </w:rPr>
            </w:pPr>
          </w:p>
        </w:tc>
        <w:tc>
          <w:tcPr>
            <w:tcW w:w="1620" w:type="dxa"/>
            <w:vAlign w:val="bottom"/>
            <w:tcBorders>
              <w:bottom w:val="single" w:sz="8" w:color="214E93"/>
            </w:tcBorders>
            <w:gridSpan w:val="2"/>
          </w:tcPr>
          <w:p>
            <w:pPr>
              <w:jc w:val="right"/>
              <w:ind w:right="143"/>
              <w:spacing w:after="0"/>
              <w:rPr>
                <w:sz w:val="20"/>
                <w:szCs w:val="20"/>
                <w:color w:val="auto"/>
              </w:rPr>
            </w:pPr>
            <w:r>
              <w:rPr>
                <w:rFonts w:ascii="Verdana" w:cs="Verdana" w:eastAsia="Verdana" w:hAnsi="Verdana"/>
                <w:sz w:val="14"/>
                <w:szCs w:val="14"/>
                <w:color w:val="auto"/>
              </w:rPr>
              <w:t>Developed Acres</w:t>
            </w:r>
          </w:p>
        </w:tc>
        <w:tc>
          <w:tcPr>
            <w:tcW w:w="60" w:type="dxa"/>
            <w:vAlign w:val="bottom"/>
          </w:tcPr>
          <w:p>
            <w:pPr>
              <w:spacing w:after="0"/>
              <w:rPr>
                <w:sz w:val="16"/>
                <w:szCs w:val="16"/>
                <w:color w:val="auto"/>
              </w:rPr>
            </w:pPr>
          </w:p>
        </w:tc>
        <w:tc>
          <w:tcPr>
            <w:tcW w:w="1620" w:type="dxa"/>
            <w:vAlign w:val="bottom"/>
            <w:tcBorders>
              <w:bottom w:val="single" w:sz="8" w:color="214E93"/>
            </w:tcBorders>
            <w:gridSpan w:val="2"/>
          </w:tcPr>
          <w:p>
            <w:pPr>
              <w:jc w:val="right"/>
              <w:ind w:right="43"/>
              <w:spacing w:after="0"/>
              <w:rPr>
                <w:sz w:val="20"/>
                <w:szCs w:val="20"/>
                <w:color w:val="auto"/>
              </w:rPr>
            </w:pPr>
            <w:r>
              <w:rPr>
                <w:rFonts w:ascii="Verdana" w:cs="Verdana" w:eastAsia="Verdana" w:hAnsi="Verdana"/>
                <w:sz w:val="14"/>
                <w:szCs w:val="14"/>
                <w:color w:val="auto"/>
              </w:rPr>
              <w:t>Undeveloped Acres</w:t>
            </w:r>
          </w:p>
        </w:tc>
        <w:tc>
          <w:tcPr>
            <w:tcW w:w="60" w:type="dxa"/>
            <w:vAlign w:val="bottom"/>
          </w:tcPr>
          <w:p>
            <w:pPr>
              <w:spacing w:after="0"/>
              <w:rPr>
                <w:sz w:val="16"/>
                <w:szCs w:val="16"/>
                <w:color w:val="auto"/>
              </w:rPr>
            </w:pPr>
          </w:p>
        </w:tc>
        <w:tc>
          <w:tcPr>
            <w:tcW w:w="1620" w:type="dxa"/>
            <w:vAlign w:val="bottom"/>
            <w:tcBorders>
              <w:bottom w:val="single" w:sz="8" w:color="214E93"/>
            </w:tcBorders>
            <w:gridSpan w:val="2"/>
          </w:tcPr>
          <w:p>
            <w:pPr>
              <w:jc w:val="right"/>
              <w:ind w:right="323"/>
              <w:spacing w:after="0"/>
              <w:rPr>
                <w:sz w:val="20"/>
                <w:szCs w:val="20"/>
                <w:color w:val="auto"/>
              </w:rPr>
            </w:pPr>
            <w:r>
              <w:rPr>
                <w:rFonts w:ascii="Verdana" w:cs="Verdana" w:eastAsia="Verdana" w:hAnsi="Verdana"/>
                <w:sz w:val="14"/>
                <w:szCs w:val="14"/>
                <w:color w:val="auto"/>
              </w:rPr>
              <w:t>Total Acres</w:t>
            </w:r>
          </w:p>
        </w:tc>
      </w:tr>
      <w:tr>
        <w:trPr>
          <w:trHeight w:val="201"/>
        </w:trPr>
        <w:tc>
          <w:tcPr>
            <w:tcW w:w="4540" w:type="dxa"/>
            <w:vAlign w:val="bottom"/>
            <w:tcBorders>
              <w:bottom w:val="single" w:sz="8" w:color="214E93"/>
            </w:tcBorders>
          </w:tcPr>
          <w:p>
            <w:pPr>
              <w:spacing w:after="0"/>
              <w:rPr>
                <w:sz w:val="17"/>
                <w:szCs w:val="17"/>
                <w:color w:val="auto"/>
              </w:rPr>
            </w:pPr>
          </w:p>
        </w:tc>
        <w:tc>
          <w:tcPr>
            <w:tcW w:w="800" w:type="dxa"/>
            <w:vAlign w:val="bottom"/>
            <w:tcBorders>
              <w:bottom w:val="single" w:sz="8" w:color="214E93"/>
            </w:tcBorders>
          </w:tcPr>
          <w:p>
            <w:pPr>
              <w:ind w:left="220"/>
              <w:spacing w:after="0"/>
              <w:rPr>
                <w:sz w:val="20"/>
                <w:szCs w:val="20"/>
                <w:color w:val="auto"/>
              </w:rPr>
            </w:pPr>
            <w:r>
              <w:rPr>
                <w:rFonts w:ascii="Verdana" w:cs="Verdana" w:eastAsia="Verdana" w:hAnsi="Verdana"/>
                <w:sz w:val="14"/>
                <w:szCs w:val="14"/>
                <w:color w:val="auto"/>
              </w:rPr>
              <w:t>Gross</w:t>
            </w:r>
          </w:p>
        </w:tc>
        <w:tc>
          <w:tcPr>
            <w:tcW w:w="820" w:type="dxa"/>
            <w:vAlign w:val="bottom"/>
            <w:tcBorders>
              <w:bottom w:val="single" w:sz="8" w:color="214E93"/>
            </w:tcBorders>
          </w:tcPr>
          <w:p>
            <w:pPr>
              <w:jc w:val="right"/>
              <w:ind w:right="163"/>
              <w:spacing w:after="0"/>
              <w:rPr>
                <w:sz w:val="20"/>
                <w:szCs w:val="20"/>
                <w:color w:val="auto"/>
              </w:rPr>
            </w:pPr>
            <w:r>
              <w:rPr>
                <w:rFonts w:ascii="Verdana" w:cs="Verdana" w:eastAsia="Verdana" w:hAnsi="Verdana"/>
                <w:sz w:val="14"/>
                <w:szCs w:val="14"/>
                <w:color w:val="auto"/>
              </w:rPr>
              <w:t>Net</w:t>
            </w:r>
          </w:p>
        </w:tc>
        <w:tc>
          <w:tcPr>
            <w:tcW w:w="60" w:type="dxa"/>
            <w:vAlign w:val="bottom"/>
            <w:tcBorders>
              <w:bottom w:val="single" w:sz="8" w:color="214E93"/>
            </w:tcBorders>
          </w:tcPr>
          <w:p>
            <w:pPr>
              <w:spacing w:after="0"/>
              <w:rPr>
                <w:sz w:val="17"/>
                <w:szCs w:val="17"/>
                <w:color w:val="auto"/>
              </w:rPr>
            </w:pPr>
          </w:p>
        </w:tc>
        <w:tc>
          <w:tcPr>
            <w:tcW w:w="840" w:type="dxa"/>
            <w:vAlign w:val="bottom"/>
            <w:tcBorders>
              <w:bottom w:val="single" w:sz="8" w:color="214E93"/>
            </w:tcBorders>
          </w:tcPr>
          <w:p>
            <w:pPr>
              <w:jc w:val="right"/>
              <w:ind w:right="145"/>
              <w:spacing w:after="0"/>
              <w:rPr>
                <w:sz w:val="20"/>
                <w:szCs w:val="20"/>
                <w:color w:val="auto"/>
              </w:rPr>
            </w:pPr>
            <w:r>
              <w:rPr>
                <w:rFonts w:ascii="Verdana" w:cs="Verdana" w:eastAsia="Verdana" w:hAnsi="Verdana"/>
                <w:sz w:val="14"/>
                <w:szCs w:val="14"/>
                <w:color w:val="auto"/>
              </w:rPr>
              <w:t>Gross</w:t>
            </w:r>
          </w:p>
        </w:tc>
        <w:tc>
          <w:tcPr>
            <w:tcW w:w="780" w:type="dxa"/>
            <w:vAlign w:val="bottom"/>
            <w:tcBorders>
              <w:bottom w:val="single" w:sz="8" w:color="214E93"/>
            </w:tcBorders>
          </w:tcPr>
          <w:p>
            <w:pPr>
              <w:jc w:val="right"/>
              <w:ind w:right="183"/>
              <w:spacing w:after="0"/>
              <w:rPr>
                <w:sz w:val="20"/>
                <w:szCs w:val="20"/>
                <w:color w:val="auto"/>
              </w:rPr>
            </w:pPr>
            <w:r>
              <w:rPr>
                <w:rFonts w:ascii="Verdana" w:cs="Verdana" w:eastAsia="Verdana" w:hAnsi="Verdana"/>
                <w:sz w:val="14"/>
                <w:szCs w:val="14"/>
                <w:color w:val="auto"/>
              </w:rPr>
              <w:t>Net</w:t>
            </w:r>
          </w:p>
        </w:tc>
        <w:tc>
          <w:tcPr>
            <w:tcW w:w="60" w:type="dxa"/>
            <w:vAlign w:val="bottom"/>
            <w:tcBorders>
              <w:bottom w:val="single" w:sz="8" w:color="214E93"/>
            </w:tcBorders>
          </w:tcPr>
          <w:p>
            <w:pPr>
              <w:spacing w:after="0"/>
              <w:rPr>
                <w:sz w:val="17"/>
                <w:szCs w:val="17"/>
                <w:color w:val="auto"/>
              </w:rPr>
            </w:pPr>
          </w:p>
        </w:tc>
        <w:tc>
          <w:tcPr>
            <w:tcW w:w="820" w:type="dxa"/>
            <w:vAlign w:val="bottom"/>
            <w:tcBorders>
              <w:bottom w:val="single" w:sz="8" w:color="214E93"/>
            </w:tcBorders>
          </w:tcPr>
          <w:p>
            <w:pPr>
              <w:ind w:left="220"/>
              <w:spacing w:after="0"/>
              <w:rPr>
                <w:sz w:val="20"/>
                <w:szCs w:val="20"/>
                <w:color w:val="auto"/>
              </w:rPr>
            </w:pPr>
            <w:r>
              <w:rPr>
                <w:rFonts w:ascii="Verdana" w:cs="Verdana" w:eastAsia="Verdana" w:hAnsi="Verdana"/>
                <w:sz w:val="14"/>
                <w:szCs w:val="14"/>
                <w:color w:val="auto"/>
              </w:rPr>
              <w:t>Gross</w:t>
            </w:r>
          </w:p>
        </w:tc>
        <w:tc>
          <w:tcPr>
            <w:tcW w:w="800" w:type="dxa"/>
            <w:vAlign w:val="bottom"/>
            <w:tcBorders>
              <w:bottom w:val="single" w:sz="8" w:color="214E93"/>
            </w:tcBorders>
          </w:tcPr>
          <w:p>
            <w:pPr>
              <w:jc w:val="right"/>
              <w:ind w:right="163"/>
              <w:spacing w:after="0"/>
              <w:rPr>
                <w:sz w:val="20"/>
                <w:szCs w:val="20"/>
                <w:color w:val="auto"/>
              </w:rPr>
            </w:pPr>
            <w:r>
              <w:rPr>
                <w:rFonts w:ascii="Verdana" w:cs="Verdana" w:eastAsia="Verdana" w:hAnsi="Verdana"/>
                <w:sz w:val="14"/>
                <w:szCs w:val="14"/>
                <w:color w:val="auto"/>
              </w:rPr>
              <w:t>Net</w:t>
            </w:r>
          </w:p>
        </w:tc>
      </w:tr>
      <w:tr>
        <w:trPr>
          <w:trHeight w:val="211"/>
        </w:trPr>
        <w:tc>
          <w:tcPr>
            <w:tcW w:w="4540" w:type="dxa"/>
            <w:vAlign w:val="bottom"/>
          </w:tcPr>
          <w:p>
            <w:pPr>
              <w:ind w:left="40"/>
              <w:spacing w:after="0"/>
              <w:rPr>
                <w:sz w:val="20"/>
                <w:szCs w:val="20"/>
                <w:color w:val="auto"/>
              </w:rPr>
            </w:pPr>
            <w:r>
              <w:rPr>
                <w:rFonts w:ascii="Verdana" w:cs="Verdana" w:eastAsia="Verdana" w:hAnsi="Verdana"/>
                <w:sz w:val="16"/>
                <w:szCs w:val="16"/>
                <w:color w:val="auto"/>
              </w:rPr>
              <w:t>Southeast New Mexico/West Texas:</w:t>
            </w: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5"/>
        </w:trPr>
        <w:tc>
          <w:tcPr>
            <w:tcW w:w="4540" w:type="dxa"/>
            <w:vAlign w:val="bottom"/>
          </w:tcPr>
          <w:p>
            <w:pPr>
              <w:ind w:left="160"/>
              <w:spacing w:after="0"/>
              <w:rPr>
                <w:sz w:val="20"/>
                <w:szCs w:val="20"/>
                <w:color w:val="auto"/>
              </w:rPr>
            </w:pPr>
            <w:r>
              <w:rPr>
                <w:rFonts w:ascii="Verdana" w:cs="Verdana" w:eastAsia="Verdana" w:hAnsi="Verdana"/>
                <w:sz w:val="16"/>
                <w:szCs w:val="16"/>
                <w:color w:val="auto"/>
              </w:rPr>
              <w:t>Delaware Basin</w:t>
            </w:r>
          </w:p>
        </w:tc>
        <w:tc>
          <w:tcPr>
            <w:tcW w:w="800" w:type="dxa"/>
            <w:vAlign w:val="bottom"/>
          </w:tcPr>
          <w:p>
            <w:pPr>
              <w:jc w:val="center"/>
              <w:spacing w:after="0"/>
              <w:rPr>
                <w:sz w:val="20"/>
                <w:szCs w:val="20"/>
                <w:color w:val="auto"/>
              </w:rPr>
            </w:pPr>
            <w:r>
              <w:rPr>
                <w:rFonts w:ascii="Verdana" w:cs="Verdana" w:eastAsia="Verdana" w:hAnsi="Verdana"/>
                <w:sz w:val="16"/>
                <w:szCs w:val="16"/>
                <w:color w:val="214E93"/>
                <w:w w:val="98"/>
              </w:rPr>
              <w:t>284,700</w:t>
            </w:r>
          </w:p>
        </w:tc>
        <w:tc>
          <w:tcPr>
            <w:tcW w:w="820" w:type="dxa"/>
            <w:vAlign w:val="bottom"/>
          </w:tcPr>
          <w:p>
            <w:pPr>
              <w:jc w:val="right"/>
              <w:spacing w:after="0"/>
              <w:rPr>
                <w:sz w:val="20"/>
                <w:szCs w:val="20"/>
                <w:color w:val="auto"/>
              </w:rPr>
            </w:pPr>
            <w:r>
              <w:rPr>
                <w:rFonts w:ascii="Verdana" w:cs="Verdana" w:eastAsia="Verdana" w:hAnsi="Verdana"/>
                <w:sz w:val="16"/>
                <w:szCs w:val="16"/>
                <w:color w:val="214E93"/>
              </w:rPr>
              <w:t>171,200</w:t>
            </w:r>
          </w:p>
        </w:tc>
        <w:tc>
          <w:tcPr>
            <w:tcW w:w="900" w:type="dxa"/>
            <w:vAlign w:val="bottom"/>
            <w:gridSpan w:val="2"/>
          </w:tcPr>
          <w:p>
            <w:pPr>
              <w:jc w:val="right"/>
              <w:ind w:right="85"/>
              <w:spacing w:after="0"/>
              <w:rPr>
                <w:sz w:val="20"/>
                <w:szCs w:val="20"/>
                <w:color w:val="auto"/>
              </w:rPr>
            </w:pPr>
            <w:r>
              <w:rPr>
                <w:rFonts w:ascii="Verdana" w:cs="Verdana" w:eastAsia="Verdana" w:hAnsi="Verdana"/>
                <w:sz w:val="16"/>
                <w:szCs w:val="16"/>
                <w:color w:val="214E93"/>
              </w:rPr>
              <w:t>69,900</w:t>
            </w:r>
          </w:p>
        </w:tc>
        <w:tc>
          <w:tcPr>
            <w:tcW w:w="780" w:type="dxa"/>
            <w:vAlign w:val="bottom"/>
          </w:tcPr>
          <w:p>
            <w:pPr>
              <w:jc w:val="right"/>
              <w:ind w:right="23"/>
              <w:spacing w:after="0"/>
              <w:rPr>
                <w:sz w:val="20"/>
                <w:szCs w:val="20"/>
                <w:color w:val="auto"/>
              </w:rPr>
            </w:pPr>
            <w:r>
              <w:rPr>
                <w:rFonts w:ascii="Verdana" w:cs="Verdana" w:eastAsia="Verdana" w:hAnsi="Verdana"/>
                <w:sz w:val="16"/>
                <w:szCs w:val="16"/>
                <w:color w:val="214E93"/>
              </w:rPr>
              <w:t>41,300</w:t>
            </w:r>
          </w:p>
        </w:tc>
        <w:tc>
          <w:tcPr>
            <w:tcW w:w="880" w:type="dxa"/>
            <w:vAlign w:val="bottom"/>
            <w:gridSpan w:val="2"/>
          </w:tcPr>
          <w:p>
            <w:pPr>
              <w:jc w:val="center"/>
              <w:spacing w:after="0"/>
              <w:rPr>
                <w:sz w:val="20"/>
                <w:szCs w:val="20"/>
                <w:color w:val="auto"/>
              </w:rPr>
            </w:pPr>
            <w:r>
              <w:rPr>
                <w:rFonts w:ascii="Verdana" w:cs="Verdana" w:eastAsia="Verdana" w:hAnsi="Verdana"/>
                <w:sz w:val="16"/>
                <w:szCs w:val="16"/>
                <w:color w:val="214E93"/>
                <w:w w:val="98"/>
              </w:rPr>
              <w:t>354,600</w:t>
            </w:r>
          </w:p>
        </w:tc>
        <w:tc>
          <w:tcPr>
            <w:tcW w:w="800" w:type="dxa"/>
            <w:vAlign w:val="bottom"/>
          </w:tcPr>
          <w:p>
            <w:pPr>
              <w:jc w:val="right"/>
              <w:spacing w:after="0"/>
              <w:rPr>
                <w:sz w:val="20"/>
                <w:szCs w:val="20"/>
                <w:color w:val="auto"/>
              </w:rPr>
            </w:pPr>
            <w:r>
              <w:rPr>
                <w:rFonts w:ascii="Verdana" w:cs="Verdana" w:eastAsia="Verdana" w:hAnsi="Verdana"/>
                <w:sz w:val="16"/>
                <w:szCs w:val="16"/>
                <w:color w:val="214E93"/>
              </w:rPr>
              <w:t>212,500</w:t>
            </w:r>
          </w:p>
        </w:tc>
      </w:tr>
      <w:tr>
        <w:trPr>
          <w:trHeight w:val="234"/>
        </w:trPr>
        <w:tc>
          <w:tcPr>
            <w:tcW w:w="4540" w:type="dxa"/>
            <w:vAlign w:val="bottom"/>
          </w:tcPr>
          <w:p>
            <w:pPr>
              <w:ind w:left="40"/>
              <w:spacing w:after="0"/>
              <w:rPr>
                <w:sz w:val="20"/>
                <w:szCs w:val="20"/>
                <w:color w:val="auto"/>
              </w:rPr>
            </w:pPr>
            <w:r>
              <w:rPr>
                <w:rFonts w:ascii="Verdana" w:cs="Verdana" w:eastAsia="Verdana" w:hAnsi="Verdana"/>
                <w:sz w:val="16"/>
                <w:szCs w:val="16"/>
                <w:color w:val="auto"/>
              </w:rPr>
              <w:t>Northwest Louisiana:</w:t>
            </w: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8"/>
        </w:trPr>
        <w:tc>
          <w:tcPr>
            <w:tcW w:w="4540" w:type="dxa"/>
            <w:vAlign w:val="bottom"/>
          </w:tcPr>
          <w:p>
            <w:pPr>
              <w:ind w:left="160"/>
              <w:spacing w:after="0"/>
              <w:rPr>
                <w:sz w:val="20"/>
                <w:szCs w:val="20"/>
                <w:color w:val="auto"/>
              </w:rPr>
            </w:pPr>
            <w:r>
              <w:rPr>
                <w:rFonts w:ascii="Verdana" w:cs="Verdana" w:eastAsia="Verdana" w:hAnsi="Verdana"/>
                <w:sz w:val="16"/>
                <w:szCs w:val="16"/>
                <w:color w:val="auto"/>
              </w:rPr>
              <w:t>Haynesville</w:t>
            </w:r>
          </w:p>
        </w:tc>
        <w:tc>
          <w:tcPr>
            <w:tcW w:w="800" w:type="dxa"/>
            <w:vAlign w:val="bottom"/>
          </w:tcPr>
          <w:p>
            <w:pPr>
              <w:jc w:val="center"/>
              <w:spacing w:after="0"/>
              <w:rPr>
                <w:sz w:val="20"/>
                <w:szCs w:val="20"/>
                <w:color w:val="auto"/>
              </w:rPr>
            </w:pPr>
            <w:r>
              <w:rPr>
                <w:rFonts w:ascii="Verdana" w:cs="Verdana" w:eastAsia="Verdana" w:hAnsi="Verdana"/>
                <w:sz w:val="16"/>
                <w:szCs w:val="16"/>
                <w:color w:val="214E93"/>
                <w:w w:val="98"/>
              </w:rPr>
              <w:t>16,200</w:t>
            </w:r>
          </w:p>
        </w:tc>
        <w:tc>
          <w:tcPr>
            <w:tcW w:w="820" w:type="dxa"/>
            <w:vAlign w:val="bottom"/>
          </w:tcPr>
          <w:p>
            <w:pPr>
              <w:jc w:val="right"/>
              <w:ind w:right="23"/>
              <w:spacing w:after="0"/>
              <w:rPr>
                <w:sz w:val="20"/>
                <w:szCs w:val="20"/>
                <w:color w:val="auto"/>
              </w:rPr>
            </w:pPr>
            <w:r>
              <w:rPr>
                <w:rFonts w:ascii="Verdana" w:cs="Verdana" w:eastAsia="Verdana" w:hAnsi="Verdana"/>
                <w:sz w:val="16"/>
                <w:szCs w:val="16"/>
                <w:color w:val="214E93"/>
              </w:rPr>
              <w:t>8,900</w:t>
            </w:r>
          </w:p>
        </w:tc>
        <w:tc>
          <w:tcPr>
            <w:tcW w:w="60" w:type="dxa"/>
            <w:vAlign w:val="bottom"/>
          </w:tcPr>
          <w:p>
            <w:pPr>
              <w:spacing w:after="0"/>
              <w:rPr>
                <w:sz w:val="20"/>
                <w:szCs w:val="20"/>
                <w:color w:val="auto"/>
              </w:rPr>
            </w:pPr>
          </w:p>
        </w:tc>
        <w:tc>
          <w:tcPr>
            <w:tcW w:w="840" w:type="dxa"/>
            <w:vAlign w:val="bottom"/>
          </w:tcPr>
          <w:p>
            <w:pPr>
              <w:jc w:val="right"/>
              <w:ind w:right="85"/>
              <w:spacing w:after="0"/>
              <w:rPr>
                <w:sz w:val="20"/>
                <w:szCs w:val="20"/>
                <w:color w:val="auto"/>
              </w:rPr>
            </w:pPr>
            <w:r>
              <w:rPr>
                <w:rFonts w:ascii="Verdana" w:cs="Verdana" w:eastAsia="Verdana" w:hAnsi="Verdana"/>
                <w:sz w:val="16"/>
                <w:szCs w:val="16"/>
                <w:color w:val="214E93"/>
              </w:rPr>
              <w:t>—</w:t>
            </w:r>
          </w:p>
        </w:tc>
        <w:tc>
          <w:tcPr>
            <w:tcW w:w="780" w:type="dxa"/>
            <w:vAlign w:val="bottom"/>
          </w:tcPr>
          <w:p>
            <w:pPr>
              <w:jc w:val="right"/>
              <w:ind w:right="23"/>
              <w:spacing w:after="0"/>
              <w:rPr>
                <w:sz w:val="20"/>
                <w:szCs w:val="20"/>
                <w:color w:val="auto"/>
              </w:rPr>
            </w:pPr>
            <w:r>
              <w:rPr>
                <w:rFonts w:ascii="Verdana" w:cs="Verdana" w:eastAsia="Verdana" w:hAnsi="Verdana"/>
                <w:sz w:val="16"/>
                <w:szCs w:val="16"/>
                <w:color w:val="214E93"/>
              </w:rPr>
              <w:t>—</w:t>
            </w:r>
          </w:p>
        </w:tc>
        <w:tc>
          <w:tcPr>
            <w:tcW w:w="880" w:type="dxa"/>
            <w:vAlign w:val="bottom"/>
            <w:gridSpan w:val="2"/>
          </w:tcPr>
          <w:p>
            <w:pPr>
              <w:jc w:val="center"/>
              <w:ind w:left="1"/>
              <w:spacing w:after="0"/>
              <w:rPr>
                <w:sz w:val="20"/>
                <w:szCs w:val="20"/>
                <w:color w:val="auto"/>
              </w:rPr>
            </w:pPr>
            <w:r>
              <w:rPr>
                <w:rFonts w:ascii="Verdana" w:cs="Verdana" w:eastAsia="Verdana" w:hAnsi="Verdana"/>
                <w:sz w:val="16"/>
                <w:szCs w:val="16"/>
                <w:color w:val="214E93"/>
                <w:w w:val="98"/>
              </w:rPr>
              <w:t>16,200</w:t>
            </w:r>
          </w:p>
        </w:tc>
        <w:tc>
          <w:tcPr>
            <w:tcW w:w="800" w:type="dxa"/>
            <w:vAlign w:val="bottom"/>
          </w:tcPr>
          <w:p>
            <w:pPr>
              <w:jc w:val="right"/>
              <w:ind w:right="3"/>
              <w:spacing w:after="0"/>
              <w:rPr>
                <w:sz w:val="20"/>
                <w:szCs w:val="20"/>
                <w:color w:val="auto"/>
              </w:rPr>
            </w:pPr>
            <w:r>
              <w:rPr>
                <w:rFonts w:ascii="Verdana" w:cs="Verdana" w:eastAsia="Verdana" w:hAnsi="Verdana"/>
                <w:sz w:val="16"/>
                <w:szCs w:val="16"/>
                <w:color w:val="214E93"/>
              </w:rPr>
              <w:t>8,900</w:t>
            </w:r>
          </w:p>
        </w:tc>
      </w:tr>
      <w:tr>
        <w:trPr>
          <w:trHeight w:val="242"/>
        </w:trPr>
        <w:tc>
          <w:tcPr>
            <w:tcW w:w="4540" w:type="dxa"/>
            <w:vAlign w:val="bottom"/>
            <w:tcBorders>
              <w:bottom w:val="single" w:sz="8" w:color="auto"/>
            </w:tcBorders>
          </w:tcPr>
          <w:p>
            <w:pPr>
              <w:ind w:left="160"/>
              <w:spacing w:after="0"/>
              <w:rPr>
                <w:sz w:val="20"/>
                <w:szCs w:val="20"/>
                <w:color w:val="auto"/>
              </w:rPr>
            </w:pPr>
            <w:r>
              <w:rPr>
                <w:rFonts w:ascii="Verdana" w:cs="Verdana" w:eastAsia="Verdana" w:hAnsi="Verdana"/>
                <w:sz w:val="16"/>
                <w:szCs w:val="16"/>
                <w:color w:val="auto"/>
              </w:rPr>
              <w:t>Cotton Valley</w:t>
            </w:r>
          </w:p>
        </w:tc>
        <w:tc>
          <w:tcPr>
            <w:tcW w:w="800" w:type="dxa"/>
            <w:vAlign w:val="bottom"/>
            <w:tcBorders>
              <w:bottom w:val="single" w:sz="8" w:color="auto"/>
            </w:tcBorders>
          </w:tcPr>
          <w:p>
            <w:pPr>
              <w:jc w:val="center"/>
              <w:spacing w:after="0"/>
              <w:rPr>
                <w:sz w:val="20"/>
                <w:szCs w:val="20"/>
                <w:color w:val="auto"/>
              </w:rPr>
            </w:pPr>
            <w:r>
              <w:rPr>
                <w:rFonts w:ascii="Verdana" w:cs="Verdana" w:eastAsia="Verdana" w:hAnsi="Verdana"/>
                <w:sz w:val="16"/>
                <w:szCs w:val="16"/>
                <w:color w:val="214E93"/>
                <w:w w:val="98"/>
              </w:rPr>
              <w:t>15,800</w:t>
            </w:r>
          </w:p>
        </w:tc>
        <w:tc>
          <w:tcPr>
            <w:tcW w:w="820" w:type="dxa"/>
            <w:vAlign w:val="bottom"/>
            <w:tcBorders>
              <w:bottom w:val="single" w:sz="8" w:color="auto"/>
            </w:tcBorders>
          </w:tcPr>
          <w:p>
            <w:pPr>
              <w:jc w:val="right"/>
              <w:ind w:right="23"/>
              <w:spacing w:after="0"/>
              <w:rPr>
                <w:sz w:val="20"/>
                <w:szCs w:val="20"/>
                <w:color w:val="auto"/>
              </w:rPr>
            </w:pPr>
            <w:r>
              <w:rPr>
                <w:rFonts w:ascii="Verdana" w:cs="Verdana" w:eastAsia="Verdana" w:hAnsi="Verdana"/>
                <w:sz w:val="16"/>
                <w:szCs w:val="16"/>
                <w:color w:val="214E93"/>
              </w:rPr>
              <w:t>14,800</w:t>
            </w:r>
          </w:p>
        </w:tc>
        <w:tc>
          <w:tcPr>
            <w:tcW w:w="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85"/>
              <w:spacing w:after="0"/>
              <w:rPr>
                <w:sz w:val="20"/>
                <w:szCs w:val="20"/>
                <w:color w:val="auto"/>
              </w:rPr>
            </w:pPr>
            <w:r>
              <w:rPr>
                <w:rFonts w:ascii="Verdana" w:cs="Verdana" w:eastAsia="Verdana" w:hAnsi="Verdana"/>
                <w:sz w:val="16"/>
                <w:szCs w:val="16"/>
                <w:color w:val="214E93"/>
              </w:rPr>
              <w:t>—</w:t>
            </w:r>
          </w:p>
        </w:tc>
        <w:tc>
          <w:tcPr>
            <w:tcW w:w="780" w:type="dxa"/>
            <w:vAlign w:val="bottom"/>
            <w:tcBorders>
              <w:bottom w:val="single" w:sz="8" w:color="auto"/>
            </w:tcBorders>
          </w:tcPr>
          <w:p>
            <w:pPr>
              <w:jc w:val="right"/>
              <w:ind w:right="23"/>
              <w:spacing w:after="0"/>
              <w:rPr>
                <w:sz w:val="20"/>
                <w:szCs w:val="20"/>
                <w:color w:val="auto"/>
              </w:rPr>
            </w:pPr>
            <w:r>
              <w:rPr>
                <w:rFonts w:ascii="Verdana" w:cs="Verdana" w:eastAsia="Verdana" w:hAnsi="Verdana"/>
                <w:sz w:val="16"/>
                <w:szCs w:val="16"/>
                <w:color w:val="214E93"/>
              </w:rPr>
              <w:t>—</w:t>
            </w:r>
          </w:p>
        </w:tc>
        <w:tc>
          <w:tcPr>
            <w:tcW w:w="880" w:type="dxa"/>
            <w:vAlign w:val="bottom"/>
            <w:tcBorders>
              <w:bottom w:val="single" w:sz="8" w:color="auto"/>
            </w:tcBorders>
            <w:gridSpan w:val="2"/>
          </w:tcPr>
          <w:p>
            <w:pPr>
              <w:jc w:val="center"/>
              <w:ind w:left="1"/>
              <w:spacing w:after="0"/>
              <w:rPr>
                <w:sz w:val="20"/>
                <w:szCs w:val="20"/>
                <w:color w:val="auto"/>
              </w:rPr>
            </w:pPr>
            <w:r>
              <w:rPr>
                <w:rFonts w:ascii="Verdana" w:cs="Verdana" w:eastAsia="Verdana" w:hAnsi="Verdana"/>
                <w:sz w:val="16"/>
                <w:szCs w:val="16"/>
                <w:color w:val="214E93"/>
                <w:w w:val="98"/>
              </w:rPr>
              <w:t>15,800</w:t>
            </w:r>
          </w:p>
        </w:tc>
        <w:tc>
          <w:tcPr>
            <w:tcW w:w="800" w:type="dxa"/>
            <w:vAlign w:val="bottom"/>
            <w:tcBorders>
              <w:bottom w:val="single" w:sz="8" w:color="auto"/>
            </w:tcBorders>
          </w:tcPr>
          <w:p>
            <w:pPr>
              <w:jc w:val="right"/>
              <w:ind w:right="3"/>
              <w:spacing w:after="0"/>
              <w:rPr>
                <w:sz w:val="20"/>
                <w:szCs w:val="20"/>
                <w:color w:val="auto"/>
              </w:rPr>
            </w:pPr>
            <w:r>
              <w:rPr>
                <w:rFonts w:ascii="Verdana" w:cs="Verdana" w:eastAsia="Verdana" w:hAnsi="Verdana"/>
                <w:sz w:val="16"/>
                <w:szCs w:val="16"/>
                <w:color w:val="214E93"/>
              </w:rPr>
              <w:t>14,800</w:t>
            </w:r>
          </w:p>
        </w:tc>
      </w:tr>
      <w:tr>
        <w:trPr>
          <w:trHeight w:val="222"/>
        </w:trPr>
        <w:tc>
          <w:tcPr>
            <w:tcW w:w="4540" w:type="dxa"/>
            <w:vAlign w:val="bottom"/>
            <w:tcBorders>
              <w:bottom w:val="single" w:sz="8" w:color="auto"/>
            </w:tcBorders>
          </w:tcPr>
          <w:p>
            <w:pPr>
              <w:ind w:left="280"/>
              <w:spacing w:after="0" w:line="221" w:lineRule="exact"/>
              <w:rPr>
                <w:sz w:val="20"/>
                <w:szCs w:val="20"/>
                <w:color w:val="auto"/>
              </w:rPr>
            </w:pPr>
            <w:r>
              <w:rPr>
                <w:rFonts w:ascii="Verdana" w:cs="Verdana" w:eastAsia="Verdana" w:hAnsi="Verdana"/>
                <w:sz w:val="16"/>
                <w:szCs w:val="16"/>
                <w:color w:val="auto"/>
              </w:rPr>
              <w:t>Area Total</w:t>
            </w:r>
            <w:r>
              <w:rPr>
                <w:rFonts w:ascii="Verdana" w:cs="Verdana" w:eastAsia="Verdana" w:hAnsi="Verdana"/>
                <w:sz w:val="20"/>
                <w:szCs w:val="20"/>
                <w:color w:val="auto"/>
                <w:vertAlign w:val="superscript"/>
              </w:rPr>
              <w:t>(1)</w:t>
            </w:r>
          </w:p>
        </w:tc>
        <w:tc>
          <w:tcPr>
            <w:tcW w:w="800" w:type="dxa"/>
            <w:vAlign w:val="bottom"/>
            <w:tcBorders>
              <w:bottom w:val="single" w:sz="8" w:color="auto"/>
            </w:tcBorders>
          </w:tcPr>
          <w:p>
            <w:pPr>
              <w:jc w:val="center"/>
              <w:spacing w:after="0"/>
              <w:rPr>
                <w:sz w:val="20"/>
                <w:szCs w:val="20"/>
                <w:color w:val="auto"/>
              </w:rPr>
            </w:pPr>
            <w:r>
              <w:rPr>
                <w:rFonts w:ascii="Verdana" w:cs="Verdana" w:eastAsia="Verdana" w:hAnsi="Verdana"/>
                <w:sz w:val="16"/>
                <w:szCs w:val="16"/>
                <w:color w:val="214E93"/>
                <w:w w:val="98"/>
              </w:rPr>
              <w:t>18,500</w:t>
            </w:r>
          </w:p>
        </w:tc>
        <w:tc>
          <w:tcPr>
            <w:tcW w:w="820" w:type="dxa"/>
            <w:vAlign w:val="bottom"/>
            <w:tcBorders>
              <w:bottom w:val="single" w:sz="8" w:color="auto"/>
            </w:tcBorders>
          </w:tcPr>
          <w:p>
            <w:pPr>
              <w:jc w:val="right"/>
              <w:ind w:right="23"/>
              <w:spacing w:after="0"/>
              <w:rPr>
                <w:sz w:val="20"/>
                <w:szCs w:val="20"/>
                <w:color w:val="auto"/>
              </w:rPr>
            </w:pPr>
            <w:r>
              <w:rPr>
                <w:rFonts w:ascii="Verdana" w:cs="Verdana" w:eastAsia="Verdana" w:hAnsi="Verdana"/>
                <w:sz w:val="16"/>
                <w:szCs w:val="16"/>
                <w:color w:val="214E93"/>
              </w:rPr>
              <w:t>17,300</w:t>
            </w:r>
          </w:p>
        </w:tc>
        <w:tc>
          <w:tcPr>
            <w:tcW w:w="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85"/>
              <w:spacing w:after="0"/>
              <w:rPr>
                <w:sz w:val="20"/>
                <w:szCs w:val="20"/>
                <w:color w:val="auto"/>
              </w:rPr>
            </w:pPr>
            <w:r>
              <w:rPr>
                <w:rFonts w:ascii="Verdana" w:cs="Verdana" w:eastAsia="Verdana" w:hAnsi="Verdana"/>
                <w:sz w:val="16"/>
                <w:szCs w:val="16"/>
                <w:color w:val="214E93"/>
              </w:rPr>
              <w:t>—</w:t>
            </w:r>
          </w:p>
        </w:tc>
        <w:tc>
          <w:tcPr>
            <w:tcW w:w="780" w:type="dxa"/>
            <w:vAlign w:val="bottom"/>
            <w:tcBorders>
              <w:bottom w:val="single" w:sz="8" w:color="auto"/>
            </w:tcBorders>
          </w:tcPr>
          <w:p>
            <w:pPr>
              <w:jc w:val="right"/>
              <w:ind w:right="23"/>
              <w:spacing w:after="0"/>
              <w:rPr>
                <w:sz w:val="20"/>
                <w:szCs w:val="20"/>
                <w:color w:val="auto"/>
              </w:rPr>
            </w:pPr>
            <w:r>
              <w:rPr>
                <w:rFonts w:ascii="Verdana" w:cs="Verdana" w:eastAsia="Verdana" w:hAnsi="Verdana"/>
                <w:sz w:val="16"/>
                <w:szCs w:val="16"/>
                <w:color w:val="214E93"/>
              </w:rPr>
              <w:t>—</w:t>
            </w:r>
          </w:p>
        </w:tc>
        <w:tc>
          <w:tcPr>
            <w:tcW w:w="880" w:type="dxa"/>
            <w:vAlign w:val="bottom"/>
            <w:tcBorders>
              <w:bottom w:val="single" w:sz="8" w:color="auto"/>
            </w:tcBorders>
            <w:gridSpan w:val="2"/>
          </w:tcPr>
          <w:p>
            <w:pPr>
              <w:jc w:val="center"/>
              <w:ind w:left="1"/>
              <w:spacing w:after="0"/>
              <w:rPr>
                <w:sz w:val="20"/>
                <w:szCs w:val="20"/>
                <w:color w:val="auto"/>
              </w:rPr>
            </w:pPr>
            <w:r>
              <w:rPr>
                <w:rFonts w:ascii="Verdana" w:cs="Verdana" w:eastAsia="Verdana" w:hAnsi="Verdana"/>
                <w:sz w:val="16"/>
                <w:szCs w:val="16"/>
                <w:color w:val="214E93"/>
                <w:w w:val="98"/>
              </w:rPr>
              <w:t>18,500</w:t>
            </w:r>
          </w:p>
        </w:tc>
        <w:tc>
          <w:tcPr>
            <w:tcW w:w="800" w:type="dxa"/>
            <w:vAlign w:val="bottom"/>
            <w:tcBorders>
              <w:bottom w:val="single" w:sz="8" w:color="auto"/>
            </w:tcBorders>
          </w:tcPr>
          <w:p>
            <w:pPr>
              <w:jc w:val="right"/>
              <w:ind w:right="3"/>
              <w:spacing w:after="0"/>
              <w:rPr>
                <w:sz w:val="20"/>
                <w:szCs w:val="20"/>
                <w:color w:val="auto"/>
              </w:rPr>
            </w:pPr>
            <w:r>
              <w:rPr>
                <w:rFonts w:ascii="Verdana" w:cs="Verdana" w:eastAsia="Verdana" w:hAnsi="Verdana"/>
                <w:sz w:val="16"/>
                <w:szCs w:val="16"/>
                <w:color w:val="214E93"/>
              </w:rPr>
              <w:t>17,300</w:t>
            </w:r>
          </w:p>
        </w:tc>
      </w:tr>
      <w:tr>
        <w:trPr>
          <w:trHeight w:val="211"/>
        </w:trPr>
        <w:tc>
          <w:tcPr>
            <w:tcW w:w="4540" w:type="dxa"/>
            <w:vAlign w:val="bottom"/>
            <w:tcBorders>
              <w:bottom w:val="single" w:sz="8" w:color="214E93"/>
            </w:tcBorders>
          </w:tcPr>
          <w:p>
            <w:pPr>
              <w:ind w:left="280"/>
              <w:spacing w:after="0"/>
              <w:rPr>
                <w:sz w:val="20"/>
                <w:szCs w:val="20"/>
                <w:color w:val="auto"/>
              </w:rPr>
            </w:pPr>
            <w:r>
              <w:rPr>
                <w:rFonts w:ascii="Verdana" w:cs="Verdana" w:eastAsia="Verdana" w:hAnsi="Verdana"/>
                <w:sz w:val="16"/>
                <w:szCs w:val="16"/>
                <w:color w:val="auto"/>
              </w:rPr>
              <w:t>Total</w:t>
            </w:r>
          </w:p>
        </w:tc>
        <w:tc>
          <w:tcPr>
            <w:tcW w:w="800" w:type="dxa"/>
            <w:vAlign w:val="bottom"/>
            <w:tcBorders>
              <w:bottom w:val="single" w:sz="8" w:color="214E93"/>
            </w:tcBorders>
          </w:tcPr>
          <w:p>
            <w:pPr>
              <w:jc w:val="center"/>
              <w:spacing w:after="0"/>
              <w:rPr>
                <w:sz w:val="20"/>
                <w:szCs w:val="20"/>
                <w:color w:val="auto"/>
              </w:rPr>
            </w:pPr>
            <w:r>
              <w:rPr>
                <w:rFonts w:ascii="Verdana" w:cs="Verdana" w:eastAsia="Verdana" w:hAnsi="Verdana"/>
                <w:sz w:val="16"/>
                <w:szCs w:val="16"/>
                <w:color w:val="214E93"/>
                <w:w w:val="98"/>
              </w:rPr>
              <w:t>303,200</w:t>
            </w:r>
          </w:p>
        </w:tc>
        <w:tc>
          <w:tcPr>
            <w:tcW w:w="82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188,500</w:t>
            </w:r>
          </w:p>
        </w:tc>
        <w:tc>
          <w:tcPr>
            <w:tcW w:w="900" w:type="dxa"/>
            <w:vAlign w:val="bottom"/>
            <w:tcBorders>
              <w:bottom w:val="single" w:sz="8" w:color="214E93"/>
            </w:tcBorders>
            <w:gridSpan w:val="2"/>
          </w:tcPr>
          <w:p>
            <w:pPr>
              <w:jc w:val="right"/>
              <w:ind w:right="85"/>
              <w:spacing w:after="0"/>
              <w:rPr>
                <w:sz w:val="20"/>
                <w:szCs w:val="20"/>
                <w:color w:val="auto"/>
              </w:rPr>
            </w:pPr>
            <w:r>
              <w:rPr>
                <w:rFonts w:ascii="Verdana" w:cs="Verdana" w:eastAsia="Verdana" w:hAnsi="Verdana"/>
                <w:sz w:val="16"/>
                <w:szCs w:val="16"/>
                <w:color w:val="214E93"/>
              </w:rPr>
              <w:t>69,900</w:t>
            </w:r>
          </w:p>
        </w:tc>
        <w:tc>
          <w:tcPr>
            <w:tcW w:w="780" w:type="dxa"/>
            <w:vAlign w:val="bottom"/>
            <w:tcBorders>
              <w:bottom w:val="single" w:sz="8" w:color="214E93"/>
            </w:tcBorders>
          </w:tcPr>
          <w:p>
            <w:pPr>
              <w:jc w:val="right"/>
              <w:ind w:right="23"/>
              <w:spacing w:after="0"/>
              <w:rPr>
                <w:sz w:val="20"/>
                <w:szCs w:val="20"/>
                <w:color w:val="auto"/>
              </w:rPr>
            </w:pPr>
            <w:r>
              <w:rPr>
                <w:rFonts w:ascii="Verdana" w:cs="Verdana" w:eastAsia="Verdana" w:hAnsi="Verdana"/>
                <w:sz w:val="16"/>
                <w:szCs w:val="16"/>
                <w:color w:val="214E93"/>
              </w:rPr>
              <w:t>41,300</w:t>
            </w:r>
          </w:p>
        </w:tc>
        <w:tc>
          <w:tcPr>
            <w:tcW w:w="880" w:type="dxa"/>
            <w:vAlign w:val="bottom"/>
            <w:tcBorders>
              <w:bottom w:val="single" w:sz="8" w:color="214E93"/>
            </w:tcBorders>
            <w:gridSpan w:val="2"/>
          </w:tcPr>
          <w:p>
            <w:pPr>
              <w:jc w:val="center"/>
              <w:spacing w:after="0"/>
              <w:rPr>
                <w:sz w:val="20"/>
                <w:szCs w:val="20"/>
                <w:color w:val="auto"/>
              </w:rPr>
            </w:pPr>
            <w:r>
              <w:rPr>
                <w:rFonts w:ascii="Verdana" w:cs="Verdana" w:eastAsia="Verdana" w:hAnsi="Verdana"/>
                <w:sz w:val="16"/>
                <w:szCs w:val="16"/>
                <w:color w:val="214E93"/>
                <w:w w:val="98"/>
              </w:rPr>
              <w:t>373,100</w:t>
            </w:r>
          </w:p>
        </w:tc>
        <w:tc>
          <w:tcPr>
            <w:tcW w:w="80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229,800</w:t>
            </w:r>
          </w:p>
        </w:tc>
      </w:tr>
    </w:tbl>
    <w:p>
      <w:pPr>
        <w:spacing w:after="0" w:line="20" w:lineRule="exact"/>
        <w:rPr>
          <w:sz w:val="20"/>
          <w:szCs w:val="20"/>
          <w:color w:val="auto"/>
        </w:rPr>
      </w:pPr>
    </w:p>
    <w:p>
      <w:pPr>
        <w:spacing w:after="0" w:line="119" w:lineRule="exact"/>
        <w:rPr>
          <w:sz w:val="20"/>
          <w:szCs w:val="20"/>
          <w:color w:val="auto"/>
        </w:rPr>
      </w:pPr>
    </w:p>
    <w:p>
      <w:pPr>
        <w:ind w:left="1200" w:right="240" w:hanging="350"/>
        <w:spacing w:after="0" w:line="226" w:lineRule="auto"/>
        <w:tabs>
          <w:tab w:leader="none" w:pos="1200" w:val="left"/>
        </w:tabs>
        <w:numPr>
          <w:ilvl w:val="0"/>
          <w:numId w:val="30"/>
        </w:numPr>
        <w:rPr>
          <w:rFonts w:ascii="Calibri" w:cs="Calibri" w:eastAsia="Calibri" w:hAnsi="Calibri"/>
          <w:sz w:val="14"/>
          <w:szCs w:val="14"/>
          <w:color w:val="auto"/>
        </w:rPr>
      </w:pPr>
      <w:r>
        <w:rPr>
          <w:rFonts w:ascii="Calibri" w:cs="Calibri" w:eastAsia="Calibri" w:hAnsi="Calibri"/>
          <w:sz w:val="14"/>
          <w:szCs w:val="14"/>
          <w:color w:val="auto"/>
        </w:rPr>
        <w:t>Some of the same leases cover the gross and net acreage shown for both the Haynesville formation and the shallower Cotton Valley formation. Therefore, the sum of the gross and net acreage for both formations is not equal to the total gross and net acreage for Northwest Louisiana.</w:t>
      </w:r>
    </w:p>
    <w:p>
      <w:pPr>
        <w:spacing w:after="0" w:line="195" w:lineRule="exact"/>
        <w:rPr>
          <w:sz w:val="20"/>
          <w:szCs w:val="20"/>
          <w:color w:val="auto"/>
        </w:rPr>
      </w:pPr>
    </w:p>
    <w:p>
      <w:pPr>
        <w:ind w:left="720"/>
        <w:spacing w:after="0"/>
        <w:rPr>
          <w:sz w:val="20"/>
          <w:szCs w:val="20"/>
          <w:color w:val="auto"/>
        </w:rPr>
      </w:pPr>
      <w:r>
        <w:rPr>
          <w:rFonts w:ascii="Verdana" w:cs="Verdana" w:eastAsia="Verdana" w:hAnsi="Verdana"/>
          <w:sz w:val="20"/>
          <w:szCs w:val="20"/>
          <w:color w:val="214E93"/>
        </w:rPr>
        <w:t>UNDEVELOPED ACREAGE EXPIRATION</w:t>
      </w:r>
    </w:p>
    <w:p>
      <w:pPr>
        <w:spacing w:after="0" w:line="209" w:lineRule="exact"/>
        <w:rPr>
          <w:sz w:val="20"/>
          <w:szCs w:val="20"/>
          <w:color w:val="auto"/>
        </w:rPr>
      </w:pPr>
    </w:p>
    <w:p>
      <w:pPr>
        <w:ind w:left="720" w:right="60" w:firstLine="241"/>
        <w:spacing w:after="0" w:line="267" w:lineRule="auto"/>
        <w:rPr>
          <w:sz w:val="20"/>
          <w:szCs w:val="20"/>
          <w:color w:val="auto"/>
        </w:rPr>
      </w:pPr>
      <w:r>
        <w:rPr>
          <w:rFonts w:ascii="Calibri" w:cs="Calibri" w:eastAsia="Calibri" w:hAnsi="Calibri"/>
          <w:sz w:val="18"/>
          <w:szCs w:val="18"/>
          <w:color w:val="auto"/>
        </w:rPr>
        <w:t>The following table sets forth the approximate number of gross and net undeveloped acres at December 31, 2025 that will expire over the next five years by operating area unless production is established within the spacing units covering the acreage prior to the expiration dates, the existing leases are renewed prior to expiration or continued operations maintain the leases beyond the expiration of each respective primary term. Undeveloped acreage expiring in 2031 and beyond totals 3,400 net acres, all of which is in the Delaware Basin. All of our leasehold in the Haynesville and Cotton Valley plays in Northwest Louisiana was held by existing production at December 31, 2025.</w:t>
      </w:r>
    </w:p>
    <w:p>
      <w:pPr>
        <w:spacing w:after="0" w:line="76" w:lineRule="exact"/>
        <w:rPr>
          <w:sz w:val="20"/>
          <w:szCs w:val="20"/>
          <w:color w:val="auto"/>
        </w:rPr>
      </w:pPr>
    </w:p>
    <w:tbl>
      <w:tblPr>
        <w:tblLayout w:type="fixed"/>
        <w:tblInd w:w="720" w:type="dxa"/>
        <w:tblCellMar>
          <w:top w:w="0" w:type="dxa"/>
          <w:left w:w="0" w:type="dxa"/>
          <w:bottom w:w="0" w:type="dxa"/>
          <w:right w:w="0" w:type="dxa"/>
        </w:tblCellMar>
      </w:tblPr>
      <w:tr>
        <w:trPr>
          <w:trHeight w:val="185"/>
        </w:trPr>
        <w:tc>
          <w:tcPr>
            <w:tcW w:w="3140" w:type="dxa"/>
            <w:vAlign w:val="bottom"/>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Verdana" w:cs="Verdana" w:eastAsia="Verdana" w:hAnsi="Verdana"/>
                <w:sz w:val="14"/>
                <w:szCs w:val="14"/>
                <w:color w:val="auto"/>
                <w:w w:val="98"/>
              </w:rPr>
              <w:t>Acres</w:t>
            </w:r>
          </w:p>
        </w:tc>
        <w:tc>
          <w:tcPr>
            <w:tcW w:w="1380" w:type="dxa"/>
            <w:vAlign w:val="bottom"/>
            <w:gridSpan w:val="2"/>
          </w:tcPr>
          <w:p>
            <w:pPr>
              <w:jc w:val="center"/>
              <w:spacing w:after="0"/>
              <w:rPr>
                <w:sz w:val="20"/>
                <w:szCs w:val="20"/>
                <w:color w:val="auto"/>
              </w:rPr>
            </w:pPr>
            <w:r>
              <w:rPr>
                <w:rFonts w:ascii="Verdana" w:cs="Verdana" w:eastAsia="Verdana" w:hAnsi="Verdana"/>
                <w:sz w:val="14"/>
                <w:szCs w:val="14"/>
                <w:color w:val="auto"/>
                <w:w w:val="98"/>
              </w:rPr>
              <w:t>Acres</w:t>
            </w:r>
          </w:p>
        </w:tc>
        <w:tc>
          <w:tcPr>
            <w:tcW w:w="1400" w:type="dxa"/>
            <w:vAlign w:val="bottom"/>
            <w:gridSpan w:val="2"/>
          </w:tcPr>
          <w:p>
            <w:pPr>
              <w:jc w:val="center"/>
              <w:spacing w:after="0"/>
              <w:rPr>
                <w:sz w:val="20"/>
                <w:szCs w:val="20"/>
                <w:color w:val="auto"/>
              </w:rPr>
            </w:pPr>
            <w:r>
              <w:rPr>
                <w:rFonts w:ascii="Verdana" w:cs="Verdana" w:eastAsia="Verdana" w:hAnsi="Verdana"/>
                <w:sz w:val="14"/>
                <w:szCs w:val="14"/>
                <w:color w:val="auto"/>
                <w:w w:val="98"/>
              </w:rPr>
              <w:t>Acres</w:t>
            </w:r>
          </w:p>
        </w:tc>
        <w:tc>
          <w:tcPr>
            <w:tcW w:w="1200" w:type="dxa"/>
            <w:vAlign w:val="bottom"/>
            <w:gridSpan w:val="2"/>
          </w:tcPr>
          <w:p>
            <w:pPr>
              <w:jc w:val="center"/>
              <w:spacing w:after="0"/>
              <w:rPr>
                <w:sz w:val="20"/>
                <w:szCs w:val="20"/>
                <w:color w:val="auto"/>
              </w:rPr>
            </w:pPr>
            <w:r>
              <w:rPr>
                <w:rFonts w:ascii="Verdana" w:cs="Verdana" w:eastAsia="Verdana" w:hAnsi="Verdana"/>
                <w:sz w:val="14"/>
                <w:szCs w:val="14"/>
                <w:color w:val="auto"/>
                <w:w w:val="98"/>
              </w:rPr>
              <w:t>Acres</w:t>
            </w:r>
          </w:p>
        </w:tc>
        <w:tc>
          <w:tcPr>
            <w:tcW w:w="1160" w:type="dxa"/>
            <w:vAlign w:val="bottom"/>
            <w:gridSpan w:val="2"/>
          </w:tcPr>
          <w:p>
            <w:pPr>
              <w:jc w:val="center"/>
              <w:spacing w:after="0"/>
              <w:rPr>
                <w:sz w:val="20"/>
                <w:szCs w:val="20"/>
                <w:color w:val="auto"/>
              </w:rPr>
            </w:pPr>
            <w:r>
              <w:rPr>
                <w:rFonts w:ascii="Verdana" w:cs="Verdana" w:eastAsia="Verdana" w:hAnsi="Verdana"/>
                <w:sz w:val="14"/>
                <w:szCs w:val="14"/>
                <w:color w:val="auto"/>
                <w:w w:val="98"/>
              </w:rPr>
              <w:t>Acres</w:t>
            </w:r>
          </w:p>
        </w:tc>
      </w:tr>
      <w:tr>
        <w:trPr>
          <w:trHeight w:val="229"/>
        </w:trPr>
        <w:tc>
          <w:tcPr>
            <w:tcW w:w="3140" w:type="dxa"/>
            <w:vAlign w:val="bottom"/>
          </w:tcPr>
          <w:p>
            <w:pPr>
              <w:spacing w:after="0"/>
              <w:rPr>
                <w:sz w:val="19"/>
                <w:szCs w:val="19"/>
                <w:color w:val="auto"/>
              </w:rPr>
            </w:pPr>
          </w:p>
        </w:tc>
        <w:tc>
          <w:tcPr>
            <w:tcW w:w="1280" w:type="dxa"/>
            <w:vAlign w:val="bottom"/>
            <w:tcBorders>
              <w:bottom w:val="single" w:sz="8" w:color="214E93"/>
            </w:tcBorders>
            <w:gridSpan w:val="2"/>
          </w:tcPr>
          <w:p>
            <w:pPr>
              <w:jc w:val="center"/>
              <w:spacing w:after="0"/>
              <w:rPr>
                <w:sz w:val="20"/>
                <w:szCs w:val="20"/>
                <w:color w:val="auto"/>
              </w:rPr>
            </w:pPr>
            <w:r>
              <w:rPr>
                <w:rFonts w:ascii="Verdana" w:cs="Verdana" w:eastAsia="Verdana" w:hAnsi="Verdana"/>
                <w:sz w:val="14"/>
                <w:szCs w:val="14"/>
                <w:color w:val="auto"/>
                <w:w w:val="98"/>
              </w:rPr>
              <w:t>Expiring 2026</w:t>
            </w:r>
          </w:p>
        </w:tc>
        <w:tc>
          <w:tcPr>
            <w:tcW w:w="1380" w:type="dxa"/>
            <w:vAlign w:val="bottom"/>
            <w:tcBorders>
              <w:bottom w:val="single" w:sz="8" w:color="214E93"/>
            </w:tcBorders>
            <w:gridSpan w:val="2"/>
          </w:tcPr>
          <w:p>
            <w:pPr>
              <w:jc w:val="center"/>
              <w:spacing w:after="0"/>
              <w:rPr>
                <w:sz w:val="20"/>
                <w:szCs w:val="20"/>
                <w:color w:val="auto"/>
              </w:rPr>
            </w:pPr>
            <w:r>
              <w:rPr>
                <w:rFonts w:ascii="Verdana" w:cs="Verdana" w:eastAsia="Verdana" w:hAnsi="Verdana"/>
                <w:sz w:val="14"/>
                <w:szCs w:val="14"/>
                <w:color w:val="auto"/>
                <w:w w:val="98"/>
              </w:rPr>
              <w:t>Expiring 2027</w:t>
            </w:r>
          </w:p>
        </w:tc>
        <w:tc>
          <w:tcPr>
            <w:tcW w:w="1400" w:type="dxa"/>
            <w:vAlign w:val="bottom"/>
            <w:tcBorders>
              <w:bottom w:val="single" w:sz="8" w:color="214E93"/>
            </w:tcBorders>
            <w:gridSpan w:val="2"/>
          </w:tcPr>
          <w:p>
            <w:pPr>
              <w:jc w:val="center"/>
              <w:spacing w:after="0"/>
              <w:rPr>
                <w:sz w:val="20"/>
                <w:szCs w:val="20"/>
                <w:color w:val="auto"/>
              </w:rPr>
            </w:pPr>
            <w:r>
              <w:rPr>
                <w:rFonts w:ascii="Verdana" w:cs="Verdana" w:eastAsia="Verdana" w:hAnsi="Verdana"/>
                <w:sz w:val="14"/>
                <w:szCs w:val="14"/>
                <w:color w:val="auto"/>
                <w:w w:val="98"/>
              </w:rPr>
              <w:t>Expiring 2028</w:t>
            </w:r>
          </w:p>
        </w:tc>
        <w:tc>
          <w:tcPr>
            <w:tcW w:w="1200" w:type="dxa"/>
            <w:vAlign w:val="bottom"/>
            <w:tcBorders>
              <w:bottom w:val="single" w:sz="8" w:color="214E93"/>
            </w:tcBorders>
            <w:gridSpan w:val="2"/>
          </w:tcPr>
          <w:p>
            <w:pPr>
              <w:jc w:val="center"/>
              <w:spacing w:after="0"/>
              <w:rPr>
                <w:sz w:val="20"/>
                <w:szCs w:val="20"/>
                <w:color w:val="auto"/>
              </w:rPr>
            </w:pPr>
            <w:r>
              <w:rPr>
                <w:rFonts w:ascii="Verdana" w:cs="Verdana" w:eastAsia="Verdana" w:hAnsi="Verdana"/>
                <w:sz w:val="14"/>
                <w:szCs w:val="14"/>
                <w:color w:val="auto"/>
                <w:w w:val="98"/>
              </w:rPr>
              <w:t>Expiring 2029</w:t>
            </w:r>
          </w:p>
        </w:tc>
        <w:tc>
          <w:tcPr>
            <w:tcW w:w="1160" w:type="dxa"/>
            <w:vAlign w:val="bottom"/>
            <w:tcBorders>
              <w:bottom w:val="single" w:sz="8" w:color="214E93"/>
            </w:tcBorders>
            <w:gridSpan w:val="2"/>
          </w:tcPr>
          <w:p>
            <w:pPr>
              <w:jc w:val="center"/>
              <w:spacing w:after="0"/>
              <w:rPr>
                <w:sz w:val="20"/>
                <w:szCs w:val="20"/>
                <w:color w:val="auto"/>
              </w:rPr>
            </w:pPr>
            <w:r>
              <w:rPr>
                <w:rFonts w:ascii="Verdana" w:cs="Verdana" w:eastAsia="Verdana" w:hAnsi="Verdana"/>
                <w:sz w:val="14"/>
                <w:szCs w:val="14"/>
                <w:color w:val="auto"/>
                <w:w w:val="98"/>
              </w:rPr>
              <w:t>Expiring 2030</w:t>
            </w:r>
          </w:p>
        </w:tc>
      </w:tr>
      <w:tr>
        <w:trPr>
          <w:trHeight w:val="201"/>
        </w:trPr>
        <w:tc>
          <w:tcPr>
            <w:tcW w:w="3140" w:type="dxa"/>
            <w:vAlign w:val="bottom"/>
            <w:tcBorders>
              <w:bottom w:val="single" w:sz="8" w:color="214E93"/>
            </w:tcBorders>
          </w:tcPr>
          <w:p>
            <w:pPr>
              <w:spacing w:after="0"/>
              <w:rPr>
                <w:sz w:val="17"/>
                <w:szCs w:val="17"/>
                <w:color w:val="auto"/>
              </w:rPr>
            </w:pPr>
          </w:p>
        </w:tc>
        <w:tc>
          <w:tcPr>
            <w:tcW w:w="68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auto"/>
                <w:w w:val="99"/>
              </w:rPr>
              <w:t>Gross</w:t>
            </w:r>
          </w:p>
        </w:tc>
        <w:tc>
          <w:tcPr>
            <w:tcW w:w="60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auto"/>
                <w:w w:val="98"/>
              </w:rPr>
              <w:t>Net</w:t>
            </w:r>
          </w:p>
        </w:tc>
        <w:tc>
          <w:tcPr>
            <w:tcW w:w="68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auto"/>
                <w:w w:val="99"/>
              </w:rPr>
              <w:t>Gross</w:t>
            </w:r>
          </w:p>
        </w:tc>
        <w:tc>
          <w:tcPr>
            <w:tcW w:w="70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auto"/>
                <w:w w:val="98"/>
              </w:rPr>
              <w:t>Net</w:t>
            </w:r>
          </w:p>
        </w:tc>
        <w:tc>
          <w:tcPr>
            <w:tcW w:w="70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auto"/>
                <w:w w:val="94"/>
              </w:rPr>
              <w:t>Gross</w:t>
            </w:r>
          </w:p>
        </w:tc>
        <w:tc>
          <w:tcPr>
            <w:tcW w:w="70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auto"/>
                <w:w w:val="98"/>
              </w:rPr>
              <w:t>Net</w:t>
            </w:r>
          </w:p>
        </w:tc>
        <w:tc>
          <w:tcPr>
            <w:tcW w:w="600" w:type="dxa"/>
            <w:vAlign w:val="bottom"/>
            <w:tcBorders>
              <w:bottom w:val="single" w:sz="8" w:color="214E93"/>
            </w:tcBorders>
          </w:tcPr>
          <w:p>
            <w:pPr>
              <w:jc w:val="right"/>
              <w:ind w:right="49"/>
              <w:spacing w:after="0"/>
              <w:rPr>
                <w:sz w:val="20"/>
                <w:szCs w:val="20"/>
                <w:color w:val="auto"/>
              </w:rPr>
            </w:pPr>
            <w:r>
              <w:rPr>
                <w:rFonts w:ascii="Verdana" w:cs="Verdana" w:eastAsia="Verdana" w:hAnsi="Verdana"/>
                <w:sz w:val="14"/>
                <w:szCs w:val="14"/>
                <w:color w:val="auto"/>
              </w:rPr>
              <w:t>Gross</w:t>
            </w:r>
          </w:p>
        </w:tc>
        <w:tc>
          <w:tcPr>
            <w:tcW w:w="60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auto"/>
                <w:w w:val="98"/>
              </w:rPr>
              <w:t>Net</w:t>
            </w:r>
          </w:p>
        </w:tc>
        <w:tc>
          <w:tcPr>
            <w:tcW w:w="600" w:type="dxa"/>
            <w:vAlign w:val="bottom"/>
            <w:tcBorders>
              <w:bottom w:val="single" w:sz="8" w:color="214E93"/>
            </w:tcBorders>
          </w:tcPr>
          <w:p>
            <w:pPr>
              <w:jc w:val="right"/>
              <w:ind w:right="49"/>
              <w:spacing w:after="0"/>
              <w:rPr>
                <w:sz w:val="20"/>
                <w:szCs w:val="20"/>
                <w:color w:val="auto"/>
              </w:rPr>
            </w:pPr>
            <w:r>
              <w:rPr>
                <w:rFonts w:ascii="Verdana" w:cs="Verdana" w:eastAsia="Verdana" w:hAnsi="Verdana"/>
                <w:sz w:val="14"/>
                <w:szCs w:val="14"/>
                <w:color w:val="auto"/>
              </w:rPr>
              <w:t>Gross</w:t>
            </w:r>
          </w:p>
        </w:tc>
        <w:tc>
          <w:tcPr>
            <w:tcW w:w="56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auto"/>
                <w:w w:val="98"/>
              </w:rPr>
              <w:t>Net</w:t>
            </w:r>
          </w:p>
        </w:tc>
      </w:tr>
      <w:tr>
        <w:trPr>
          <w:trHeight w:val="211"/>
        </w:trPr>
        <w:tc>
          <w:tcPr>
            <w:tcW w:w="3140" w:type="dxa"/>
            <w:vAlign w:val="bottom"/>
          </w:tcPr>
          <w:p>
            <w:pPr>
              <w:ind w:left="40"/>
              <w:spacing w:after="0"/>
              <w:rPr>
                <w:sz w:val="20"/>
                <w:szCs w:val="20"/>
                <w:color w:val="auto"/>
              </w:rPr>
            </w:pPr>
            <w:r>
              <w:rPr>
                <w:rFonts w:ascii="Verdana" w:cs="Verdana" w:eastAsia="Verdana" w:hAnsi="Verdana"/>
                <w:sz w:val="16"/>
                <w:szCs w:val="16"/>
                <w:color w:val="auto"/>
              </w:rPr>
              <w:t>Southeast New Mexico/West Texas:</w:t>
            </w: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6"/>
        </w:trPr>
        <w:tc>
          <w:tcPr>
            <w:tcW w:w="3140" w:type="dxa"/>
            <w:vAlign w:val="bottom"/>
            <w:tcBorders>
              <w:bottom w:val="single" w:sz="8" w:color="auto"/>
            </w:tcBorders>
          </w:tcPr>
          <w:p>
            <w:pPr>
              <w:ind w:left="160"/>
              <w:spacing w:after="0"/>
              <w:rPr>
                <w:sz w:val="20"/>
                <w:szCs w:val="20"/>
                <w:color w:val="auto"/>
              </w:rPr>
            </w:pPr>
            <w:r>
              <w:rPr>
                <w:rFonts w:ascii="Verdana" w:cs="Verdana" w:eastAsia="Verdana" w:hAnsi="Verdana"/>
                <w:sz w:val="16"/>
                <w:szCs w:val="16"/>
                <w:color w:val="auto"/>
              </w:rPr>
              <w:t>Delaware Basin</w:t>
            </w:r>
            <w:r>
              <w:rPr>
                <w:rFonts w:ascii="Verdana" w:cs="Verdana" w:eastAsia="Verdana" w:hAnsi="Verdana"/>
                <w:sz w:val="20"/>
                <w:szCs w:val="20"/>
                <w:color w:val="auto"/>
                <w:vertAlign w:val="superscript"/>
              </w:rPr>
              <w:t>(1)</w:t>
            </w:r>
          </w:p>
        </w:tc>
        <w:tc>
          <w:tcPr>
            <w:tcW w:w="680" w:type="dxa"/>
            <w:vAlign w:val="bottom"/>
            <w:tcBorders>
              <w:bottom w:val="single" w:sz="8" w:color="auto"/>
            </w:tcBorders>
          </w:tcPr>
          <w:p>
            <w:pPr>
              <w:jc w:val="center"/>
              <w:spacing w:after="0"/>
              <w:rPr>
                <w:sz w:val="20"/>
                <w:szCs w:val="20"/>
                <w:color w:val="auto"/>
              </w:rPr>
            </w:pPr>
            <w:r>
              <w:rPr>
                <w:rFonts w:ascii="Verdana" w:cs="Verdana" w:eastAsia="Verdana" w:hAnsi="Verdana"/>
                <w:sz w:val="16"/>
                <w:szCs w:val="16"/>
                <w:color w:val="auto"/>
                <w:w w:val="98"/>
              </w:rPr>
              <w:t>11,000</w:t>
            </w:r>
          </w:p>
        </w:tc>
        <w:tc>
          <w:tcPr>
            <w:tcW w:w="600" w:type="dxa"/>
            <w:vAlign w:val="bottom"/>
            <w:tcBorders>
              <w:bottom w:val="single" w:sz="8" w:color="auto"/>
            </w:tcBorders>
          </w:tcPr>
          <w:p>
            <w:pPr>
              <w:jc w:val="center"/>
              <w:spacing w:after="0"/>
              <w:rPr>
                <w:sz w:val="20"/>
                <w:szCs w:val="20"/>
                <w:color w:val="auto"/>
              </w:rPr>
            </w:pPr>
            <w:r>
              <w:rPr>
                <w:rFonts w:ascii="Verdana" w:cs="Verdana" w:eastAsia="Verdana" w:hAnsi="Verdana"/>
                <w:sz w:val="16"/>
                <w:szCs w:val="16"/>
                <w:color w:val="auto"/>
                <w:w w:val="98"/>
              </w:rPr>
              <w:t>8,400</w:t>
            </w:r>
          </w:p>
        </w:tc>
        <w:tc>
          <w:tcPr>
            <w:tcW w:w="680" w:type="dxa"/>
            <w:vAlign w:val="bottom"/>
            <w:tcBorders>
              <w:bottom w:val="single" w:sz="8" w:color="auto"/>
            </w:tcBorders>
          </w:tcPr>
          <w:p>
            <w:pPr>
              <w:jc w:val="center"/>
              <w:spacing w:after="0"/>
              <w:rPr>
                <w:sz w:val="20"/>
                <w:szCs w:val="20"/>
                <w:color w:val="auto"/>
              </w:rPr>
            </w:pPr>
            <w:r>
              <w:rPr>
                <w:rFonts w:ascii="Verdana" w:cs="Verdana" w:eastAsia="Verdana" w:hAnsi="Verdana"/>
                <w:sz w:val="16"/>
                <w:szCs w:val="16"/>
                <w:color w:val="auto"/>
                <w:w w:val="98"/>
              </w:rPr>
              <w:t>15,900</w:t>
            </w:r>
          </w:p>
        </w:tc>
        <w:tc>
          <w:tcPr>
            <w:tcW w:w="700" w:type="dxa"/>
            <w:vAlign w:val="bottom"/>
            <w:tcBorders>
              <w:bottom w:val="single" w:sz="8" w:color="auto"/>
            </w:tcBorders>
          </w:tcPr>
          <w:p>
            <w:pPr>
              <w:jc w:val="center"/>
              <w:spacing w:after="0"/>
              <w:rPr>
                <w:sz w:val="20"/>
                <w:szCs w:val="20"/>
                <w:color w:val="auto"/>
              </w:rPr>
            </w:pPr>
            <w:r>
              <w:rPr>
                <w:rFonts w:ascii="Verdana" w:cs="Verdana" w:eastAsia="Verdana" w:hAnsi="Verdana"/>
                <w:sz w:val="16"/>
                <w:szCs w:val="16"/>
                <w:color w:val="auto"/>
                <w:w w:val="95"/>
              </w:rPr>
              <w:t>14,200</w:t>
            </w:r>
          </w:p>
        </w:tc>
        <w:tc>
          <w:tcPr>
            <w:tcW w:w="700" w:type="dxa"/>
            <w:vAlign w:val="bottom"/>
            <w:tcBorders>
              <w:bottom w:val="single" w:sz="8" w:color="auto"/>
            </w:tcBorders>
          </w:tcPr>
          <w:p>
            <w:pPr>
              <w:jc w:val="center"/>
              <w:spacing w:after="0"/>
              <w:rPr>
                <w:sz w:val="20"/>
                <w:szCs w:val="20"/>
                <w:color w:val="auto"/>
              </w:rPr>
            </w:pPr>
            <w:r>
              <w:rPr>
                <w:rFonts w:ascii="Verdana" w:cs="Verdana" w:eastAsia="Verdana" w:hAnsi="Verdana"/>
                <w:sz w:val="16"/>
                <w:szCs w:val="16"/>
                <w:color w:val="auto"/>
                <w:w w:val="98"/>
              </w:rPr>
              <w:t>33,900</w:t>
            </w:r>
          </w:p>
        </w:tc>
        <w:tc>
          <w:tcPr>
            <w:tcW w:w="1300" w:type="dxa"/>
            <w:vAlign w:val="bottom"/>
            <w:tcBorders>
              <w:bottom w:val="single" w:sz="8" w:color="auto"/>
            </w:tcBorders>
            <w:gridSpan w:val="2"/>
          </w:tcPr>
          <w:p>
            <w:pPr>
              <w:jc w:val="right"/>
              <w:ind w:right="9"/>
              <w:spacing w:after="0"/>
              <w:rPr>
                <w:sz w:val="20"/>
                <w:szCs w:val="20"/>
                <w:color w:val="auto"/>
              </w:rPr>
            </w:pPr>
            <w:r>
              <w:rPr>
                <w:rFonts w:ascii="Verdana" w:cs="Verdana" w:eastAsia="Verdana" w:hAnsi="Verdana"/>
                <w:sz w:val="16"/>
                <w:szCs w:val="16"/>
                <w:color w:val="auto"/>
              </w:rPr>
              <w:t>10,000  3,800</w:t>
            </w:r>
          </w:p>
        </w:tc>
        <w:tc>
          <w:tcPr>
            <w:tcW w:w="1200" w:type="dxa"/>
            <w:vAlign w:val="bottom"/>
            <w:tcBorders>
              <w:bottom w:val="single" w:sz="8" w:color="auto"/>
            </w:tcBorders>
            <w:gridSpan w:val="2"/>
          </w:tcPr>
          <w:p>
            <w:pPr>
              <w:jc w:val="right"/>
              <w:spacing w:after="0"/>
              <w:rPr>
                <w:sz w:val="20"/>
                <w:szCs w:val="20"/>
                <w:color w:val="auto"/>
              </w:rPr>
            </w:pPr>
            <w:r>
              <w:rPr>
                <w:rFonts w:ascii="Verdana" w:cs="Verdana" w:eastAsia="Verdana" w:hAnsi="Verdana"/>
                <w:sz w:val="16"/>
                <w:szCs w:val="16"/>
                <w:color w:val="auto"/>
              </w:rPr>
              <w:t>3,800  1,500</w:t>
            </w:r>
          </w:p>
        </w:tc>
        <w:tc>
          <w:tcPr>
            <w:tcW w:w="560" w:type="dxa"/>
            <w:vAlign w:val="bottom"/>
            <w:tcBorders>
              <w:bottom w:val="single" w:sz="8" w:color="auto"/>
            </w:tcBorders>
          </w:tcPr>
          <w:p>
            <w:pPr>
              <w:jc w:val="center"/>
              <w:spacing w:after="0"/>
              <w:rPr>
                <w:sz w:val="20"/>
                <w:szCs w:val="20"/>
                <w:color w:val="auto"/>
              </w:rPr>
            </w:pPr>
            <w:r>
              <w:rPr>
                <w:rFonts w:ascii="Verdana" w:cs="Verdana" w:eastAsia="Verdana" w:hAnsi="Verdana"/>
                <w:sz w:val="16"/>
                <w:szCs w:val="16"/>
                <w:color w:val="auto"/>
                <w:w w:val="98"/>
              </w:rPr>
              <w:t>1,500</w:t>
            </w:r>
          </w:p>
        </w:tc>
      </w:tr>
      <w:tr>
        <w:trPr>
          <w:trHeight w:val="211"/>
        </w:trPr>
        <w:tc>
          <w:tcPr>
            <w:tcW w:w="3140" w:type="dxa"/>
            <w:vAlign w:val="bottom"/>
            <w:tcBorders>
              <w:bottom w:val="single" w:sz="8" w:color="214E93"/>
            </w:tcBorders>
          </w:tcPr>
          <w:p>
            <w:pPr>
              <w:ind w:left="280"/>
              <w:spacing w:after="0"/>
              <w:rPr>
                <w:sz w:val="20"/>
                <w:szCs w:val="20"/>
                <w:color w:val="auto"/>
              </w:rPr>
            </w:pPr>
            <w:r>
              <w:rPr>
                <w:rFonts w:ascii="Verdana" w:cs="Verdana" w:eastAsia="Verdana" w:hAnsi="Verdana"/>
                <w:sz w:val="16"/>
                <w:szCs w:val="16"/>
                <w:color w:val="auto"/>
              </w:rPr>
              <w:t>Total</w:t>
            </w:r>
          </w:p>
        </w:tc>
        <w:tc>
          <w:tcPr>
            <w:tcW w:w="680" w:type="dxa"/>
            <w:vAlign w:val="bottom"/>
            <w:tcBorders>
              <w:bottom w:val="single" w:sz="8" w:color="214E93"/>
            </w:tcBorders>
          </w:tcPr>
          <w:p>
            <w:pPr>
              <w:jc w:val="center"/>
              <w:spacing w:after="0"/>
              <w:rPr>
                <w:sz w:val="20"/>
                <w:szCs w:val="20"/>
                <w:color w:val="auto"/>
              </w:rPr>
            </w:pPr>
            <w:r>
              <w:rPr>
                <w:rFonts w:ascii="Verdana" w:cs="Verdana" w:eastAsia="Verdana" w:hAnsi="Verdana"/>
                <w:sz w:val="16"/>
                <w:szCs w:val="16"/>
                <w:color w:val="auto"/>
                <w:w w:val="98"/>
              </w:rPr>
              <w:t>11,000</w:t>
            </w:r>
          </w:p>
        </w:tc>
        <w:tc>
          <w:tcPr>
            <w:tcW w:w="600" w:type="dxa"/>
            <w:vAlign w:val="bottom"/>
            <w:tcBorders>
              <w:bottom w:val="single" w:sz="8" w:color="214E93"/>
            </w:tcBorders>
          </w:tcPr>
          <w:p>
            <w:pPr>
              <w:jc w:val="center"/>
              <w:spacing w:after="0"/>
              <w:rPr>
                <w:sz w:val="20"/>
                <w:szCs w:val="20"/>
                <w:color w:val="auto"/>
              </w:rPr>
            </w:pPr>
            <w:r>
              <w:rPr>
                <w:rFonts w:ascii="Verdana" w:cs="Verdana" w:eastAsia="Verdana" w:hAnsi="Verdana"/>
                <w:sz w:val="16"/>
                <w:szCs w:val="16"/>
                <w:color w:val="auto"/>
                <w:w w:val="98"/>
              </w:rPr>
              <w:t>8,400</w:t>
            </w:r>
          </w:p>
        </w:tc>
        <w:tc>
          <w:tcPr>
            <w:tcW w:w="680" w:type="dxa"/>
            <w:vAlign w:val="bottom"/>
            <w:tcBorders>
              <w:bottom w:val="single" w:sz="8" w:color="214E93"/>
            </w:tcBorders>
          </w:tcPr>
          <w:p>
            <w:pPr>
              <w:jc w:val="center"/>
              <w:spacing w:after="0"/>
              <w:rPr>
                <w:sz w:val="20"/>
                <w:szCs w:val="20"/>
                <w:color w:val="auto"/>
              </w:rPr>
            </w:pPr>
            <w:r>
              <w:rPr>
                <w:rFonts w:ascii="Verdana" w:cs="Verdana" w:eastAsia="Verdana" w:hAnsi="Verdana"/>
                <w:sz w:val="16"/>
                <w:szCs w:val="16"/>
                <w:color w:val="auto"/>
                <w:w w:val="98"/>
              </w:rPr>
              <w:t>15,900</w:t>
            </w:r>
          </w:p>
        </w:tc>
        <w:tc>
          <w:tcPr>
            <w:tcW w:w="700" w:type="dxa"/>
            <w:vAlign w:val="bottom"/>
            <w:tcBorders>
              <w:bottom w:val="single" w:sz="8" w:color="214E93"/>
            </w:tcBorders>
          </w:tcPr>
          <w:p>
            <w:pPr>
              <w:jc w:val="center"/>
              <w:spacing w:after="0"/>
              <w:rPr>
                <w:sz w:val="20"/>
                <w:szCs w:val="20"/>
                <w:color w:val="auto"/>
              </w:rPr>
            </w:pPr>
            <w:r>
              <w:rPr>
                <w:rFonts w:ascii="Verdana" w:cs="Verdana" w:eastAsia="Verdana" w:hAnsi="Verdana"/>
                <w:sz w:val="16"/>
                <w:szCs w:val="16"/>
                <w:color w:val="auto"/>
                <w:w w:val="95"/>
              </w:rPr>
              <w:t>14,200</w:t>
            </w:r>
          </w:p>
        </w:tc>
        <w:tc>
          <w:tcPr>
            <w:tcW w:w="700" w:type="dxa"/>
            <w:vAlign w:val="bottom"/>
            <w:tcBorders>
              <w:bottom w:val="single" w:sz="8" w:color="214E93"/>
            </w:tcBorders>
          </w:tcPr>
          <w:p>
            <w:pPr>
              <w:jc w:val="center"/>
              <w:spacing w:after="0"/>
              <w:rPr>
                <w:sz w:val="20"/>
                <w:szCs w:val="20"/>
                <w:color w:val="auto"/>
              </w:rPr>
            </w:pPr>
            <w:r>
              <w:rPr>
                <w:rFonts w:ascii="Verdana" w:cs="Verdana" w:eastAsia="Verdana" w:hAnsi="Verdana"/>
                <w:sz w:val="16"/>
                <w:szCs w:val="16"/>
                <w:color w:val="auto"/>
                <w:w w:val="98"/>
              </w:rPr>
              <w:t>33,900</w:t>
            </w:r>
          </w:p>
        </w:tc>
        <w:tc>
          <w:tcPr>
            <w:tcW w:w="700" w:type="dxa"/>
            <w:vAlign w:val="bottom"/>
            <w:tcBorders>
              <w:bottom w:val="single" w:sz="8" w:color="214E93"/>
            </w:tcBorders>
          </w:tcPr>
          <w:p>
            <w:pPr>
              <w:jc w:val="right"/>
              <w:ind w:right="5"/>
              <w:spacing w:after="0"/>
              <w:rPr>
                <w:sz w:val="20"/>
                <w:szCs w:val="20"/>
                <w:color w:val="auto"/>
              </w:rPr>
            </w:pPr>
            <w:r>
              <w:rPr>
                <w:rFonts w:ascii="Verdana" w:cs="Verdana" w:eastAsia="Verdana" w:hAnsi="Verdana"/>
                <w:sz w:val="16"/>
                <w:szCs w:val="16"/>
                <w:color w:val="auto"/>
              </w:rPr>
              <w:t>10,000</w:t>
            </w:r>
          </w:p>
        </w:tc>
        <w:tc>
          <w:tcPr>
            <w:tcW w:w="600" w:type="dxa"/>
            <w:vAlign w:val="bottom"/>
            <w:tcBorders>
              <w:bottom w:val="single" w:sz="8" w:color="214E93"/>
            </w:tcBorders>
          </w:tcPr>
          <w:p>
            <w:pPr>
              <w:jc w:val="right"/>
              <w:ind w:right="9"/>
              <w:spacing w:after="0"/>
              <w:rPr>
                <w:sz w:val="20"/>
                <w:szCs w:val="20"/>
                <w:color w:val="auto"/>
              </w:rPr>
            </w:pPr>
            <w:r>
              <w:rPr>
                <w:rFonts w:ascii="Verdana" w:cs="Verdana" w:eastAsia="Verdana" w:hAnsi="Verdana"/>
                <w:sz w:val="16"/>
                <w:szCs w:val="16"/>
                <w:color w:val="auto"/>
              </w:rPr>
              <w:t>3,800</w:t>
            </w:r>
          </w:p>
        </w:tc>
        <w:tc>
          <w:tcPr>
            <w:tcW w:w="60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3,800</w:t>
            </w:r>
          </w:p>
        </w:tc>
        <w:tc>
          <w:tcPr>
            <w:tcW w:w="60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1,500</w:t>
            </w:r>
          </w:p>
        </w:tc>
        <w:tc>
          <w:tcPr>
            <w:tcW w:w="560" w:type="dxa"/>
            <w:vAlign w:val="bottom"/>
            <w:tcBorders>
              <w:bottom w:val="single" w:sz="8" w:color="214E93"/>
            </w:tcBorders>
          </w:tcPr>
          <w:p>
            <w:pPr>
              <w:jc w:val="center"/>
              <w:spacing w:after="0"/>
              <w:rPr>
                <w:sz w:val="20"/>
                <w:szCs w:val="20"/>
                <w:color w:val="auto"/>
              </w:rPr>
            </w:pPr>
            <w:r>
              <w:rPr>
                <w:rFonts w:ascii="Verdana" w:cs="Verdana" w:eastAsia="Verdana" w:hAnsi="Verdana"/>
                <w:sz w:val="16"/>
                <w:szCs w:val="16"/>
                <w:color w:val="auto"/>
                <w:w w:val="98"/>
              </w:rPr>
              <w:t>1,500</w:t>
            </w:r>
          </w:p>
        </w:tc>
      </w:tr>
    </w:tbl>
    <w:p>
      <w:pPr>
        <w:spacing w:after="0" w:line="20" w:lineRule="exact"/>
        <w:rPr>
          <w:sz w:val="20"/>
          <w:szCs w:val="20"/>
          <w:color w:val="auto"/>
        </w:rPr>
      </w:pPr>
    </w:p>
    <w:p>
      <w:pPr>
        <w:spacing w:after="0" w:line="119" w:lineRule="exact"/>
        <w:rPr>
          <w:sz w:val="20"/>
          <w:szCs w:val="20"/>
          <w:color w:val="auto"/>
        </w:rPr>
      </w:pPr>
    </w:p>
    <w:p>
      <w:pPr>
        <w:ind w:left="1200" w:right="120" w:hanging="350"/>
        <w:spacing w:after="0" w:line="228" w:lineRule="auto"/>
        <w:tabs>
          <w:tab w:leader="none" w:pos="1200" w:val="left"/>
        </w:tabs>
        <w:numPr>
          <w:ilvl w:val="0"/>
          <w:numId w:val="31"/>
        </w:numPr>
        <w:rPr>
          <w:rFonts w:ascii="Calibri" w:cs="Calibri" w:eastAsia="Calibri" w:hAnsi="Calibri"/>
          <w:sz w:val="14"/>
          <w:szCs w:val="14"/>
          <w:color w:val="auto"/>
        </w:rPr>
      </w:pPr>
      <w:r>
        <w:rPr>
          <w:rFonts w:ascii="Calibri" w:cs="Calibri" w:eastAsia="Calibri" w:hAnsi="Calibri"/>
          <w:sz w:val="14"/>
          <w:szCs w:val="14"/>
          <w:color w:val="auto"/>
        </w:rPr>
        <w:t>Approximately 60% of the acreage expiring in the Delaware Basin in the next five years is associated with our Twin Lakes asset area in northern Lea County, New Mexico. We expect to hold or extend portions of certain expiring acreage in the Delaware Basin through our future drilling activities or by paying an additional lease bonus, where applicable.</w:t>
      </w:r>
    </w:p>
    <w:p>
      <w:pPr>
        <w:spacing w:after="0" w:line="197" w:lineRule="exact"/>
        <w:rPr>
          <w:sz w:val="20"/>
          <w:szCs w:val="20"/>
          <w:color w:val="auto"/>
        </w:rPr>
      </w:pPr>
    </w:p>
    <w:p>
      <w:pPr>
        <w:ind w:left="720" w:right="60" w:firstLine="241"/>
        <w:spacing w:after="0" w:line="286" w:lineRule="auto"/>
        <w:rPr>
          <w:sz w:val="20"/>
          <w:szCs w:val="20"/>
          <w:color w:val="auto"/>
        </w:rPr>
      </w:pPr>
      <w:r>
        <w:rPr>
          <w:rFonts w:ascii="Calibri" w:cs="Calibri" w:eastAsia="Calibri" w:hAnsi="Calibri"/>
          <w:sz w:val="17"/>
          <w:szCs w:val="17"/>
          <w:color w:val="auto"/>
        </w:rPr>
        <w:t>Many of the leases comprising the acreage set forth in the table above will expire at the end of their respective primary terms unless operations are conducted to maintain the respective leases in effect beyond the expiration of the primary term or production from the acreage has been established prior to such date, in which event the lease will remain in effect in most cases until the cessation of production in commercial quantities. We also have options to extend some of our leases through additional lease bonus payments prior to the expiration of the primary term of such lease. In addition, we may attempt to secure a new lease upon the expiration of certain of our acreage; however, there may be third-party leases, or top leases, that become effective immediately if our leases expire at the end of their respective terms and production has not been established prior to such date or operations are not conducted to maintain the leases in effect beyond the primary term. As of December 31, 2025, our leases are primarily fee and state leases with primary terms of three to five years and federal leases with primary terms of ten years. We believe that our lease</w:t>
      </w:r>
    </w:p>
    <w:p>
      <w:pPr>
        <w:sectPr>
          <w:pgSz w:w="11880" w:h="15480" w:orient="portrait"/>
          <w:cols w:equalWidth="0" w:num="1">
            <w:col w:w="10300"/>
          </w:cols>
          <w:pgMar w:left="440" w:top="498"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300"/>
          </w:cols>
          <w:pgMar w:left="440" w:top="498" w:right="1140" w:bottom="0" w:gutter="0" w:footer="0" w:header="0"/>
          <w:type w:val="continuous"/>
        </w:sectPr>
      </w:pPr>
    </w:p>
    <w:bookmarkStart w:id="38" w:name="page39"/>
    <w:bookmarkEnd w:id="38"/>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25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920"/>
        <w:spacing w:after="0" w:line="281" w:lineRule="auto"/>
        <w:rPr>
          <w:sz w:val="20"/>
          <w:szCs w:val="20"/>
          <w:color w:val="auto"/>
        </w:rPr>
      </w:pPr>
      <w:r>
        <w:rPr>
          <w:rFonts w:ascii="Calibri" w:cs="Calibri" w:eastAsia="Calibri" w:hAnsi="Calibri"/>
          <w:sz w:val="17"/>
          <w:szCs w:val="17"/>
          <w:color w:val="auto"/>
        </w:rPr>
        <w:t>terms are similar to our competitors’ lease terms as they relate to both primary term and royalty interests. At December 31, 2025, less than 1% of our proved oil and natural gas reserves would be impacted by the expirations of this undeveloped acreage.</w:t>
      </w:r>
    </w:p>
    <w:p>
      <w:pPr>
        <w:spacing w:after="0" w:line="204" w:lineRule="exact"/>
        <w:rPr>
          <w:sz w:val="20"/>
          <w:szCs w:val="20"/>
          <w:color w:val="auto"/>
        </w:rPr>
      </w:pPr>
    </w:p>
    <w:p>
      <w:pPr>
        <w:spacing w:after="0"/>
        <w:rPr>
          <w:sz w:val="20"/>
          <w:szCs w:val="20"/>
          <w:color w:val="auto"/>
        </w:rPr>
      </w:pPr>
      <w:r>
        <w:rPr>
          <w:rFonts w:ascii="Verdana" w:cs="Verdana" w:eastAsia="Verdana" w:hAnsi="Verdana"/>
          <w:sz w:val="20"/>
          <w:szCs w:val="20"/>
          <w:color w:val="214E93"/>
        </w:rPr>
        <w:t>DRILLING RESULTS</w:t>
      </w:r>
    </w:p>
    <w:p>
      <w:pPr>
        <w:spacing w:after="0" w:line="192" w:lineRule="exact"/>
        <w:rPr>
          <w:sz w:val="20"/>
          <w:szCs w:val="20"/>
          <w:color w:val="auto"/>
        </w:rPr>
      </w:pPr>
    </w:p>
    <w:p>
      <w:pPr>
        <w:ind w:left="240"/>
        <w:spacing w:after="0"/>
        <w:rPr>
          <w:sz w:val="20"/>
          <w:szCs w:val="20"/>
          <w:color w:val="auto"/>
        </w:rPr>
      </w:pPr>
      <w:r>
        <w:rPr>
          <w:rFonts w:ascii="Calibri" w:cs="Calibri" w:eastAsia="Calibri" w:hAnsi="Calibri"/>
          <w:sz w:val="18"/>
          <w:szCs w:val="18"/>
          <w:color w:val="auto"/>
        </w:rPr>
        <w:t>The following table summarizes our drilling activity for the years ended December 31, 2025, 2024 and 2023.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80" w:type="dxa"/>
            <w:vAlign w:val="bottom"/>
          </w:tcPr>
          <w:p>
            <w:pPr>
              <w:spacing w:after="0"/>
              <w:rPr>
                <w:sz w:val="16"/>
                <w:szCs w:val="16"/>
                <w:color w:val="auto"/>
              </w:rPr>
            </w:pPr>
          </w:p>
        </w:tc>
        <w:tc>
          <w:tcPr>
            <w:tcW w:w="680" w:type="dxa"/>
            <w:vAlign w:val="bottom"/>
            <w:tcBorders>
              <w:bottom w:val="single" w:sz="8" w:color="214E93"/>
            </w:tcBorders>
          </w:tcPr>
          <w:p>
            <w:pPr>
              <w:spacing w:after="0"/>
              <w:rPr>
                <w:sz w:val="16"/>
                <w:szCs w:val="16"/>
                <w:color w:val="auto"/>
              </w:rPr>
            </w:pPr>
          </w:p>
        </w:tc>
        <w:tc>
          <w:tcPr>
            <w:tcW w:w="2840" w:type="dxa"/>
            <w:vAlign w:val="bottom"/>
            <w:tcBorders>
              <w:bottom w:val="single" w:sz="8" w:color="214E93"/>
            </w:tcBorders>
            <w:gridSpan w:val="6"/>
          </w:tcPr>
          <w:p>
            <w:pPr>
              <w:jc w:val="right"/>
              <w:ind w:right="444"/>
              <w:spacing w:after="0"/>
              <w:rPr>
                <w:sz w:val="20"/>
                <w:szCs w:val="20"/>
                <w:color w:val="auto"/>
              </w:rPr>
            </w:pPr>
            <w:r>
              <w:rPr>
                <w:rFonts w:ascii="Verdana" w:cs="Verdana" w:eastAsia="Verdana" w:hAnsi="Verdana"/>
                <w:sz w:val="14"/>
                <w:szCs w:val="14"/>
                <w:color w:val="auto"/>
              </w:rPr>
              <w:t>Year Ended December 31,</w:t>
            </w:r>
          </w:p>
        </w:tc>
        <w:tc>
          <w:tcPr>
            <w:tcW w:w="660" w:type="dxa"/>
            <w:vAlign w:val="bottom"/>
            <w:tcBorders>
              <w:bottom w:val="single" w:sz="8" w:color="214E93"/>
            </w:tcBorders>
          </w:tcPr>
          <w:p>
            <w:pPr>
              <w:spacing w:after="0"/>
              <w:rPr>
                <w:sz w:val="16"/>
                <w:szCs w:val="16"/>
                <w:color w:val="auto"/>
              </w:rPr>
            </w:pPr>
          </w:p>
        </w:tc>
      </w:tr>
      <w:tr>
        <w:trPr>
          <w:trHeight w:val="201"/>
        </w:trPr>
        <w:tc>
          <w:tcPr>
            <w:tcW w:w="5380" w:type="dxa"/>
            <w:vAlign w:val="bottom"/>
          </w:tcPr>
          <w:p>
            <w:pPr>
              <w:spacing w:after="0"/>
              <w:rPr>
                <w:sz w:val="17"/>
                <w:szCs w:val="17"/>
                <w:color w:val="auto"/>
              </w:rPr>
            </w:pPr>
          </w:p>
        </w:tc>
        <w:tc>
          <w:tcPr>
            <w:tcW w:w="1340" w:type="dxa"/>
            <w:vAlign w:val="bottom"/>
            <w:gridSpan w:val="2"/>
          </w:tcPr>
          <w:p>
            <w:pPr>
              <w:jc w:val="right"/>
              <w:ind w:right="404"/>
              <w:spacing w:after="0"/>
              <w:rPr>
                <w:sz w:val="20"/>
                <w:szCs w:val="20"/>
                <w:color w:val="auto"/>
              </w:rPr>
            </w:pPr>
            <w:r>
              <w:rPr>
                <w:rFonts w:ascii="Verdana" w:cs="Verdana" w:eastAsia="Verdana" w:hAnsi="Verdana"/>
                <w:sz w:val="14"/>
                <w:szCs w:val="14"/>
                <w:color w:val="214E93"/>
              </w:rPr>
              <w:t>2025</w:t>
            </w:r>
          </w:p>
        </w:tc>
        <w:tc>
          <w:tcPr>
            <w:tcW w:w="1420" w:type="dxa"/>
            <w:vAlign w:val="bottom"/>
            <w:gridSpan w:val="3"/>
          </w:tcPr>
          <w:p>
            <w:pPr>
              <w:jc w:val="right"/>
              <w:ind w:right="423"/>
              <w:spacing w:after="0"/>
              <w:rPr>
                <w:sz w:val="20"/>
                <w:szCs w:val="20"/>
                <w:color w:val="auto"/>
              </w:rPr>
            </w:pPr>
            <w:r>
              <w:rPr>
                <w:rFonts w:ascii="Verdana" w:cs="Verdana" w:eastAsia="Verdana" w:hAnsi="Verdana"/>
                <w:sz w:val="14"/>
                <w:szCs w:val="14"/>
                <w:color w:val="auto"/>
              </w:rPr>
              <w:t>2024</w:t>
            </w:r>
          </w:p>
        </w:tc>
        <w:tc>
          <w:tcPr>
            <w:tcW w:w="1420" w:type="dxa"/>
            <w:vAlign w:val="bottom"/>
            <w:gridSpan w:val="3"/>
          </w:tcPr>
          <w:p>
            <w:pPr>
              <w:jc w:val="right"/>
              <w:ind w:right="423"/>
              <w:spacing w:after="0"/>
              <w:rPr>
                <w:sz w:val="20"/>
                <w:szCs w:val="20"/>
                <w:color w:val="auto"/>
              </w:rPr>
            </w:pPr>
            <w:r>
              <w:rPr>
                <w:rFonts w:ascii="Verdana" w:cs="Verdana" w:eastAsia="Verdana" w:hAnsi="Verdana"/>
                <w:sz w:val="14"/>
                <w:szCs w:val="14"/>
                <w:color w:val="auto"/>
              </w:rPr>
              <w:t>2023</w:t>
            </w:r>
          </w:p>
        </w:tc>
      </w:tr>
      <w:tr>
        <w:trPr>
          <w:trHeight w:val="201"/>
        </w:trPr>
        <w:tc>
          <w:tcPr>
            <w:tcW w:w="5380" w:type="dxa"/>
            <w:vAlign w:val="bottom"/>
            <w:tcBorders>
              <w:bottom w:val="single" w:sz="8" w:color="214E93"/>
            </w:tcBorders>
          </w:tcPr>
          <w:p>
            <w:pPr>
              <w:spacing w:after="0"/>
              <w:rPr>
                <w:sz w:val="17"/>
                <w:szCs w:val="17"/>
                <w:color w:val="auto"/>
              </w:rPr>
            </w:pPr>
          </w:p>
        </w:tc>
        <w:tc>
          <w:tcPr>
            <w:tcW w:w="680" w:type="dxa"/>
            <w:vAlign w:val="bottom"/>
            <w:tcBorders>
              <w:top w:val="single" w:sz="8" w:color="214E93"/>
              <w:bottom w:val="single" w:sz="8" w:color="214E93"/>
            </w:tcBorders>
          </w:tcPr>
          <w:p>
            <w:pPr>
              <w:jc w:val="right"/>
              <w:ind w:right="84"/>
              <w:spacing w:after="0"/>
              <w:rPr>
                <w:sz w:val="20"/>
                <w:szCs w:val="20"/>
                <w:color w:val="auto"/>
              </w:rPr>
            </w:pPr>
            <w:r>
              <w:rPr>
                <w:rFonts w:ascii="Verdana" w:cs="Verdana" w:eastAsia="Verdana" w:hAnsi="Verdana"/>
                <w:sz w:val="14"/>
                <w:szCs w:val="14"/>
                <w:color w:val="214E93"/>
              </w:rPr>
              <w:t>Gross</w:t>
            </w:r>
          </w:p>
        </w:tc>
        <w:tc>
          <w:tcPr>
            <w:tcW w:w="660" w:type="dxa"/>
            <w:vAlign w:val="bottom"/>
            <w:tcBorders>
              <w:top w:val="single" w:sz="8" w:color="214E93"/>
              <w:bottom w:val="single" w:sz="8" w:color="214E93"/>
            </w:tcBorders>
          </w:tcPr>
          <w:p>
            <w:pPr>
              <w:jc w:val="right"/>
              <w:ind w:right="104"/>
              <w:spacing w:after="0"/>
              <w:rPr>
                <w:sz w:val="20"/>
                <w:szCs w:val="20"/>
                <w:color w:val="auto"/>
              </w:rPr>
            </w:pPr>
            <w:r>
              <w:rPr>
                <w:rFonts w:ascii="Verdana" w:cs="Verdana" w:eastAsia="Verdana" w:hAnsi="Verdana"/>
                <w:sz w:val="14"/>
                <w:szCs w:val="14"/>
                <w:color w:val="214E93"/>
              </w:rPr>
              <w:t>Net</w:t>
            </w:r>
          </w:p>
        </w:tc>
        <w:tc>
          <w:tcPr>
            <w:tcW w:w="80" w:type="dxa"/>
            <w:vAlign w:val="bottom"/>
            <w:tcBorders>
              <w:bottom w:val="single" w:sz="8" w:color="214E93"/>
            </w:tcBorders>
          </w:tcPr>
          <w:p>
            <w:pPr>
              <w:spacing w:after="0"/>
              <w:rPr>
                <w:sz w:val="17"/>
                <w:szCs w:val="17"/>
                <w:color w:val="auto"/>
              </w:rPr>
            </w:pPr>
          </w:p>
        </w:tc>
        <w:tc>
          <w:tcPr>
            <w:tcW w:w="680" w:type="dxa"/>
            <w:vAlign w:val="bottom"/>
            <w:tcBorders>
              <w:top w:val="single" w:sz="8" w:color="214E93"/>
              <w:bottom w:val="single" w:sz="8" w:color="214E93"/>
            </w:tcBorders>
          </w:tcPr>
          <w:p>
            <w:pPr>
              <w:jc w:val="right"/>
              <w:ind w:right="84"/>
              <w:spacing w:after="0"/>
              <w:rPr>
                <w:sz w:val="20"/>
                <w:szCs w:val="20"/>
                <w:color w:val="auto"/>
              </w:rPr>
            </w:pPr>
            <w:r>
              <w:rPr>
                <w:rFonts w:ascii="Verdana" w:cs="Verdana" w:eastAsia="Verdana" w:hAnsi="Verdana"/>
                <w:sz w:val="14"/>
                <w:szCs w:val="14"/>
                <w:color w:val="auto"/>
              </w:rPr>
              <w:t>Gross</w:t>
            </w:r>
          </w:p>
        </w:tc>
        <w:tc>
          <w:tcPr>
            <w:tcW w:w="660" w:type="dxa"/>
            <w:vAlign w:val="bottom"/>
            <w:tcBorders>
              <w:top w:val="single" w:sz="8" w:color="214E93"/>
              <w:bottom w:val="single" w:sz="8" w:color="214E93"/>
            </w:tcBorders>
          </w:tcPr>
          <w:p>
            <w:pPr>
              <w:jc w:val="right"/>
              <w:ind w:right="123"/>
              <w:spacing w:after="0"/>
              <w:rPr>
                <w:sz w:val="20"/>
                <w:szCs w:val="20"/>
                <w:color w:val="auto"/>
              </w:rPr>
            </w:pPr>
            <w:r>
              <w:rPr>
                <w:rFonts w:ascii="Verdana" w:cs="Verdana" w:eastAsia="Verdana" w:hAnsi="Verdana"/>
                <w:sz w:val="14"/>
                <w:szCs w:val="14"/>
                <w:color w:val="auto"/>
              </w:rPr>
              <w:t>Net</w:t>
            </w:r>
          </w:p>
        </w:tc>
        <w:tc>
          <w:tcPr>
            <w:tcW w:w="80" w:type="dxa"/>
            <w:vAlign w:val="bottom"/>
            <w:tcBorders>
              <w:bottom w:val="single" w:sz="8" w:color="214E93"/>
            </w:tcBorders>
          </w:tcPr>
          <w:p>
            <w:pPr>
              <w:spacing w:after="0"/>
              <w:rPr>
                <w:sz w:val="17"/>
                <w:szCs w:val="17"/>
                <w:color w:val="auto"/>
              </w:rPr>
            </w:pPr>
          </w:p>
        </w:tc>
        <w:tc>
          <w:tcPr>
            <w:tcW w:w="680" w:type="dxa"/>
            <w:vAlign w:val="bottom"/>
            <w:tcBorders>
              <w:top w:val="single" w:sz="8" w:color="214E93"/>
              <w:bottom w:val="single" w:sz="8" w:color="214E93"/>
            </w:tcBorders>
          </w:tcPr>
          <w:p>
            <w:pPr>
              <w:jc w:val="right"/>
              <w:ind w:right="84"/>
              <w:spacing w:after="0"/>
              <w:rPr>
                <w:sz w:val="20"/>
                <w:szCs w:val="20"/>
                <w:color w:val="auto"/>
              </w:rPr>
            </w:pPr>
            <w:r>
              <w:rPr>
                <w:rFonts w:ascii="Verdana" w:cs="Verdana" w:eastAsia="Verdana" w:hAnsi="Verdana"/>
                <w:sz w:val="14"/>
                <w:szCs w:val="14"/>
                <w:color w:val="auto"/>
              </w:rPr>
              <w:t>Gross</w:t>
            </w:r>
          </w:p>
        </w:tc>
        <w:tc>
          <w:tcPr>
            <w:tcW w:w="660" w:type="dxa"/>
            <w:vAlign w:val="bottom"/>
            <w:tcBorders>
              <w:top w:val="single" w:sz="8" w:color="214E93"/>
              <w:bottom w:val="single" w:sz="8" w:color="214E93"/>
            </w:tcBorders>
          </w:tcPr>
          <w:p>
            <w:pPr>
              <w:jc w:val="right"/>
              <w:ind w:right="123"/>
              <w:spacing w:after="0"/>
              <w:rPr>
                <w:sz w:val="20"/>
                <w:szCs w:val="20"/>
                <w:color w:val="auto"/>
              </w:rPr>
            </w:pPr>
            <w:r>
              <w:rPr>
                <w:rFonts w:ascii="Verdana" w:cs="Verdana" w:eastAsia="Verdana" w:hAnsi="Verdana"/>
                <w:sz w:val="14"/>
                <w:szCs w:val="14"/>
                <w:color w:val="auto"/>
              </w:rPr>
              <w:t>Net</w:t>
            </w:r>
          </w:p>
        </w:tc>
      </w:tr>
      <w:tr>
        <w:trPr>
          <w:trHeight w:val="211"/>
        </w:trPr>
        <w:tc>
          <w:tcPr>
            <w:tcW w:w="5380" w:type="dxa"/>
            <w:vAlign w:val="bottom"/>
          </w:tcPr>
          <w:p>
            <w:pPr>
              <w:ind w:left="40"/>
              <w:spacing w:after="0"/>
              <w:rPr>
                <w:sz w:val="20"/>
                <w:szCs w:val="20"/>
                <w:color w:val="auto"/>
              </w:rPr>
            </w:pPr>
            <w:r>
              <w:rPr>
                <w:rFonts w:ascii="Verdana" w:cs="Verdana" w:eastAsia="Verdana" w:hAnsi="Verdana"/>
                <w:sz w:val="16"/>
                <w:szCs w:val="16"/>
                <w:color w:val="auto"/>
              </w:rPr>
              <w:t>Development Wells</w:t>
            </w: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5"/>
        </w:trPr>
        <w:tc>
          <w:tcPr>
            <w:tcW w:w="5380" w:type="dxa"/>
            <w:vAlign w:val="bottom"/>
          </w:tcPr>
          <w:p>
            <w:pPr>
              <w:ind w:left="160"/>
              <w:spacing w:after="0"/>
              <w:rPr>
                <w:sz w:val="20"/>
                <w:szCs w:val="20"/>
                <w:color w:val="auto"/>
              </w:rPr>
            </w:pPr>
            <w:r>
              <w:rPr>
                <w:rFonts w:ascii="Verdana" w:cs="Verdana" w:eastAsia="Verdana" w:hAnsi="Verdana"/>
                <w:sz w:val="16"/>
                <w:szCs w:val="16"/>
                <w:color w:val="auto"/>
              </w:rPr>
              <w:t>Productive</w:t>
            </w:r>
          </w:p>
        </w:tc>
        <w:tc>
          <w:tcPr>
            <w:tcW w:w="680" w:type="dxa"/>
            <w:vAlign w:val="bottom"/>
          </w:tcPr>
          <w:p>
            <w:pPr>
              <w:jc w:val="right"/>
              <w:ind w:right="44"/>
              <w:spacing w:after="0"/>
              <w:rPr>
                <w:sz w:val="20"/>
                <w:szCs w:val="20"/>
                <w:color w:val="auto"/>
              </w:rPr>
            </w:pPr>
            <w:r>
              <w:rPr>
                <w:rFonts w:ascii="Verdana" w:cs="Verdana" w:eastAsia="Verdana" w:hAnsi="Verdana"/>
                <w:sz w:val="16"/>
                <w:szCs w:val="16"/>
                <w:color w:val="214E93"/>
              </w:rPr>
              <w:t>254</w:t>
            </w:r>
          </w:p>
        </w:tc>
        <w:tc>
          <w:tcPr>
            <w:tcW w:w="660" w:type="dxa"/>
            <w:vAlign w:val="bottom"/>
          </w:tcPr>
          <w:p>
            <w:pPr>
              <w:jc w:val="right"/>
              <w:ind w:right="4"/>
              <w:spacing w:after="0"/>
              <w:rPr>
                <w:sz w:val="20"/>
                <w:szCs w:val="20"/>
                <w:color w:val="auto"/>
              </w:rPr>
            </w:pPr>
            <w:r>
              <w:rPr>
                <w:rFonts w:ascii="Verdana" w:cs="Verdana" w:eastAsia="Verdana" w:hAnsi="Verdana"/>
                <w:sz w:val="16"/>
                <w:szCs w:val="16"/>
                <w:color w:val="214E93"/>
              </w:rPr>
              <w:t>117.5</w:t>
            </w:r>
          </w:p>
        </w:tc>
        <w:tc>
          <w:tcPr>
            <w:tcW w:w="760" w:type="dxa"/>
            <w:vAlign w:val="bottom"/>
            <w:gridSpan w:val="2"/>
          </w:tcPr>
          <w:p>
            <w:pPr>
              <w:jc w:val="right"/>
              <w:ind w:right="44"/>
              <w:spacing w:after="0"/>
              <w:rPr>
                <w:sz w:val="20"/>
                <w:szCs w:val="20"/>
                <w:color w:val="auto"/>
              </w:rPr>
            </w:pPr>
            <w:r>
              <w:rPr>
                <w:rFonts w:ascii="Verdana" w:cs="Verdana" w:eastAsia="Verdana" w:hAnsi="Verdana"/>
                <w:sz w:val="16"/>
                <w:szCs w:val="16"/>
                <w:color w:val="131313"/>
              </w:rPr>
              <w:t>253</w:t>
            </w:r>
          </w:p>
        </w:tc>
        <w:tc>
          <w:tcPr>
            <w:tcW w:w="660" w:type="dxa"/>
            <w:vAlign w:val="bottom"/>
          </w:tcPr>
          <w:p>
            <w:pPr>
              <w:jc w:val="right"/>
              <w:ind w:right="3"/>
              <w:spacing w:after="0"/>
              <w:rPr>
                <w:sz w:val="20"/>
                <w:szCs w:val="20"/>
                <w:color w:val="auto"/>
              </w:rPr>
            </w:pPr>
            <w:r>
              <w:rPr>
                <w:rFonts w:ascii="Verdana" w:cs="Verdana" w:eastAsia="Verdana" w:hAnsi="Verdana"/>
                <w:sz w:val="16"/>
                <w:szCs w:val="16"/>
                <w:color w:val="131313"/>
              </w:rPr>
              <w:t>106.9</w:t>
            </w:r>
          </w:p>
        </w:tc>
        <w:tc>
          <w:tcPr>
            <w:tcW w:w="760" w:type="dxa"/>
            <w:vAlign w:val="bottom"/>
            <w:gridSpan w:val="2"/>
          </w:tcPr>
          <w:p>
            <w:pPr>
              <w:jc w:val="right"/>
              <w:ind w:right="64"/>
              <w:spacing w:after="0"/>
              <w:rPr>
                <w:sz w:val="20"/>
                <w:szCs w:val="20"/>
                <w:color w:val="auto"/>
              </w:rPr>
            </w:pPr>
            <w:r>
              <w:rPr>
                <w:rFonts w:ascii="Verdana" w:cs="Verdana" w:eastAsia="Verdana" w:hAnsi="Verdana"/>
                <w:sz w:val="16"/>
                <w:szCs w:val="16"/>
                <w:color w:val="131313"/>
              </w:rPr>
              <w:t>222</w:t>
            </w:r>
          </w:p>
        </w:tc>
        <w:tc>
          <w:tcPr>
            <w:tcW w:w="660" w:type="dxa"/>
            <w:vAlign w:val="bottom"/>
          </w:tcPr>
          <w:p>
            <w:pPr>
              <w:jc w:val="right"/>
              <w:ind w:right="3"/>
              <w:spacing w:after="0"/>
              <w:rPr>
                <w:sz w:val="20"/>
                <w:szCs w:val="20"/>
                <w:color w:val="auto"/>
              </w:rPr>
            </w:pPr>
            <w:r>
              <w:rPr>
                <w:rFonts w:ascii="Verdana" w:cs="Verdana" w:eastAsia="Verdana" w:hAnsi="Verdana"/>
                <w:sz w:val="16"/>
                <w:szCs w:val="16"/>
                <w:color w:val="131313"/>
              </w:rPr>
              <w:t>84.1</w:t>
            </w:r>
          </w:p>
        </w:tc>
      </w:tr>
      <w:tr>
        <w:trPr>
          <w:trHeight w:val="236"/>
        </w:trPr>
        <w:tc>
          <w:tcPr>
            <w:tcW w:w="5380" w:type="dxa"/>
            <w:vAlign w:val="bottom"/>
          </w:tcPr>
          <w:p>
            <w:pPr>
              <w:ind w:left="160"/>
              <w:spacing w:after="0"/>
              <w:rPr>
                <w:sz w:val="20"/>
                <w:szCs w:val="20"/>
                <w:color w:val="auto"/>
              </w:rPr>
            </w:pPr>
            <w:r>
              <w:rPr>
                <w:rFonts w:ascii="Verdana" w:cs="Verdana" w:eastAsia="Verdana" w:hAnsi="Verdana"/>
                <w:sz w:val="16"/>
                <w:szCs w:val="16"/>
                <w:color w:val="auto"/>
              </w:rPr>
              <w:t>Dry</w:t>
            </w:r>
          </w:p>
        </w:tc>
        <w:tc>
          <w:tcPr>
            <w:tcW w:w="680" w:type="dxa"/>
            <w:vAlign w:val="bottom"/>
          </w:tcPr>
          <w:p>
            <w:pPr>
              <w:jc w:val="right"/>
              <w:ind w:right="44"/>
              <w:spacing w:after="0"/>
              <w:rPr>
                <w:sz w:val="20"/>
                <w:szCs w:val="20"/>
                <w:color w:val="auto"/>
              </w:rPr>
            </w:pPr>
            <w:r>
              <w:rPr>
                <w:rFonts w:ascii="Verdana" w:cs="Verdana" w:eastAsia="Verdana" w:hAnsi="Verdana"/>
                <w:sz w:val="16"/>
                <w:szCs w:val="16"/>
                <w:color w:val="214E93"/>
              </w:rPr>
              <w:t>—</w:t>
            </w:r>
          </w:p>
        </w:tc>
        <w:tc>
          <w:tcPr>
            <w:tcW w:w="660" w:type="dxa"/>
            <w:vAlign w:val="bottom"/>
          </w:tcPr>
          <w:p>
            <w:pPr>
              <w:jc w:val="right"/>
              <w:ind w:right="4"/>
              <w:spacing w:after="0"/>
              <w:rPr>
                <w:sz w:val="20"/>
                <w:szCs w:val="20"/>
                <w:color w:val="auto"/>
              </w:rPr>
            </w:pPr>
            <w:r>
              <w:rPr>
                <w:rFonts w:ascii="Verdana" w:cs="Verdana" w:eastAsia="Verdana" w:hAnsi="Verdana"/>
                <w:sz w:val="16"/>
                <w:szCs w:val="16"/>
                <w:color w:val="214E93"/>
              </w:rPr>
              <w:t>—</w:t>
            </w:r>
          </w:p>
        </w:tc>
        <w:tc>
          <w:tcPr>
            <w:tcW w:w="80" w:type="dxa"/>
            <w:vAlign w:val="bottom"/>
          </w:tcPr>
          <w:p>
            <w:pPr>
              <w:spacing w:after="0"/>
              <w:rPr>
                <w:sz w:val="20"/>
                <w:szCs w:val="20"/>
                <w:color w:val="auto"/>
              </w:rPr>
            </w:pPr>
          </w:p>
        </w:tc>
        <w:tc>
          <w:tcPr>
            <w:tcW w:w="680" w:type="dxa"/>
            <w:vAlign w:val="bottom"/>
          </w:tcPr>
          <w:p>
            <w:pPr>
              <w:jc w:val="right"/>
              <w:ind w:right="44"/>
              <w:spacing w:after="0"/>
              <w:rPr>
                <w:sz w:val="20"/>
                <w:szCs w:val="20"/>
                <w:color w:val="auto"/>
              </w:rPr>
            </w:pPr>
            <w:r>
              <w:rPr>
                <w:rFonts w:ascii="Verdana" w:cs="Verdana" w:eastAsia="Verdana" w:hAnsi="Verdana"/>
                <w:sz w:val="16"/>
                <w:szCs w:val="16"/>
                <w:color w:val="131313"/>
              </w:rPr>
              <w:t>—</w:t>
            </w:r>
          </w:p>
        </w:tc>
        <w:tc>
          <w:tcPr>
            <w:tcW w:w="660" w:type="dxa"/>
            <w:vAlign w:val="bottom"/>
          </w:tcPr>
          <w:p>
            <w:pPr>
              <w:jc w:val="right"/>
              <w:ind w:right="3"/>
              <w:spacing w:after="0"/>
              <w:rPr>
                <w:sz w:val="20"/>
                <w:szCs w:val="20"/>
                <w:color w:val="auto"/>
              </w:rPr>
            </w:pPr>
            <w:r>
              <w:rPr>
                <w:rFonts w:ascii="Verdana" w:cs="Verdana" w:eastAsia="Verdana" w:hAnsi="Verdana"/>
                <w:sz w:val="16"/>
                <w:szCs w:val="16"/>
                <w:color w:val="131313"/>
              </w:rPr>
              <w:t>—</w:t>
            </w:r>
          </w:p>
        </w:tc>
        <w:tc>
          <w:tcPr>
            <w:tcW w:w="80" w:type="dxa"/>
            <w:vAlign w:val="bottom"/>
          </w:tcPr>
          <w:p>
            <w:pPr>
              <w:spacing w:after="0"/>
              <w:rPr>
                <w:sz w:val="20"/>
                <w:szCs w:val="20"/>
                <w:color w:val="auto"/>
              </w:rPr>
            </w:pPr>
          </w:p>
        </w:tc>
        <w:tc>
          <w:tcPr>
            <w:tcW w:w="680" w:type="dxa"/>
            <w:vAlign w:val="bottom"/>
          </w:tcPr>
          <w:p>
            <w:pPr>
              <w:jc w:val="right"/>
              <w:ind w:right="64"/>
              <w:spacing w:after="0"/>
              <w:rPr>
                <w:sz w:val="20"/>
                <w:szCs w:val="20"/>
                <w:color w:val="auto"/>
              </w:rPr>
            </w:pPr>
            <w:r>
              <w:rPr>
                <w:rFonts w:ascii="Verdana" w:cs="Verdana" w:eastAsia="Verdana" w:hAnsi="Verdana"/>
                <w:sz w:val="16"/>
                <w:szCs w:val="16"/>
                <w:color w:val="131313"/>
              </w:rPr>
              <w:t>—</w:t>
            </w:r>
          </w:p>
        </w:tc>
        <w:tc>
          <w:tcPr>
            <w:tcW w:w="660" w:type="dxa"/>
            <w:vAlign w:val="bottom"/>
          </w:tcPr>
          <w:p>
            <w:pPr>
              <w:jc w:val="right"/>
              <w:ind w:right="3"/>
              <w:spacing w:after="0"/>
              <w:rPr>
                <w:sz w:val="20"/>
                <w:szCs w:val="20"/>
                <w:color w:val="auto"/>
              </w:rPr>
            </w:pPr>
            <w:r>
              <w:rPr>
                <w:rFonts w:ascii="Verdana" w:cs="Verdana" w:eastAsia="Verdana" w:hAnsi="Verdana"/>
                <w:sz w:val="16"/>
                <w:szCs w:val="16"/>
                <w:color w:val="131313"/>
              </w:rPr>
              <w:t>—</w:t>
            </w:r>
          </w:p>
        </w:tc>
      </w:tr>
      <w:tr>
        <w:trPr>
          <w:trHeight w:val="234"/>
        </w:trPr>
        <w:tc>
          <w:tcPr>
            <w:tcW w:w="5380" w:type="dxa"/>
            <w:vAlign w:val="bottom"/>
          </w:tcPr>
          <w:p>
            <w:pPr>
              <w:ind w:left="40"/>
              <w:spacing w:after="0"/>
              <w:rPr>
                <w:sz w:val="20"/>
                <w:szCs w:val="20"/>
                <w:color w:val="auto"/>
              </w:rPr>
            </w:pPr>
            <w:r>
              <w:rPr>
                <w:rFonts w:ascii="Verdana" w:cs="Verdana" w:eastAsia="Verdana" w:hAnsi="Verdana"/>
                <w:sz w:val="16"/>
                <w:szCs w:val="16"/>
                <w:color w:val="auto"/>
              </w:rPr>
              <w:t>Exploration Wells</w:t>
            </w: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61"/>
        </w:trPr>
        <w:tc>
          <w:tcPr>
            <w:tcW w:w="5380" w:type="dxa"/>
            <w:vAlign w:val="bottom"/>
          </w:tcPr>
          <w:p>
            <w:pPr>
              <w:ind w:left="160"/>
              <w:spacing w:after="0"/>
              <w:rPr>
                <w:sz w:val="20"/>
                <w:szCs w:val="20"/>
                <w:color w:val="auto"/>
              </w:rPr>
            </w:pPr>
            <w:r>
              <w:rPr>
                <w:rFonts w:ascii="Verdana" w:cs="Verdana" w:eastAsia="Verdana" w:hAnsi="Verdana"/>
                <w:sz w:val="16"/>
                <w:szCs w:val="16"/>
                <w:color w:val="auto"/>
              </w:rPr>
              <w:t>Productive</w:t>
            </w:r>
            <w:r>
              <w:rPr>
                <w:rFonts w:ascii="Verdana" w:cs="Verdana" w:eastAsia="Verdana" w:hAnsi="Verdana"/>
                <w:sz w:val="20"/>
                <w:szCs w:val="20"/>
                <w:color w:val="auto"/>
                <w:vertAlign w:val="superscript"/>
              </w:rPr>
              <w:t>(1)</w:t>
            </w:r>
          </w:p>
        </w:tc>
        <w:tc>
          <w:tcPr>
            <w:tcW w:w="680" w:type="dxa"/>
            <w:vAlign w:val="bottom"/>
          </w:tcPr>
          <w:p>
            <w:pPr>
              <w:jc w:val="right"/>
              <w:ind w:right="44"/>
              <w:spacing w:after="0"/>
              <w:rPr>
                <w:sz w:val="20"/>
                <w:szCs w:val="20"/>
                <w:color w:val="auto"/>
              </w:rPr>
            </w:pPr>
            <w:r>
              <w:rPr>
                <w:rFonts w:ascii="Verdana" w:cs="Verdana" w:eastAsia="Verdana" w:hAnsi="Verdana"/>
                <w:sz w:val="16"/>
                <w:szCs w:val="16"/>
                <w:color w:val="214E93"/>
              </w:rPr>
              <w:t>16</w:t>
            </w:r>
          </w:p>
        </w:tc>
        <w:tc>
          <w:tcPr>
            <w:tcW w:w="660" w:type="dxa"/>
            <w:vAlign w:val="bottom"/>
          </w:tcPr>
          <w:p>
            <w:pPr>
              <w:jc w:val="right"/>
              <w:ind w:right="4"/>
              <w:spacing w:after="0"/>
              <w:rPr>
                <w:sz w:val="20"/>
                <w:szCs w:val="20"/>
                <w:color w:val="auto"/>
              </w:rPr>
            </w:pPr>
            <w:r>
              <w:rPr>
                <w:rFonts w:ascii="Verdana" w:cs="Verdana" w:eastAsia="Verdana" w:hAnsi="Verdana"/>
                <w:sz w:val="16"/>
                <w:szCs w:val="16"/>
                <w:color w:val="214E93"/>
              </w:rPr>
              <w:t>11.9</w:t>
            </w:r>
          </w:p>
        </w:tc>
        <w:tc>
          <w:tcPr>
            <w:tcW w:w="760" w:type="dxa"/>
            <w:vAlign w:val="bottom"/>
            <w:gridSpan w:val="2"/>
          </w:tcPr>
          <w:p>
            <w:pPr>
              <w:jc w:val="right"/>
              <w:ind w:right="44"/>
              <w:spacing w:after="0"/>
              <w:rPr>
                <w:sz w:val="20"/>
                <w:szCs w:val="20"/>
                <w:color w:val="auto"/>
              </w:rPr>
            </w:pPr>
            <w:r>
              <w:rPr>
                <w:rFonts w:ascii="Verdana" w:cs="Verdana" w:eastAsia="Verdana" w:hAnsi="Verdana"/>
                <w:sz w:val="16"/>
                <w:szCs w:val="16"/>
                <w:color w:val="131313"/>
              </w:rPr>
              <w:t>9</w:t>
            </w:r>
          </w:p>
        </w:tc>
        <w:tc>
          <w:tcPr>
            <w:tcW w:w="660" w:type="dxa"/>
            <w:vAlign w:val="bottom"/>
          </w:tcPr>
          <w:p>
            <w:pPr>
              <w:jc w:val="right"/>
              <w:ind w:right="3"/>
              <w:spacing w:after="0"/>
              <w:rPr>
                <w:sz w:val="20"/>
                <w:szCs w:val="20"/>
                <w:color w:val="auto"/>
              </w:rPr>
            </w:pPr>
            <w:r>
              <w:rPr>
                <w:rFonts w:ascii="Verdana" w:cs="Verdana" w:eastAsia="Verdana" w:hAnsi="Verdana"/>
                <w:sz w:val="16"/>
                <w:szCs w:val="16"/>
                <w:color w:val="131313"/>
              </w:rPr>
              <w:t>4.9</w:t>
            </w:r>
          </w:p>
        </w:tc>
        <w:tc>
          <w:tcPr>
            <w:tcW w:w="760" w:type="dxa"/>
            <w:vAlign w:val="bottom"/>
            <w:gridSpan w:val="2"/>
          </w:tcPr>
          <w:p>
            <w:pPr>
              <w:jc w:val="right"/>
              <w:ind w:right="64"/>
              <w:spacing w:after="0"/>
              <w:rPr>
                <w:sz w:val="20"/>
                <w:szCs w:val="20"/>
                <w:color w:val="auto"/>
              </w:rPr>
            </w:pPr>
            <w:r>
              <w:rPr>
                <w:rFonts w:ascii="Verdana" w:cs="Verdana" w:eastAsia="Verdana" w:hAnsi="Verdana"/>
                <w:sz w:val="16"/>
                <w:szCs w:val="16"/>
                <w:color w:val="131313"/>
              </w:rPr>
              <w:t>24</w:t>
            </w:r>
          </w:p>
        </w:tc>
        <w:tc>
          <w:tcPr>
            <w:tcW w:w="660" w:type="dxa"/>
            <w:vAlign w:val="bottom"/>
          </w:tcPr>
          <w:p>
            <w:pPr>
              <w:jc w:val="right"/>
              <w:ind w:right="3"/>
              <w:spacing w:after="0"/>
              <w:rPr>
                <w:sz w:val="20"/>
                <w:szCs w:val="20"/>
                <w:color w:val="auto"/>
              </w:rPr>
            </w:pPr>
            <w:r>
              <w:rPr>
                <w:rFonts w:ascii="Verdana" w:cs="Verdana" w:eastAsia="Verdana" w:hAnsi="Verdana"/>
                <w:sz w:val="16"/>
                <w:szCs w:val="16"/>
                <w:color w:val="131313"/>
              </w:rPr>
              <w:t>16.9</w:t>
            </w:r>
          </w:p>
        </w:tc>
      </w:tr>
      <w:tr>
        <w:trPr>
          <w:trHeight w:val="214"/>
        </w:trPr>
        <w:tc>
          <w:tcPr>
            <w:tcW w:w="5380" w:type="dxa"/>
            <w:vAlign w:val="bottom"/>
          </w:tcPr>
          <w:p>
            <w:pPr>
              <w:ind w:left="160"/>
              <w:spacing w:after="0"/>
              <w:rPr>
                <w:sz w:val="20"/>
                <w:szCs w:val="20"/>
                <w:color w:val="auto"/>
              </w:rPr>
            </w:pPr>
            <w:r>
              <w:rPr>
                <w:rFonts w:ascii="Verdana" w:cs="Verdana" w:eastAsia="Verdana" w:hAnsi="Verdana"/>
                <w:sz w:val="16"/>
                <w:szCs w:val="16"/>
                <w:color w:val="auto"/>
              </w:rPr>
              <w:t>Dry</w:t>
            </w:r>
          </w:p>
        </w:tc>
        <w:tc>
          <w:tcPr>
            <w:tcW w:w="680" w:type="dxa"/>
            <w:vAlign w:val="bottom"/>
          </w:tcPr>
          <w:p>
            <w:pPr>
              <w:jc w:val="right"/>
              <w:ind w:right="44"/>
              <w:spacing w:after="0"/>
              <w:rPr>
                <w:sz w:val="20"/>
                <w:szCs w:val="20"/>
                <w:color w:val="auto"/>
              </w:rPr>
            </w:pPr>
            <w:r>
              <w:rPr>
                <w:rFonts w:ascii="Verdana" w:cs="Verdana" w:eastAsia="Verdana" w:hAnsi="Verdana"/>
                <w:sz w:val="16"/>
                <w:szCs w:val="16"/>
                <w:color w:val="214E93"/>
              </w:rPr>
              <w:t>—</w:t>
            </w:r>
          </w:p>
        </w:tc>
        <w:tc>
          <w:tcPr>
            <w:tcW w:w="660" w:type="dxa"/>
            <w:vAlign w:val="bottom"/>
          </w:tcPr>
          <w:p>
            <w:pPr>
              <w:jc w:val="right"/>
              <w:ind w:right="4"/>
              <w:spacing w:after="0"/>
              <w:rPr>
                <w:sz w:val="20"/>
                <w:szCs w:val="20"/>
                <w:color w:val="auto"/>
              </w:rPr>
            </w:pPr>
            <w:r>
              <w:rPr>
                <w:rFonts w:ascii="Verdana" w:cs="Verdana" w:eastAsia="Verdana" w:hAnsi="Verdana"/>
                <w:sz w:val="16"/>
                <w:szCs w:val="16"/>
                <w:color w:val="214E93"/>
              </w:rPr>
              <w:t>—</w:t>
            </w:r>
          </w:p>
        </w:tc>
        <w:tc>
          <w:tcPr>
            <w:tcW w:w="80" w:type="dxa"/>
            <w:vAlign w:val="bottom"/>
          </w:tcPr>
          <w:p>
            <w:pPr>
              <w:spacing w:after="0"/>
              <w:rPr>
                <w:sz w:val="18"/>
                <w:szCs w:val="18"/>
                <w:color w:val="auto"/>
              </w:rPr>
            </w:pPr>
          </w:p>
        </w:tc>
        <w:tc>
          <w:tcPr>
            <w:tcW w:w="680" w:type="dxa"/>
            <w:vAlign w:val="bottom"/>
          </w:tcPr>
          <w:p>
            <w:pPr>
              <w:jc w:val="right"/>
              <w:ind w:right="44"/>
              <w:spacing w:after="0"/>
              <w:rPr>
                <w:sz w:val="20"/>
                <w:szCs w:val="20"/>
                <w:color w:val="auto"/>
              </w:rPr>
            </w:pPr>
            <w:r>
              <w:rPr>
                <w:rFonts w:ascii="Verdana" w:cs="Verdana" w:eastAsia="Verdana" w:hAnsi="Verdana"/>
                <w:sz w:val="16"/>
                <w:szCs w:val="16"/>
                <w:color w:val="131313"/>
              </w:rPr>
              <w:t>—</w:t>
            </w:r>
          </w:p>
        </w:tc>
        <w:tc>
          <w:tcPr>
            <w:tcW w:w="660" w:type="dxa"/>
            <w:vAlign w:val="bottom"/>
          </w:tcPr>
          <w:p>
            <w:pPr>
              <w:jc w:val="right"/>
              <w:ind w:right="3"/>
              <w:spacing w:after="0"/>
              <w:rPr>
                <w:sz w:val="20"/>
                <w:szCs w:val="20"/>
                <w:color w:val="auto"/>
              </w:rPr>
            </w:pPr>
            <w:r>
              <w:rPr>
                <w:rFonts w:ascii="Verdana" w:cs="Verdana" w:eastAsia="Verdana" w:hAnsi="Verdana"/>
                <w:sz w:val="16"/>
                <w:szCs w:val="16"/>
                <w:color w:val="131313"/>
              </w:rPr>
              <w:t>—</w:t>
            </w:r>
          </w:p>
        </w:tc>
        <w:tc>
          <w:tcPr>
            <w:tcW w:w="80" w:type="dxa"/>
            <w:vAlign w:val="bottom"/>
          </w:tcPr>
          <w:p>
            <w:pPr>
              <w:spacing w:after="0"/>
              <w:rPr>
                <w:sz w:val="18"/>
                <w:szCs w:val="18"/>
                <w:color w:val="auto"/>
              </w:rPr>
            </w:pPr>
          </w:p>
        </w:tc>
        <w:tc>
          <w:tcPr>
            <w:tcW w:w="680" w:type="dxa"/>
            <w:vAlign w:val="bottom"/>
          </w:tcPr>
          <w:p>
            <w:pPr>
              <w:jc w:val="right"/>
              <w:ind w:right="64"/>
              <w:spacing w:after="0"/>
              <w:rPr>
                <w:sz w:val="20"/>
                <w:szCs w:val="20"/>
                <w:color w:val="auto"/>
              </w:rPr>
            </w:pPr>
            <w:r>
              <w:rPr>
                <w:rFonts w:ascii="Verdana" w:cs="Verdana" w:eastAsia="Verdana" w:hAnsi="Verdana"/>
                <w:sz w:val="16"/>
                <w:szCs w:val="16"/>
                <w:color w:val="131313"/>
              </w:rPr>
              <w:t>—</w:t>
            </w:r>
          </w:p>
        </w:tc>
        <w:tc>
          <w:tcPr>
            <w:tcW w:w="660" w:type="dxa"/>
            <w:vAlign w:val="bottom"/>
          </w:tcPr>
          <w:p>
            <w:pPr>
              <w:jc w:val="right"/>
              <w:ind w:right="3"/>
              <w:spacing w:after="0"/>
              <w:rPr>
                <w:sz w:val="20"/>
                <w:szCs w:val="20"/>
                <w:color w:val="auto"/>
              </w:rPr>
            </w:pPr>
            <w:r>
              <w:rPr>
                <w:rFonts w:ascii="Verdana" w:cs="Verdana" w:eastAsia="Verdana" w:hAnsi="Verdana"/>
                <w:sz w:val="16"/>
                <w:szCs w:val="16"/>
                <w:color w:val="131313"/>
              </w:rPr>
              <w:t>—</w:t>
            </w:r>
          </w:p>
        </w:tc>
      </w:tr>
      <w:tr>
        <w:trPr>
          <w:trHeight w:val="234"/>
        </w:trPr>
        <w:tc>
          <w:tcPr>
            <w:tcW w:w="5380" w:type="dxa"/>
            <w:vAlign w:val="bottom"/>
          </w:tcPr>
          <w:p>
            <w:pPr>
              <w:ind w:left="40"/>
              <w:spacing w:after="0"/>
              <w:rPr>
                <w:sz w:val="20"/>
                <w:szCs w:val="20"/>
                <w:color w:val="auto"/>
              </w:rPr>
            </w:pPr>
            <w:r>
              <w:rPr>
                <w:rFonts w:ascii="Verdana" w:cs="Verdana" w:eastAsia="Verdana" w:hAnsi="Verdana"/>
                <w:sz w:val="16"/>
                <w:szCs w:val="16"/>
                <w:color w:val="auto"/>
              </w:rPr>
              <w:t>Total Wells</w:t>
            </w: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61"/>
        </w:trPr>
        <w:tc>
          <w:tcPr>
            <w:tcW w:w="5380" w:type="dxa"/>
            <w:vAlign w:val="bottom"/>
          </w:tcPr>
          <w:p>
            <w:pPr>
              <w:ind w:left="160"/>
              <w:spacing w:after="0"/>
              <w:rPr>
                <w:sz w:val="20"/>
                <w:szCs w:val="20"/>
                <w:color w:val="auto"/>
              </w:rPr>
            </w:pPr>
            <w:r>
              <w:rPr>
                <w:rFonts w:ascii="Verdana" w:cs="Verdana" w:eastAsia="Verdana" w:hAnsi="Verdana"/>
                <w:sz w:val="16"/>
                <w:szCs w:val="16"/>
                <w:color w:val="auto"/>
              </w:rPr>
              <w:t>Productive</w:t>
            </w:r>
            <w:r>
              <w:rPr>
                <w:rFonts w:ascii="Verdana" w:cs="Verdana" w:eastAsia="Verdana" w:hAnsi="Verdana"/>
                <w:sz w:val="20"/>
                <w:szCs w:val="20"/>
                <w:color w:val="auto"/>
                <w:vertAlign w:val="superscript"/>
              </w:rPr>
              <w:t>(2)</w:t>
            </w:r>
          </w:p>
        </w:tc>
        <w:tc>
          <w:tcPr>
            <w:tcW w:w="680" w:type="dxa"/>
            <w:vAlign w:val="bottom"/>
          </w:tcPr>
          <w:p>
            <w:pPr>
              <w:jc w:val="right"/>
              <w:ind w:right="44"/>
              <w:spacing w:after="0"/>
              <w:rPr>
                <w:sz w:val="20"/>
                <w:szCs w:val="20"/>
                <w:color w:val="auto"/>
              </w:rPr>
            </w:pPr>
            <w:r>
              <w:rPr>
                <w:rFonts w:ascii="Verdana" w:cs="Verdana" w:eastAsia="Verdana" w:hAnsi="Verdana"/>
                <w:sz w:val="16"/>
                <w:szCs w:val="16"/>
                <w:color w:val="214E93"/>
              </w:rPr>
              <w:t>270</w:t>
            </w:r>
          </w:p>
        </w:tc>
        <w:tc>
          <w:tcPr>
            <w:tcW w:w="660" w:type="dxa"/>
            <w:vAlign w:val="bottom"/>
          </w:tcPr>
          <w:p>
            <w:pPr>
              <w:jc w:val="right"/>
              <w:ind w:right="4"/>
              <w:spacing w:after="0"/>
              <w:rPr>
                <w:sz w:val="20"/>
                <w:szCs w:val="20"/>
                <w:color w:val="auto"/>
              </w:rPr>
            </w:pPr>
            <w:r>
              <w:rPr>
                <w:rFonts w:ascii="Verdana" w:cs="Verdana" w:eastAsia="Verdana" w:hAnsi="Verdana"/>
                <w:sz w:val="16"/>
                <w:szCs w:val="16"/>
                <w:color w:val="214E93"/>
              </w:rPr>
              <w:t>129.4</w:t>
            </w:r>
          </w:p>
        </w:tc>
        <w:tc>
          <w:tcPr>
            <w:tcW w:w="760" w:type="dxa"/>
            <w:vAlign w:val="bottom"/>
            <w:gridSpan w:val="2"/>
          </w:tcPr>
          <w:p>
            <w:pPr>
              <w:jc w:val="right"/>
              <w:ind w:right="44"/>
              <w:spacing w:after="0"/>
              <w:rPr>
                <w:sz w:val="20"/>
                <w:szCs w:val="20"/>
                <w:color w:val="auto"/>
              </w:rPr>
            </w:pPr>
            <w:r>
              <w:rPr>
                <w:rFonts w:ascii="Verdana" w:cs="Verdana" w:eastAsia="Verdana" w:hAnsi="Verdana"/>
                <w:sz w:val="16"/>
                <w:szCs w:val="16"/>
                <w:color w:val="131313"/>
              </w:rPr>
              <w:t>262</w:t>
            </w:r>
          </w:p>
        </w:tc>
        <w:tc>
          <w:tcPr>
            <w:tcW w:w="660" w:type="dxa"/>
            <w:vAlign w:val="bottom"/>
          </w:tcPr>
          <w:p>
            <w:pPr>
              <w:jc w:val="right"/>
              <w:ind w:right="3"/>
              <w:spacing w:after="0"/>
              <w:rPr>
                <w:sz w:val="20"/>
                <w:szCs w:val="20"/>
                <w:color w:val="auto"/>
              </w:rPr>
            </w:pPr>
            <w:r>
              <w:rPr>
                <w:rFonts w:ascii="Verdana" w:cs="Verdana" w:eastAsia="Verdana" w:hAnsi="Verdana"/>
                <w:sz w:val="16"/>
                <w:szCs w:val="16"/>
                <w:color w:val="131313"/>
              </w:rPr>
              <w:t>111.8</w:t>
            </w:r>
          </w:p>
        </w:tc>
        <w:tc>
          <w:tcPr>
            <w:tcW w:w="760" w:type="dxa"/>
            <w:vAlign w:val="bottom"/>
            <w:gridSpan w:val="2"/>
          </w:tcPr>
          <w:p>
            <w:pPr>
              <w:jc w:val="right"/>
              <w:ind w:right="64"/>
              <w:spacing w:after="0"/>
              <w:rPr>
                <w:sz w:val="20"/>
                <w:szCs w:val="20"/>
                <w:color w:val="auto"/>
              </w:rPr>
            </w:pPr>
            <w:r>
              <w:rPr>
                <w:rFonts w:ascii="Verdana" w:cs="Verdana" w:eastAsia="Verdana" w:hAnsi="Verdana"/>
                <w:sz w:val="16"/>
                <w:szCs w:val="16"/>
                <w:color w:val="131313"/>
              </w:rPr>
              <w:t>246</w:t>
            </w:r>
          </w:p>
        </w:tc>
        <w:tc>
          <w:tcPr>
            <w:tcW w:w="660" w:type="dxa"/>
            <w:vAlign w:val="bottom"/>
          </w:tcPr>
          <w:p>
            <w:pPr>
              <w:jc w:val="right"/>
              <w:ind w:right="3"/>
              <w:spacing w:after="0"/>
              <w:rPr>
                <w:sz w:val="20"/>
                <w:szCs w:val="20"/>
                <w:color w:val="auto"/>
              </w:rPr>
            </w:pPr>
            <w:r>
              <w:rPr>
                <w:rFonts w:ascii="Verdana" w:cs="Verdana" w:eastAsia="Verdana" w:hAnsi="Verdana"/>
                <w:sz w:val="16"/>
                <w:szCs w:val="16"/>
                <w:color w:val="131313"/>
              </w:rPr>
              <w:t>101.0</w:t>
            </w:r>
          </w:p>
        </w:tc>
      </w:tr>
      <w:tr>
        <w:trPr>
          <w:trHeight w:val="214"/>
        </w:trPr>
        <w:tc>
          <w:tcPr>
            <w:tcW w:w="5380" w:type="dxa"/>
            <w:vAlign w:val="bottom"/>
          </w:tcPr>
          <w:p>
            <w:pPr>
              <w:ind w:left="160"/>
              <w:spacing w:after="0"/>
              <w:rPr>
                <w:sz w:val="20"/>
                <w:szCs w:val="20"/>
                <w:color w:val="auto"/>
              </w:rPr>
            </w:pPr>
            <w:r>
              <w:rPr>
                <w:rFonts w:ascii="Verdana" w:cs="Verdana" w:eastAsia="Verdana" w:hAnsi="Verdana"/>
                <w:sz w:val="16"/>
                <w:szCs w:val="16"/>
                <w:color w:val="auto"/>
              </w:rPr>
              <w:t>Dry</w:t>
            </w:r>
          </w:p>
        </w:tc>
        <w:tc>
          <w:tcPr>
            <w:tcW w:w="680" w:type="dxa"/>
            <w:vAlign w:val="bottom"/>
          </w:tcPr>
          <w:p>
            <w:pPr>
              <w:jc w:val="right"/>
              <w:ind w:right="44"/>
              <w:spacing w:after="0"/>
              <w:rPr>
                <w:sz w:val="20"/>
                <w:szCs w:val="20"/>
                <w:color w:val="auto"/>
              </w:rPr>
            </w:pPr>
            <w:r>
              <w:rPr>
                <w:rFonts w:ascii="Verdana" w:cs="Verdana" w:eastAsia="Verdana" w:hAnsi="Verdana"/>
                <w:sz w:val="16"/>
                <w:szCs w:val="16"/>
                <w:color w:val="214E93"/>
              </w:rPr>
              <w:t>—</w:t>
            </w:r>
          </w:p>
        </w:tc>
        <w:tc>
          <w:tcPr>
            <w:tcW w:w="660" w:type="dxa"/>
            <w:vAlign w:val="bottom"/>
          </w:tcPr>
          <w:p>
            <w:pPr>
              <w:jc w:val="right"/>
              <w:ind w:right="4"/>
              <w:spacing w:after="0"/>
              <w:rPr>
                <w:sz w:val="20"/>
                <w:szCs w:val="20"/>
                <w:color w:val="auto"/>
              </w:rPr>
            </w:pPr>
            <w:r>
              <w:rPr>
                <w:rFonts w:ascii="Verdana" w:cs="Verdana" w:eastAsia="Verdana" w:hAnsi="Verdana"/>
                <w:sz w:val="16"/>
                <w:szCs w:val="16"/>
                <w:color w:val="214E93"/>
              </w:rPr>
              <w:t>—</w:t>
            </w:r>
          </w:p>
        </w:tc>
        <w:tc>
          <w:tcPr>
            <w:tcW w:w="80" w:type="dxa"/>
            <w:vAlign w:val="bottom"/>
          </w:tcPr>
          <w:p>
            <w:pPr>
              <w:spacing w:after="0"/>
              <w:rPr>
                <w:sz w:val="18"/>
                <w:szCs w:val="18"/>
                <w:color w:val="auto"/>
              </w:rPr>
            </w:pPr>
          </w:p>
        </w:tc>
        <w:tc>
          <w:tcPr>
            <w:tcW w:w="680" w:type="dxa"/>
            <w:vAlign w:val="bottom"/>
          </w:tcPr>
          <w:p>
            <w:pPr>
              <w:jc w:val="right"/>
              <w:ind w:right="44"/>
              <w:spacing w:after="0"/>
              <w:rPr>
                <w:sz w:val="20"/>
                <w:szCs w:val="20"/>
                <w:color w:val="auto"/>
              </w:rPr>
            </w:pPr>
            <w:r>
              <w:rPr>
                <w:rFonts w:ascii="Verdana" w:cs="Verdana" w:eastAsia="Verdana" w:hAnsi="Verdana"/>
                <w:sz w:val="16"/>
                <w:szCs w:val="16"/>
                <w:color w:val="131313"/>
              </w:rPr>
              <w:t>—</w:t>
            </w:r>
          </w:p>
        </w:tc>
        <w:tc>
          <w:tcPr>
            <w:tcW w:w="660" w:type="dxa"/>
            <w:vAlign w:val="bottom"/>
          </w:tcPr>
          <w:p>
            <w:pPr>
              <w:jc w:val="right"/>
              <w:ind w:right="3"/>
              <w:spacing w:after="0"/>
              <w:rPr>
                <w:sz w:val="20"/>
                <w:szCs w:val="20"/>
                <w:color w:val="auto"/>
              </w:rPr>
            </w:pPr>
            <w:r>
              <w:rPr>
                <w:rFonts w:ascii="Verdana" w:cs="Verdana" w:eastAsia="Verdana" w:hAnsi="Verdana"/>
                <w:sz w:val="16"/>
                <w:szCs w:val="16"/>
                <w:color w:val="131313"/>
              </w:rPr>
              <w:t>—</w:t>
            </w:r>
          </w:p>
        </w:tc>
        <w:tc>
          <w:tcPr>
            <w:tcW w:w="80" w:type="dxa"/>
            <w:vAlign w:val="bottom"/>
          </w:tcPr>
          <w:p>
            <w:pPr>
              <w:spacing w:after="0"/>
              <w:rPr>
                <w:sz w:val="18"/>
                <w:szCs w:val="18"/>
                <w:color w:val="auto"/>
              </w:rPr>
            </w:pPr>
          </w:p>
        </w:tc>
        <w:tc>
          <w:tcPr>
            <w:tcW w:w="680" w:type="dxa"/>
            <w:vAlign w:val="bottom"/>
          </w:tcPr>
          <w:p>
            <w:pPr>
              <w:jc w:val="right"/>
              <w:ind w:right="64"/>
              <w:spacing w:after="0"/>
              <w:rPr>
                <w:sz w:val="20"/>
                <w:szCs w:val="20"/>
                <w:color w:val="auto"/>
              </w:rPr>
            </w:pPr>
            <w:r>
              <w:rPr>
                <w:rFonts w:ascii="Verdana" w:cs="Verdana" w:eastAsia="Verdana" w:hAnsi="Verdana"/>
                <w:sz w:val="16"/>
                <w:szCs w:val="16"/>
                <w:color w:val="131313"/>
              </w:rPr>
              <w:t>—</w:t>
            </w:r>
          </w:p>
        </w:tc>
        <w:tc>
          <w:tcPr>
            <w:tcW w:w="660" w:type="dxa"/>
            <w:vAlign w:val="bottom"/>
          </w:tcPr>
          <w:p>
            <w:pPr>
              <w:jc w:val="right"/>
              <w:ind w:right="3"/>
              <w:spacing w:after="0"/>
              <w:rPr>
                <w:sz w:val="20"/>
                <w:szCs w:val="20"/>
                <w:color w:val="auto"/>
              </w:rPr>
            </w:pPr>
            <w:r>
              <w:rPr>
                <w:rFonts w:ascii="Verdana" w:cs="Verdana" w:eastAsia="Verdana" w:hAnsi="Verdana"/>
                <w:sz w:val="16"/>
                <w:szCs w:val="16"/>
                <w:color w:val="131313"/>
              </w:rPr>
              <w:t>—</w:t>
            </w:r>
          </w:p>
        </w:tc>
      </w:tr>
    </w:tbl>
    <w:p>
      <w:pPr>
        <w:spacing w:after="0" w:line="20" w:lineRule="exact"/>
        <w:rPr>
          <w:sz w:val="20"/>
          <w:szCs w:val="20"/>
          <w:color w:val="auto"/>
        </w:rPr>
      </w:pPr>
    </w:p>
    <w:p>
      <w:pPr>
        <w:spacing w:after="0" w:line="132" w:lineRule="exact"/>
        <w:rPr>
          <w:sz w:val="20"/>
          <w:szCs w:val="20"/>
          <w:color w:val="auto"/>
        </w:rPr>
      </w:pPr>
    </w:p>
    <w:p>
      <w:pPr>
        <w:ind w:left="480" w:hanging="350"/>
        <w:spacing w:after="0"/>
        <w:tabs>
          <w:tab w:leader="none" w:pos="480" w:val="left"/>
        </w:tabs>
        <w:numPr>
          <w:ilvl w:val="0"/>
          <w:numId w:val="32"/>
        </w:numPr>
        <w:rPr>
          <w:rFonts w:ascii="Calibri" w:cs="Calibri" w:eastAsia="Calibri" w:hAnsi="Calibri"/>
          <w:sz w:val="14"/>
          <w:szCs w:val="14"/>
          <w:color w:val="auto"/>
        </w:rPr>
      </w:pPr>
      <w:r>
        <w:rPr>
          <w:rFonts w:ascii="Calibri" w:cs="Calibri" w:eastAsia="Calibri" w:hAnsi="Calibri"/>
          <w:sz w:val="14"/>
          <w:szCs w:val="14"/>
          <w:color w:val="auto"/>
        </w:rPr>
        <w:t>All of these wells are extension wells.</w:t>
      </w:r>
    </w:p>
    <w:p>
      <w:pPr>
        <w:spacing w:after="0" w:line="73" w:lineRule="exact"/>
        <w:rPr>
          <w:rFonts w:ascii="Calibri" w:cs="Calibri" w:eastAsia="Calibri" w:hAnsi="Calibri"/>
          <w:sz w:val="14"/>
          <w:szCs w:val="14"/>
          <w:color w:val="auto"/>
        </w:rPr>
      </w:pPr>
    </w:p>
    <w:p>
      <w:pPr>
        <w:ind w:left="480" w:hanging="350"/>
        <w:spacing w:after="0"/>
        <w:tabs>
          <w:tab w:leader="none" w:pos="480" w:val="left"/>
        </w:tabs>
        <w:numPr>
          <w:ilvl w:val="0"/>
          <w:numId w:val="32"/>
        </w:numPr>
        <w:rPr>
          <w:rFonts w:ascii="Calibri" w:cs="Calibri" w:eastAsia="Calibri" w:hAnsi="Calibri"/>
          <w:sz w:val="14"/>
          <w:szCs w:val="14"/>
          <w:color w:val="auto"/>
        </w:rPr>
      </w:pPr>
      <w:r>
        <w:rPr>
          <w:rFonts w:ascii="Calibri" w:cs="Calibri" w:eastAsia="Calibri" w:hAnsi="Calibri"/>
          <w:sz w:val="14"/>
          <w:szCs w:val="14"/>
          <w:color w:val="auto"/>
        </w:rPr>
        <w:t>Includes three gross (1.5 net) vertical wells in 2024 and one gross (0.5 net) vertical well in 2023. We did not drill any vertical wells in 2025.</w:t>
      </w:r>
    </w:p>
    <w:p>
      <w:pPr>
        <w:spacing w:after="0" w:line="196" w:lineRule="exact"/>
        <w:rPr>
          <w:sz w:val="20"/>
          <w:szCs w:val="20"/>
          <w:color w:val="auto"/>
        </w:rPr>
      </w:pPr>
    </w:p>
    <w:p>
      <w:pPr>
        <w:ind w:right="1060" w:firstLine="241"/>
        <w:spacing w:after="0" w:line="252" w:lineRule="auto"/>
        <w:rPr>
          <w:sz w:val="20"/>
          <w:szCs w:val="20"/>
          <w:color w:val="auto"/>
        </w:rPr>
      </w:pPr>
      <w:r>
        <w:rPr>
          <w:rFonts w:ascii="Calibri" w:cs="Calibri" w:eastAsia="Calibri" w:hAnsi="Calibri"/>
          <w:sz w:val="18"/>
          <w:szCs w:val="18"/>
          <w:color w:val="auto"/>
        </w:rPr>
        <w:t>At December 31, 2025, we had a total of 150 gross (52.1 net) development wells and 11 gross (1.0 net) exploration wells that were in the process of being drilled, being completed or awaiting completion operations.</w:t>
      </w:r>
    </w:p>
    <w:p>
      <w:pPr>
        <w:spacing w:after="0" w:line="228" w:lineRule="exact"/>
        <w:rPr>
          <w:sz w:val="20"/>
          <w:szCs w:val="20"/>
          <w:color w:val="auto"/>
        </w:rPr>
      </w:pPr>
    </w:p>
    <w:p>
      <w:pPr>
        <w:spacing w:after="0"/>
        <w:rPr>
          <w:sz w:val="20"/>
          <w:szCs w:val="20"/>
          <w:color w:val="auto"/>
        </w:rPr>
      </w:pPr>
      <w:r>
        <w:rPr>
          <w:rFonts w:ascii="Verdana" w:cs="Verdana" w:eastAsia="Verdana" w:hAnsi="Verdana"/>
          <w:sz w:val="20"/>
          <w:szCs w:val="20"/>
          <w:color w:val="214E93"/>
        </w:rPr>
        <w:t>MARKETING AND CUSTOMERS</w:t>
      </w:r>
    </w:p>
    <w:p>
      <w:pPr>
        <w:spacing w:after="0" w:line="209" w:lineRule="exact"/>
        <w:rPr>
          <w:sz w:val="20"/>
          <w:szCs w:val="20"/>
          <w:color w:val="auto"/>
        </w:rPr>
      </w:pPr>
    </w:p>
    <w:p>
      <w:pPr>
        <w:ind w:right="880" w:firstLine="241"/>
        <w:spacing w:after="0" w:line="267" w:lineRule="auto"/>
        <w:rPr>
          <w:sz w:val="20"/>
          <w:szCs w:val="20"/>
          <w:color w:val="auto"/>
        </w:rPr>
      </w:pPr>
      <w:r>
        <w:rPr>
          <w:rFonts w:ascii="Calibri" w:cs="Calibri" w:eastAsia="Calibri" w:hAnsi="Calibri"/>
          <w:sz w:val="18"/>
          <w:szCs w:val="18"/>
          <w:color w:val="auto"/>
        </w:rPr>
        <w:t>Our crude oil is sold under both long-term and short-term oil purchase agreements with unaffiliated purchasers based on published price bulletins reflecting an established field posting price. As a consequence, the prices we receive for crude oil and our heavier liquid products move up and down in direct correlation with the oil market as it reacts to supply and demand factors. The prices of our lighter liquid products move up and down independently of any relationship between the crude oil and natural gas markets. Transportation costs related to moving crude oil and liquids are also generally deducted from the price received for crude oil and liquids.</w:t>
      </w:r>
    </w:p>
    <w:p>
      <w:pPr>
        <w:spacing w:after="0" w:line="217" w:lineRule="exact"/>
        <w:rPr>
          <w:sz w:val="20"/>
          <w:szCs w:val="20"/>
          <w:color w:val="auto"/>
        </w:rPr>
      </w:pPr>
    </w:p>
    <w:p>
      <w:pPr>
        <w:ind w:right="760" w:firstLine="241"/>
        <w:spacing w:after="0" w:line="285" w:lineRule="auto"/>
        <w:rPr>
          <w:sz w:val="20"/>
          <w:szCs w:val="20"/>
          <w:color w:val="auto"/>
        </w:rPr>
      </w:pPr>
      <w:r>
        <w:rPr>
          <w:rFonts w:ascii="Calibri" w:cs="Calibri" w:eastAsia="Calibri" w:hAnsi="Calibri"/>
          <w:sz w:val="17"/>
          <w:szCs w:val="17"/>
          <w:color w:val="auto"/>
        </w:rPr>
        <w:t>Our natural gas is sold under both long-term and short-term natural gas purchase agreements. Natural gas produced by us is sold at various delivery points to both unaffiliated independent marketing companies and unaffiliated midstream companies. The prices we receive are calculated based on various pipeline indices. When there is an opportunity to do so, we may have our natural gas processed at San Mateo’s or third parties’ processing facilities to extract liquid hydrocarbons from the natural gas. We are then paid for the extracted NGLs based on either a negotiated percentage of the proceeds that are generated from the sale of NGLs or other negotiated pricing arrangements using then-current market pricing less fixed rate processing, transportation and fractionation fees.</w:t>
      </w:r>
    </w:p>
    <w:p>
      <w:pPr>
        <w:spacing w:after="0" w:line="205" w:lineRule="exact"/>
        <w:rPr>
          <w:sz w:val="20"/>
          <w:szCs w:val="20"/>
          <w:color w:val="auto"/>
        </w:rPr>
      </w:pPr>
    </w:p>
    <w:p>
      <w:pPr>
        <w:ind w:right="740" w:firstLine="241"/>
        <w:spacing w:after="0" w:line="286" w:lineRule="auto"/>
        <w:rPr>
          <w:sz w:val="20"/>
          <w:szCs w:val="20"/>
          <w:color w:val="auto"/>
        </w:rPr>
      </w:pPr>
      <w:r>
        <w:rPr>
          <w:rFonts w:ascii="Calibri" w:cs="Calibri" w:eastAsia="Calibri" w:hAnsi="Calibri"/>
          <w:sz w:val="17"/>
          <w:szCs w:val="17"/>
          <w:color w:val="auto"/>
        </w:rPr>
        <w:t>The prices we receive for our oil, natural gas and NGL production fluctuate widely. Factors that, directly or indirectly, cause price fluctuations include: the domestic and foreign supply of, and demand for, oil, natural gas and NGLs; the actions of the Organization of Petroleum Exporting Countries, Russia and certain other oil-exporting countries (“OPEC+”) and state-controlled oil companies; the prices and availability of competitors’ supplies of oil and natural gas; the price and quantity of foreign imports and exports; the impact of U.S. dollar exchange rates; domestic and foreign governmental regulations and taxes; speculative trading of, and other financial market conditions affecting, oil and natural gas futures contracts; the availability, proximity and capacity of gathering, processing and transportation systems for oil, natural gas and NGLs and gathering and disposal systems for produced water; the availability of refining capacity; the prices and availability of alternative fuel and energy sources; weather conditions and natural disasters, including floods, fires, tornadoes, droughts, hurricanes, tropical storms and severe cold weather; political conditions or conflicts in or affecting oil, natural gas and NGL producing regions or countries, including the United States, the Middle East, South America, Russia, Ukraine and China; the ongoing military conflicts between Russia and Ukraine and in the Middle East, as well as the related actions of U.S. and other governments and governmental organizations relating to oil, natural gas and NGLs, including through sanctions, embargoes, import restrictions and commodity price caps; the threat of terrorism and the impact of military</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92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1160" w:top="498" w:right="440" w:bottom="0" w:gutter="0" w:footer="0" w:header="0"/>
          <w:type w:val="continuous"/>
        </w:sectPr>
      </w:pPr>
    </w:p>
    <w:bookmarkStart w:id="39" w:name="page40"/>
    <w:bookmarkEnd w:id="39"/>
    <w:p>
      <w:pPr>
        <w:spacing w:after="0"/>
        <w:tabs>
          <w:tab w:leader="none" w:pos="740" w:val="left"/>
        </w:tabs>
        <w:rPr>
          <w:sz w:val="20"/>
          <w:szCs w:val="20"/>
          <w:color w:val="auto"/>
        </w:rPr>
      </w:pPr>
      <w:r>
        <w:rPr>
          <w:rFonts w:ascii="Calibri" w:cs="Calibri" w:eastAsia="Calibri" w:hAnsi="Calibri"/>
          <w:sz w:val="18"/>
          <w:szCs w:val="18"/>
          <w:color w:val="auto"/>
        </w:rPr>
        <w:t>26</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20" w:right="40"/>
        <w:spacing w:after="0" w:line="269" w:lineRule="auto"/>
        <w:rPr>
          <w:sz w:val="20"/>
          <w:szCs w:val="20"/>
          <w:color w:val="auto"/>
        </w:rPr>
      </w:pPr>
      <w:r>
        <w:rPr>
          <w:rFonts w:ascii="Calibri" w:cs="Calibri" w:eastAsia="Calibri" w:hAnsi="Calibri"/>
          <w:sz w:val="18"/>
          <w:szCs w:val="18"/>
          <w:color w:val="auto"/>
        </w:rPr>
        <w:t>action and civil unrest; public pressure on, and legislative and regulatory interest within, federal, state and local governments to stop, significantly limit or regulate oil, natural gas and NGL operations, including hydraulic fracturing, flaring, venting and produced water handling and disposal activities; the level of global oil, natural gas and NGL inventories and exploration and production activity; the impact of energy conservation efforts; technological advances affecting energy consumption; tariffs, trade restrictions and other supply chain constraints; and overall worldwide economic conditions. Decreases in these commodity prices adversely affect the carrying value of our proved reserves and our revenues, profitability and cash flows. Short-term disruptions of our oil and natural gas production occur from time to time due to downstream pipeline system failure, capacity issues and scheduled or unscheduled maintenance, as well as maintenance and repairs involving our own well operations. These situations, if they occur, curtail our production capabilities and ability to maintain a steady source of revenue. See “Risk Factors—Risks Related to our Financial Condition—Our success is dependent on the prices of oil, natural gas and NGLs. Low oil, natural gas and NGL prices and the continued volatility in these prices may adversely affect our financial condition and our ability to meet our capital expenditure requirements and financial obligations.”</w:t>
      </w:r>
    </w:p>
    <w:p>
      <w:pPr>
        <w:spacing w:after="0" w:line="216" w:lineRule="exact"/>
        <w:rPr>
          <w:sz w:val="20"/>
          <w:szCs w:val="20"/>
          <w:color w:val="auto"/>
        </w:rPr>
      </w:pPr>
    </w:p>
    <w:p>
      <w:pPr>
        <w:ind w:left="720" w:firstLine="241"/>
        <w:spacing w:after="0" w:line="267" w:lineRule="auto"/>
        <w:rPr>
          <w:sz w:val="20"/>
          <w:szCs w:val="20"/>
          <w:color w:val="auto"/>
        </w:rPr>
      </w:pPr>
      <w:r>
        <w:rPr>
          <w:rFonts w:ascii="Calibri" w:cs="Calibri" w:eastAsia="Calibri" w:hAnsi="Calibri"/>
          <w:sz w:val="18"/>
          <w:szCs w:val="18"/>
          <w:color w:val="auto"/>
        </w:rPr>
        <w:t>The prices we receive for our oil and natural gas production often reflect a discount to the relevant benchmark prices, such as the NYMEX West Texas Intermediate (“WTI”) oil price or the NYMEX Henry Hub natural gas price. The difference between the benchmark price and the price we receive is called a differential. Increases in the differential between the benchmark price for oil and natural gas and the wellhead price we receive could adversely affect our business, financial condition, results of operations and cash flows. See “Risk Factors—Risks Related to our Financial Condition—A change in the differential between the NYMEX or other benchmark prices of oil and natural gas and the wellhead price we receive for our production could adversely affect our business, financial condition, results of operations and cash flows.”</w:t>
      </w:r>
    </w:p>
    <w:p>
      <w:pPr>
        <w:spacing w:after="0" w:line="220" w:lineRule="exact"/>
        <w:rPr>
          <w:sz w:val="20"/>
          <w:szCs w:val="20"/>
          <w:color w:val="auto"/>
        </w:rPr>
      </w:pPr>
    </w:p>
    <w:p>
      <w:pPr>
        <w:ind w:left="720" w:right="20" w:firstLine="241"/>
        <w:spacing w:after="0" w:line="285" w:lineRule="auto"/>
        <w:rPr>
          <w:sz w:val="20"/>
          <w:szCs w:val="20"/>
          <w:color w:val="auto"/>
        </w:rPr>
      </w:pPr>
      <w:r>
        <w:rPr>
          <w:rFonts w:ascii="Calibri" w:cs="Calibri" w:eastAsia="Calibri" w:hAnsi="Calibri"/>
          <w:sz w:val="17"/>
          <w:szCs w:val="17"/>
          <w:color w:val="auto"/>
        </w:rPr>
        <w:t>For the years ended December 31, 2025, 2024 and 2023, we had three significant purchasers that accounted for approximately 72%, 79% and 76%, respectively, of our total oil, natural gas and NGL revenues. If we lost one or more of these significant purchasers and were unable to sell our production to other purchasers on terms we consider acceptable, it could materially and adversely affect our business, financial condition, results of operations and cash flows. For further details regarding these purchasers, see Note 2 to the consolidated financial statements in this Annual Report. Such information is incorporated herein by reference.</w:t>
      </w:r>
    </w:p>
    <w:p>
      <w:pPr>
        <w:spacing w:after="0" w:line="202" w:lineRule="exact"/>
        <w:rPr>
          <w:sz w:val="20"/>
          <w:szCs w:val="20"/>
          <w:color w:val="auto"/>
        </w:rPr>
      </w:pPr>
    </w:p>
    <w:p>
      <w:pPr>
        <w:ind w:left="720"/>
        <w:spacing w:after="0"/>
        <w:rPr>
          <w:sz w:val="20"/>
          <w:szCs w:val="20"/>
          <w:color w:val="auto"/>
        </w:rPr>
      </w:pPr>
      <w:r>
        <w:rPr>
          <w:rFonts w:ascii="Verdana" w:cs="Verdana" w:eastAsia="Verdana" w:hAnsi="Verdana"/>
          <w:sz w:val="20"/>
          <w:szCs w:val="20"/>
          <w:color w:val="214E93"/>
        </w:rPr>
        <w:t>TITLE TO PROPERTIES</w:t>
      </w:r>
    </w:p>
    <w:p>
      <w:pPr>
        <w:spacing w:after="0" w:line="209" w:lineRule="exact"/>
        <w:rPr>
          <w:sz w:val="20"/>
          <w:szCs w:val="20"/>
          <w:color w:val="auto"/>
        </w:rPr>
      </w:pPr>
    </w:p>
    <w:p>
      <w:pPr>
        <w:ind w:left="720" w:firstLine="241"/>
        <w:spacing w:after="0" w:line="269" w:lineRule="auto"/>
        <w:rPr>
          <w:sz w:val="20"/>
          <w:szCs w:val="20"/>
          <w:color w:val="auto"/>
        </w:rPr>
      </w:pPr>
      <w:r>
        <w:rPr>
          <w:rFonts w:ascii="Calibri" w:cs="Calibri" w:eastAsia="Calibri" w:hAnsi="Calibri"/>
          <w:sz w:val="18"/>
          <w:szCs w:val="18"/>
          <w:color w:val="auto"/>
        </w:rPr>
        <w:t>We endeavor to ensure that title to our properties is in accordance with standards generally accepted in the oil and natural gas industry. While we rely upon the judgment of oil and natural gas lease brokers and landmen in ascertaining title for certain leasehold and mineral interest acquisitions, we typically obtain detailed title opinions prior to drilling an oil and natural gas well. Some of our acreage is subject to agreements that require the drilling of wells or the undertaking of other exploratory or development activities in order to retain our interests in the acreage. Our title to these contractual interests may be contingent upon our satisfactory fulfillment of such obligations. Some of our properties are also subject to customary royalty interests, liens incident to financing arrangements, operating agreements, taxes and other similar burdens that we believe will not materially interfere with the use and operation of these properties or affect the value thereof. Generally, we intend to conduct operations, make lease rental payments or produce oil and natural gas from wells in paying quantities, where required, prior to expiration of various time periods in order to avoid lease termination. See “Risk Factors—Risks Related to our Financial Condition—We may incur losses or costs as a result of title deficiencies in the properties in which we invest.”</w:t>
      </w:r>
    </w:p>
    <w:p>
      <w:pPr>
        <w:spacing w:after="0" w:line="214" w:lineRule="exact"/>
        <w:rPr>
          <w:sz w:val="20"/>
          <w:szCs w:val="20"/>
          <w:color w:val="auto"/>
        </w:rPr>
      </w:pPr>
    </w:p>
    <w:p>
      <w:pPr>
        <w:ind w:left="720" w:right="20" w:firstLine="241"/>
        <w:spacing w:after="0" w:line="267" w:lineRule="auto"/>
        <w:rPr>
          <w:sz w:val="20"/>
          <w:szCs w:val="20"/>
          <w:color w:val="auto"/>
        </w:rPr>
      </w:pPr>
      <w:r>
        <w:rPr>
          <w:rFonts w:ascii="Calibri" w:cs="Calibri" w:eastAsia="Calibri" w:hAnsi="Calibri"/>
          <w:sz w:val="18"/>
          <w:szCs w:val="18"/>
          <w:color w:val="auto"/>
        </w:rPr>
        <w:t>We believe that we have satisfactory title to all of our material assets. Although title to these properties is subject to customary encumbrances, such as customary interests generally retained in connection with the acquisition of real property, customary royalty interests and contract terms and restrictions, liens for current taxes and other burdens, easements, restrictions and minor encumbrances customary in the oil and natural gas industry, we believe that none of these liens, restrictions, easements, burdens or encumbrances will materially interfere with the use and operation of these properties in the conduct of our business. In addition, we believe that we have obtained sufficient right-of-way grants and permits from public authorities and private parties for us to operate our business.</w:t>
      </w:r>
    </w:p>
    <w:p>
      <w:pPr>
        <w:spacing w:after="0" w:line="219" w:lineRule="exact"/>
        <w:rPr>
          <w:sz w:val="20"/>
          <w:szCs w:val="20"/>
          <w:color w:val="auto"/>
        </w:rPr>
      </w:pPr>
    </w:p>
    <w:p>
      <w:pPr>
        <w:ind w:left="720"/>
        <w:spacing w:after="0"/>
        <w:rPr>
          <w:sz w:val="20"/>
          <w:szCs w:val="20"/>
          <w:color w:val="auto"/>
        </w:rPr>
      </w:pPr>
      <w:r>
        <w:rPr>
          <w:rFonts w:ascii="Verdana" w:cs="Verdana" w:eastAsia="Verdana" w:hAnsi="Verdana"/>
          <w:sz w:val="20"/>
          <w:szCs w:val="20"/>
          <w:color w:val="214E93"/>
        </w:rPr>
        <w:t>SEASONALITY</w:t>
      </w:r>
    </w:p>
    <w:p>
      <w:pPr>
        <w:spacing w:after="0" w:line="209" w:lineRule="exact"/>
        <w:rPr>
          <w:sz w:val="20"/>
          <w:szCs w:val="20"/>
          <w:color w:val="auto"/>
        </w:rPr>
      </w:pPr>
    </w:p>
    <w:p>
      <w:pPr>
        <w:ind w:left="720" w:right="120" w:firstLine="241"/>
        <w:spacing w:after="0" w:line="281" w:lineRule="auto"/>
        <w:rPr>
          <w:sz w:val="20"/>
          <w:szCs w:val="20"/>
          <w:color w:val="auto"/>
        </w:rPr>
      </w:pPr>
      <w:r>
        <w:rPr>
          <w:rFonts w:ascii="Calibri" w:cs="Calibri" w:eastAsia="Calibri" w:hAnsi="Calibri"/>
          <w:sz w:val="17"/>
          <w:szCs w:val="17"/>
          <w:color w:val="auto"/>
        </w:rPr>
        <w:t>Generally, but not always, the demand and price levels for natural gas increase during winter and decrease during summer. To lessen seasonal demand fluctuations, pipelines, utilities, local distribution companies and industrial users utilize natural gas storage</w:t>
      </w:r>
    </w:p>
    <w:p>
      <w:pPr>
        <w:sectPr>
          <w:pgSz w:w="11880" w:h="15480" w:orient="portrait"/>
          <w:cols w:equalWidth="0" w:num="1">
            <w:col w:w="10280"/>
          </w:cols>
          <w:pgMar w:left="44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440" w:top="498" w:right="1160" w:bottom="0" w:gutter="0" w:footer="0" w:header="0"/>
          <w:type w:val="continuous"/>
        </w:sectPr>
      </w:pPr>
    </w:p>
    <w:bookmarkStart w:id="40" w:name="page41"/>
    <w:bookmarkEnd w:id="40"/>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27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760"/>
        <w:spacing w:after="0" w:line="268" w:lineRule="auto"/>
        <w:rPr>
          <w:sz w:val="20"/>
          <w:szCs w:val="20"/>
          <w:color w:val="auto"/>
        </w:rPr>
      </w:pPr>
      <w:r>
        <w:rPr>
          <w:rFonts w:ascii="Calibri" w:cs="Calibri" w:eastAsia="Calibri" w:hAnsi="Calibri"/>
          <w:sz w:val="18"/>
          <w:szCs w:val="18"/>
          <w:color w:val="auto"/>
        </w:rPr>
        <w:t>facilities and forward purchase some of their anticipated winter requirements during the summer. However, increased summertime demand for electricity can place increased demand on storage volumes. Demand for oil and heating oil is also generally higher in the winter and the summer driving season, although oil prices are affected more significantly by global supply and demand. Seasonal anomalies, such as mild winters, sometimes lessen these fluctuations. Certain of our drilling, completion and other operations are also subject to seasonal limitations where equipment may not be available during periods of peak demand or where weather conditions and events result in delayed operations. See “Risk Factors—Risks Related to our Operations—Because our reserves and production are concentrated in a few core areas, problems with production in and markets for a particular area could have a material impact on our business.”</w:t>
      </w:r>
    </w:p>
    <w:p>
      <w:pPr>
        <w:spacing w:after="0" w:line="215" w:lineRule="exact"/>
        <w:rPr>
          <w:sz w:val="20"/>
          <w:szCs w:val="20"/>
          <w:color w:val="auto"/>
        </w:rPr>
      </w:pPr>
    </w:p>
    <w:p>
      <w:pPr>
        <w:spacing w:after="0"/>
        <w:rPr>
          <w:sz w:val="20"/>
          <w:szCs w:val="20"/>
          <w:color w:val="auto"/>
        </w:rPr>
      </w:pPr>
      <w:r>
        <w:rPr>
          <w:rFonts w:ascii="Verdana" w:cs="Verdana" w:eastAsia="Verdana" w:hAnsi="Verdana"/>
          <w:sz w:val="20"/>
          <w:szCs w:val="20"/>
          <w:color w:val="214E93"/>
        </w:rPr>
        <w:t>COMPETITION</w:t>
      </w:r>
    </w:p>
    <w:p>
      <w:pPr>
        <w:spacing w:after="0" w:line="209" w:lineRule="exact"/>
        <w:rPr>
          <w:sz w:val="20"/>
          <w:szCs w:val="20"/>
          <w:color w:val="auto"/>
        </w:rPr>
      </w:pPr>
    </w:p>
    <w:p>
      <w:pPr>
        <w:ind w:right="740" w:firstLine="241"/>
        <w:spacing w:after="0" w:line="268" w:lineRule="auto"/>
        <w:rPr>
          <w:sz w:val="20"/>
          <w:szCs w:val="20"/>
          <w:color w:val="auto"/>
        </w:rPr>
      </w:pPr>
      <w:r>
        <w:rPr>
          <w:rFonts w:ascii="Calibri" w:cs="Calibri" w:eastAsia="Calibri" w:hAnsi="Calibri"/>
          <w:sz w:val="18"/>
          <w:szCs w:val="18"/>
          <w:color w:val="auto"/>
        </w:rPr>
        <w:t>The oil and natural gas industry is highly competitive. We compete with major and independent oil and natural gas companies for exploration and development opportunities and acreage acquisitions as well as drilling rigs and other equipment and labor required to drill, complete, operate and develop our properties. We also compete with public and private midstream companies for natural gas gathering and processing opportunities, as well as produced water gathering and disposal and oil gathering and transportation activities in the areas in which we operate. In addition, competition in the midstream industry is based on the geographic location of facilities, business reputation, reliability and pricing arrangements for the services offered. San Mateo competes with other midstream companies that provide similar services in their areas of operations, and such companies may have legacy relationships with producers in those areas and may have a longer history of efficiency and reliability.</w:t>
      </w:r>
    </w:p>
    <w:p>
      <w:pPr>
        <w:spacing w:after="0" w:line="217" w:lineRule="exact"/>
        <w:rPr>
          <w:sz w:val="20"/>
          <w:szCs w:val="20"/>
          <w:color w:val="auto"/>
        </w:rPr>
      </w:pPr>
    </w:p>
    <w:p>
      <w:pPr>
        <w:ind w:right="900" w:firstLine="241"/>
        <w:spacing w:after="0" w:line="267" w:lineRule="auto"/>
        <w:rPr>
          <w:sz w:val="20"/>
          <w:szCs w:val="20"/>
          <w:color w:val="auto"/>
        </w:rPr>
      </w:pPr>
      <w:r>
        <w:rPr>
          <w:rFonts w:ascii="Calibri" w:cs="Calibri" w:eastAsia="Calibri" w:hAnsi="Calibri"/>
          <w:sz w:val="18"/>
          <w:szCs w:val="18"/>
          <w:color w:val="auto"/>
        </w:rPr>
        <w:t>Many of our competitors have substantially greater financial resources, staffs, facilities and other resources. In addition, larger competitors may be able to absorb the burden of any changes in federal, state and local laws and regulations more easily than we can, which could adversely affect our competitive position. These competitors may be willing and able to pay more for drilling rigs, leasehold and mineral acreage, productive oil and natural gas properties or midstream facilities and may be able to identify, evaluate, bid for and purchase a greater number of properties and prospects than we can. Our competitors may also be able to afford to purchase and operate their own drilling rigs and hydraulic fracturing equipment.</w:t>
      </w:r>
    </w:p>
    <w:p>
      <w:pPr>
        <w:spacing w:after="0" w:line="217" w:lineRule="exact"/>
        <w:rPr>
          <w:sz w:val="20"/>
          <w:szCs w:val="20"/>
          <w:color w:val="auto"/>
        </w:rPr>
      </w:pPr>
    </w:p>
    <w:p>
      <w:pPr>
        <w:ind w:right="760" w:firstLine="241"/>
        <w:spacing w:after="0" w:line="261" w:lineRule="auto"/>
        <w:rPr>
          <w:sz w:val="20"/>
          <w:szCs w:val="20"/>
          <w:color w:val="auto"/>
        </w:rPr>
      </w:pPr>
      <w:r>
        <w:rPr>
          <w:rFonts w:ascii="Calibri" w:cs="Calibri" w:eastAsia="Calibri" w:hAnsi="Calibri"/>
          <w:sz w:val="18"/>
          <w:szCs w:val="18"/>
          <w:color w:val="auto"/>
        </w:rPr>
        <w:t>Our ability to drill and explore for oil and natural gas, acquire properties and provide competitive midstream services will depend upon our ability to conduct operations, evaluate and select suitable properties and consummate transactions in this highly competitive environment. In addition, many of our competitors may have a longer history of operations.</w:t>
      </w:r>
    </w:p>
    <w:p>
      <w:pPr>
        <w:spacing w:after="0" w:line="223" w:lineRule="exact"/>
        <w:rPr>
          <w:sz w:val="20"/>
          <w:szCs w:val="20"/>
          <w:color w:val="auto"/>
        </w:rPr>
      </w:pPr>
    </w:p>
    <w:p>
      <w:pPr>
        <w:ind w:right="720" w:firstLine="241"/>
        <w:spacing w:after="0" w:line="266" w:lineRule="auto"/>
        <w:rPr>
          <w:sz w:val="20"/>
          <w:szCs w:val="20"/>
          <w:color w:val="auto"/>
        </w:rPr>
      </w:pPr>
      <w:r>
        <w:rPr>
          <w:rFonts w:ascii="Calibri" w:cs="Calibri" w:eastAsia="Calibri" w:hAnsi="Calibri"/>
          <w:sz w:val="18"/>
          <w:szCs w:val="18"/>
          <w:color w:val="auto"/>
        </w:rPr>
        <w:t>The oil and natural gas industry also competes with other energy-related industries in supplying the energy and fuel requirements of industrial, commercial and individual consumers. See “Risk Factors—Risks Related to Third Parties—Competition in the oil and natural gas industry is intense, making it more difficult for us to acquire properties, market oil and natural gas, provide midstream services and secure trained personnel, and our competitors may use superior technology and data resources that we may be unable to afford.”</w:t>
      </w:r>
    </w:p>
    <w:p>
      <w:pPr>
        <w:spacing w:after="0" w:line="216" w:lineRule="exact"/>
        <w:rPr>
          <w:sz w:val="20"/>
          <w:szCs w:val="20"/>
          <w:color w:val="auto"/>
        </w:rPr>
      </w:pPr>
    </w:p>
    <w:p>
      <w:pPr>
        <w:spacing w:after="0"/>
        <w:rPr>
          <w:sz w:val="20"/>
          <w:szCs w:val="20"/>
          <w:color w:val="auto"/>
        </w:rPr>
      </w:pPr>
      <w:r>
        <w:rPr>
          <w:rFonts w:ascii="Verdana" w:cs="Verdana" w:eastAsia="Verdana" w:hAnsi="Verdana"/>
          <w:sz w:val="20"/>
          <w:szCs w:val="20"/>
          <w:color w:val="214E93"/>
        </w:rPr>
        <w:t>ENVIRONMENTAL</w:t>
      </w:r>
    </w:p>
    <w:p>
      <w:pPr>
        <w:spacing w:after="0" w:line="196"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Emissions Mitigation</w:t>
      </w:r>
    </w:p>
    <w:p>
      <w:pPr>
        <w:spacing w:after="0" w:line="208" w:lineRule="exact"/>
        <w:rPr>
          <w:sz w:val="20"/>
          <w:szCs w:val="20"/>
          <w:color w:val="auto"/>
        </w:rPr>
      </w:pPr>
    </w:p>
    <w:p>
      <w:pPr>
        <w:ind w:right="760" w:firstLine="241"/>
        <w:spacing w:after="0" w:line="268" w:lineRule="auto"/>
        <w:rPr>
          <w:sz w:val="20"/>
          <w:szCs w:val="20"/>
          <w:color w:val="auto"/>
        </w:rPr>
      </w:pPr>
      <w:r>
        <w:rPr>
          <w:rFonts w:ascii="Calibri" w:cs="Calibri" w:eastAsia="Calibri" w:hAnsi="Calibri"/>
          <w:sz w:val="18"/>
          <w:szCs w:val="18"/>
          <w:color w:val="auto"/>
        </w:rPr>
        <w:t>We work to maximize the percentage of natural gas we capture from the production of each of our wells. Newly drilled wells are connected to natural gas pipelines that we expect to have sufficient reliability and capacity to support our production operations. We connect many of our wells to San Mateo’s natural gas gathering systems. This greatly reduces the need to flare natural gas. We design our production facilities and use advanced natural gas capture and control equipment during production, including the use of vapor recovery units (“VRU”), to maximize natural gas capture. VRUs enable us to collect and compress natural gas from lower pressure sources that might otherwise be flared. This reduces emissions and increases the volumes of natural gas that we can sell. When possible, we use centralized tank batteries and commingle production from multiple wells to take advantage of economies of scale to use these VRUs and other specialized equipment in our production facilities.</w:t>
      </w:r>
    </w:p>
    <w:p>
      <w:pPr>
        <w:spacing w:after="0" w:line="217" w:lineRule="exact"/>
        <w:rPr>
          <w:sz w:val="20"/>
          <w:szCs w:val="20"/>
          <w:color w:val="auto"/>
        </w:rPr>
      </w:pPr>
    </w:p>
    <w:p>
      <w:pPr>
        <w:ind w:right="780" w:firstLine="241"/>
        <w:spacing w:after="0" w:line="284" w:lineRule="auto"/>
        <w:rPr>
          <w:sz w:val="20"/>
          <w:szCs w:val="20"/>
          <w:color w:val="auto"/>
        </w:rPr>
      </w:pPr>
      <w:r>
        <w:rPr>
          <w:rFonts w:ascii="Calibri" w:cs="Calibri" w:eastAsia="Calibri" w:hAnsi="Calibri"/>
          <w:sz w:val="17"/>
          <w:szCs w:val="17"/>
          <w:color w:val="auto"/>
        </w:rPr>
        <w:t>Our field employees monitor our facilities and inspect for any necessary repairs or maintenance. In addition, we have implemented a leak detection and repair program that involves scheduled inspections for natural gas capture. These inspections are bolstered by our use of optical gas imaging cameras, which help to identify potential emissions that may not be visible to the naked eye. We have also implemented real-time remote monitoring of vapor control systems through Supervisory Control and Data</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92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1160" w:top="498" w:right="440" w:bottom="0" w:gutter="0" w:footer="0" w:header="0"/>
          <w:type w:val="continuous"/>
        </w:sectPr>
      </w:pPr>
    </w:p>
    <w:bookmarkStart w:id="41" w:name="page42"/>
    <w:bookmarkEnd w:id="41"/>
    <w:p>
      <w:pPr>
        <w:spacing w:after="0"/>
        <w:tabs>
          <w:tab w:leader="none" w:pos="740" w:val="left"/>
        </w:tabs>
        <w:rPr>
          <w:sz w:val="20"/>
          <w:szCs w:val="20"/>
          <w:color w:val="auto"/>
        </w:rPr>
      </w:pPr>
      <w:r>
        <w:rPr>
          <w:rFonts w:ascii="Calibri" w:cs="Calibri" w:eastAsia="Calibri" w:hAnsi="Calibri"/>
          <w:sz w:val="18"/>
          <w:szCs w:val="18"/>
          <w:color w:val="auto"/>
        </w:rPr>
        <w:t>28</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720" w:right="220"/>
        <w:spacing w:after="0" w:line="281" w:lineRule="auto"/>
        <w:rPr>
          <w:sz w:val="20"/>
          <w:szCs w:val="20"/>
          <w:color w:val="auto"/>
        </w:rPr>
      </w:pPr>
      <w:r>
        <w:rPr>
          <w:rFonts w:ascii="Calibri" w:cs="Calibri" w:eastAsia="Calibri" w:hAnsi="Calibri"/>
          <w:sz w:val="17"/>
          <w:szCs w:val="17"/>
          <w:color w:val="auto"/>
        </w:rPr>
        <w:t>Acquisition (“SCADA”) equipment at a number of our larger production facilities. These inspections are being conducted regularly, both by our staff and by third-party contractors, more frequently and at more locations than federal and state regulations require.</w:t>
      </w:r>
    </w:p>
    <w:p>
      <w:pPr>
        <w:spacing w:after="0" w:line="206" w:lineRule="exact"/>
        <w:rPr>
          <w:sz w:val="20"/>
          <w:szCs w:val="20"/>
          <w:color w:val="auto"/>
        </w:rPr>
      </w:pPr>
    </w:p>
    <w:p>
      <w:pPr>
        <w:ind w:left="720" w:right="280" w:firstLine="241"/>
        <w:spacing w:after="0" w:line="252" w:lineRule="auto"/>
        <w:rPr>
          <w:sz w:val="20"/>
          <w:szCs w:val="20"/>
          <w:color w:val="auto"/>
        </w:rPr>
      </w:pPr>
      <w:r>
        <w:rPr>
          <w:rFonts w:ascii="Calibri" w:cs="Calibri" w:eastAsia="Calibri" w:hAnsi="Calibri"/>
          <w:sz w:val="18"/>
          <w:szCs w:val="18"/>
          <w:color w:val="auto"/>
        </w:rPr>
        <w:t>Additionally, we connect many of our production facilities to electric grid power. Connecting to grid power allows us to forego using internal combustion-powered generators on-site, which further reduces emissions.</w:t>
      </w:r>
    </w:p>
    <w:p>
      <w:pPr>
        <w:spacing w:after="0" w:line="216" w:lineRule="exact"/>
        <w:rPr>
          <w:sz w:val="20"/>
          <w:szCs w:val="20"/>
          <w:color w:val="auto"/>
        </w:rPr>
      </w:pPr>
    </w:p>
    <w:p>
      <w:pPr>
        <w:ind w:left="720"/>
        <w:spacing w:after="0"/>
        <w:rPr>
          <w:sz w:val="20"/>
          <w:szCs w:val="20"/>
          <w:color w:val="auto"/>
        </w:rPr>
      </w:pPr>
      <w:r>
        <w:rPr>
          <w:rFonts w:ascii="Calibri" w:cs="Calibri" w:eastAsia="Calibri" w:hAnsi="Calibri"/>
          <w:sz w:val="19"/>
          <w:szCs w:val="19"/>
          <w:i w:val="1"/>
          <w:iCs w:val="1"/>
          <w:color w:val="214E93"/>
        </w:rPr>
        <w:t>Water Management</w:t>
      </w:r>
    </w:p>
    <w:p>
      <w:pPr>
        <w:spacing w:after="0" w:line="208" w:lineRule="exact"/>
        <w:rPr>
          <w:sz w:val="20"/>
          <w:szCs w:val="20"/>
          <w:color w:val="auto"/>
        </w:rPr>
      </w:pPr>
    </w:p>
    <w:p>
      <w:pPr>
        <w:ind w:left="720" w:right="20" w:firstLine="241"/>
        <w:spacing w:after="0" w:line="267" w:lineRule="auto"/>
        <w:rPr>
          <w:sz w:val="20"/>
          <w:szCs w:val="20"/>
          <w:color w:val="auto"/>
        </w:rPr>
      </w:pPr>
      <w:r>
        <w:rPr>
          <w:rFonts w:ascii="Calibri" w:cs="Calibri" w:eastAsia="Calibri" w:hAnsi="Calibri"/>
          <w:sz w:val="18"/>
          <w:szCs w:val="18"/>
          <w:color w:val="auto"/>
        </w:rPr>
        <w:t>Using improving technologies, where feasible, we are able to take produced water from our existing wells and from third-party systems, treat the water and then reuse that water in our completions operations on new wells. Use of recycled water saves significant amounts of fresh water that would otherwise have been used for hydraulic fracturing operations. As well as conserving fresh water, our use of recycled water in our completions operations reduces the amount of produced water that must be disposed. It also results in significant cost savings and efficiencies. In addition to using recycled water where feasible, we also use other sources of non-fresh water, which reduces the volume of fresh water used for our operations.</w:t>
      </w:r>
    </w:p>
    <w:p>
      <w:pPr>
        <w:spacing w:after="0" w:line="203" w:lineRule="exact"/>
        <w:rPr>
          <w:sz w:val="20"/>
          <w:szCs w:val="20"/>
          <w:color w:val="auto"/>
        </w:rPr>
      </w:pPr>
    </w:p>
    <w:p>
      <w:pPr>
        <w:ind w:left="720"/>
        <w:spacing w:after="0"/>
        <w:rPr>
          <w:sz w:val="20"/>
          <w:szCs w:val="20"/>
          <w:color w:val="auto"/>
        </w:rPr>
      </w:pPr>
      <w:r>
        <w:rPr>
          <w:rFonts w:ascii="Calibri" w:cs="Calibri" w:eastAsia="Calibri" w:hAnsi="Calibri"/>
          <w:sz w:val="19"/>
          <w:szCs w:val="19"/>
          <w:i w:val="1"/>
          <w:iCs w:val="1"/>
          <w:color w:val="214E93"/>
        </w:rPr>
        <w:t>Land Stewardship</w:t>
      </w:r>
    </w:p>
    <w:p>
      <w:pPr>
        <w:spacing w:after="0" w:line="208" w:lineRule="exact"/>
        <w:rPr>
          <w:sz w:val="20"/>
          <w:szCs w:val="20"/>
          <w:color w:val="auto"/>
        </w:rPr>
      </w:pPr>
    </w:p>
    <w:p>
      <w:pPr>
        <w:ind w:left="720" w:right="60" w:firstLine="241"/>
        <w:spacing w:after="0" w:line="268" w:lineRule="auto"/>
        <w:rPr>
          <w:sz w:val="20"/>
          <w:szCs w:val="20"/>
          <w:color w:val="auto"/>
        </w:rPr>
      </w:pPr>
      <w:r>
        <w:rPr>
          <w:rFonts w:ascii="Calibri" w:cs="Calibri" w:eastAsia="Calibri" w:hAnsi="Calibri"/>
          <w:sz w:val="18"/>
          <w:szCs w:val="18"/>
          <w:color w:val="auto"/>
        </w:rPr>
        <w:t>When feasible, we attempt to reduce our surface footprint by batch drilling wells and drilling longer laterals, both of which result in fewer required drilling pads, and by working with the various regulatory agencies, including the New Mexico Oil Conservation Division (the “NMOCD”) and the U.S. Department of Interior Bureau of Land Management (“BLM”), to obtain approval to commingle production from different wells into centralized tank batteries. We also take steps to ensure we conduct our operations in locations that minimize any potential disturbance to the habitats around which we operate. As part of that effort, we have entered into voluntary agreements with the U.S. Fish and Wildlife Service (the “USFWS”) and the Center of Excellence for Hazardous Materials Management to observe operational restrictions designed to protect certain wildlife. Additionally, for our federal locations and as otherwise warranted, we conduct wildlife, biology and archeology surveys and undertake reviews for caves, karsts and potential hydrology considerations.</w:t>
      </w:r>
    </w:p>
    <w:p>
      <w:pPr>
        <w:spacing w:after="0" w:line="219" w:lineRule="exact"/>
        <w:rPr>
          <w:sz w:val="20"/>
          <w:szCs w:val="20"/>
          <w:color w:val="auto"/>
        </w:rPr>
      </w:pPr>
    </w:p>
    <w:p>
      <w:pPr>
        <w:ind w:left="720" w:right="280" w:firstLine="241"/>
        <w:spacing w:after="0" w:line="264" w:lineRule="auto"/>
        <w:rPr>
          <w:sz w:val="20"/>
          <w:szCs w:val="20"/>
          <w:color w:val="auto"/>
        </w:rPr>
      </w:pPr>
      <w:r>
        <w:rPr>
          <w:rFonts w:ascii="Calibri" w:cs="Calibri" w:eastAsia="Calibri" w:hAnsi="Calibri"/>
          <w:sz w:val="18"/>
          <w:szCs w:val="18"/>
          <w:color w:val="auto"/>
        </w:rPr>
        <w:t>During 2025, 97% of our gross operated oil production and 99% of our gross operated water production were connected to pipelines. In addition to the financial benefits to us and our stakeholders of connecting oil and produced water to pipelines, these pipeline connections have many other benefits, including the reduction in the number of trucks needed to transport the oil and produced water.</w:t>
      </w:r>
    </w:p>
    <w:p>
      <w:pPr>
        <w:spacing w:after="0" w:line="219" w:lineRule="exact"/>
        <w:rPr>
          <w:sz w:val="20"/>
          <w:szCs w:val="20"/>
          <w:color w:val="auto"/>
        </w:rPr>
      </w:pPr>
    </w:p>
    <w:p>
      <w:pPr>
        <w:ind w:left="720"/>
        <w:spacing w:after="0"/>
        <w:rPr>
          <w:sz w:val="20"/>
          <w:szCs w:val="20"/>
          <w:color w:val="auto"/>
        </w:rPr>
      </w:pPr>
      <w:r>
        <w:rPr>
          <w:rFonts w:ascii="Verdana" w:cs="Verdana" w:eastAsia="Verdana" w:hAnsi="Verdana"/>
          <w:sz w:val="20"/>
          <w:szCs w:val="20"/>
          <w:color w:val="214E93"/>
        </w:rPr>
        <w:t>REGULATION</w:t>
      </w:r>
    </w:p>
    <w:p>
      <w:pPr>
        <w:spacing w:after="0" w:line="196" w:lineRule="exact"/>
        <w:rPr>
          <w:sz w:val="20"/>
          <w:szCs w:val="20"/>
          <w:color w:val="auto"/>
        </w:rPr>
      </w:pPr>
    </w:p>
    <w:p>
      <w:pPr>
        <w:ind w:left="720"/>
        <w:spacing w:after="0"/>
        <w:rPr>
          <w:sz w:val="20"/>
          <w:szCs w:val="20"/>
          <w:color w:val="auto"/>
        </w:rPr>
      </w:pPr>
      <w:r>
        <w:rPr>
          <w:rFonts w:ascii="Calibri" w:cs="Calibri" w:eastAsia="Calibri" w:hAnsi="Calibri"/>
          <w:sz w:val="19"/>
          <w:szCs w:val="19"/>
          <w:i w:val="1"/>
          <w:iCs w:val="1"/>
          <w:color w:val="214E93"/>
        </w:rPr>
        <w:t>Oil and Natural Gas Regulation</w:t>
      </w:r>
    </w:p>
    <w:p>
      <w:pPr>
        <w:spacing w:after="0" w:line="208" w:lineRule="exact"/>
        <w:rPr>
          <w:sz w:val="20"/>
          <w:szCs w:val="20"/>
          <w:color w:val="auto"/>
        </w:rPr>
      </w:pPr>
    </w:p>
    <w:p>
      <w:pPr>
        <w:ind w:left="720" w:firstLine="241"/>
        <w:spacing w:after="0" w:line="267" w:lineRule="auto"/>
        <w:rPr>
          <w:sz w:val="20"/>
          <w:szCs w:val="20"/>
          <w:color w:val="auto"/>
        </w:rPr>
      </w:pPr>
      <w:r>
        <w:rPr>
          <w:rFonts w:ascii="Calibri" w:cs="Calibri" w:eastAsia="Calibri" w:hAnsi="Calibri"/>
          <w:sz w:val="18"/>
          <w:szCs w:val="18"/>
          <w:color w:val="auto"/>
        </w:rPr>
        <w:t>Our oil and natural gas exploration, development, production, midstream and related operations are subject to extensive federal, state and local laws, rules and regulations. Failure to comply with these laws, rules and regulations can result in substantial monetary penalties or delay or suspension of operations. The regulatory burden on the oil and natural gas industry increases our cost of doing business and affects our profitability. Because these laws, rules and regulations are frequently amended or reinterpreted and new laws, rules and regulations are promulgated, we are unable to predict the future cost or impact of complying with the laws, rules and regulations to which we are, or will become, subject. Our competitors in the oil and natural gas industry are generally subject to the same regulatory requirements and restrictions that affect our operations.</w:t>
      </w:r>
    </w:p>
    <w:p>
      <w:pPr>
        <w:spacing w:after="0" w:line="220" w:lineRule="exact"/>
        <w:rPr>
          <w:sz w:val="20"/>
          <w:szCs w:val="20"/>
          <w:color w:val="auto"/>
        </w:rPr>
      </w:pPr>
    </w:p>
    <w:p>
      <w:pPr>
        <w:ind w:left="720" w:right="20" w:firstLine="241"/>
        <w:spacing w:after="0" w:line="286" w:lineRule="auto"/>
        <w:rPr>
          <w:sz w:val="20"/>
          <w:szCs w:val="20"/>
          <w:color w:val="auto"/>
        </w:rPr>
      </w:pPr>
      <w:r>
        <w:rPr>
          <w:rFonts w:ascii="Calibri" w:cs="Calibri" w:eastAsia="Calibri" w:hAnsi="Calibri"/>
          <w:sz w:val="17"/>
          <w:szCs w:val="17"/>
          <w:color w:val="auto"/>
        </w:rPr>
        <w:t>The states in which we operate require permits for drilling operations, drilling bonds and reports concerning operations and impose other requirements relating to the exploration, development and production of oil and natural gas. The states in which we operate also have laws, rules and regulations addressing conservation of oil and natural gas and other matters, including provisions for the unitization or pooling of oil and natural gas properties, the establishment of maximum rates of production from wells, the regulation of well spacing and setbacks, the surface use and restoration of properties upon which wells are drilled, the prohibition, restriction or limitation of emissions, venting or flaring natural gas, the sourcing and disposal of water used and produced in the drilling and completion process, the seismicity that may be related to salt water disposal wells and the plugging and abandonment of wells. While not presently the case in the states in which we operate, some states restrict production to the market demand for oil and natural gas or prescribe ceiling prices for natural gas sold within their boundaries. Additionally, some regulatory agencies have, from time to time, imposed price controls and limitations on production by restricting the rate of flow of oil and natural gas wells</w:t>
      </w:r>
    </w:p>
    <w:p>
      <w:pPr>
        <w:sectPr>
          <w:pgSz w:w="11880" w:h="15480" w:orient="portrait"/>
          <w:cols w:equalWidth="0" w:num="1">
            <w:col w:w="10300"/>
          </w:cols>
          <w:pgMar w:left="440" w:top="498"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300"/>
          </w:cols>
          <w:pgMar w:left="440" w:top="498" w:right="1140" w:bottom="0" w:gutter="0" w:footer="0" w:header="0"/>
          <w:type w:val="continuous"/>
        </w:sectPr>
      </w:pPr>
    </w:p>
    <w:bookmarkStart w:id="42" w:name="page43"/>
    <w:bookmarkEnd w:id="42"/>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29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060"/>
        <w:spacing w:after="0" w:line="281" w:lineRule="auto"/>
        <w:rPr>
          <w:sz w:val="20"/>
          <w:szCs w:val="20"/>
          <w:color w:val="auto"/>
        </w:rPr>
      </w:pPr>
      <w:r>
        <w:rPr>
          <w:rFonts w:ascii="Calibri" w:cs="Calibri" w:eastAsia="Calibri" w:hAnsi="Calibri"/>
          <w:sz w:val="17"/>
          <w:szCs w:val="17"/>
          <w:color w:val="auto"/>
        </w:rPr>
        <w:t>below natural production capacity in order to conserve supplies of oil and natural gas. Moreover, each state generally imposes a production or severance tax with respect to the production and sale of oil, natural gas and NGLs within its jurisdiction.</w:t>
      </w:r>
    </w:p>
    <w:p>
      <w:pPr>
        <w:spacing w:after="0" w:line="206" w:lineRule="exact"/>
        <w:rPr>
          <w:sz w:val="20"/>
          <w:szCs w:val="20"/>
          <w:color w:val="auto"/>
        </w:rPr>
      </w:pPr>
    </w:p>
    <w:p>
      <w:pPr>
        <w:ind w:right="720" w:firstLine="241"/>
        <w:spacing w:after="0" w:line="286" w:lineRule="auto"/>
        <w:rPr>
          <w:sz w:val="20"/>
          <w:szCs w:val="20"/>
          <w:color w:val="auto"/>
        </w:rPr>
      </w:pPr>
      <w:r>
        <w:rPr>
          <w:rFonts w:ascii="Calibri" w:cs="Calibri" w:eastAsia="Calibri" w:hAnsi="Calibri"/>
          <w:sz w:val="17"/>
          <w:szCs w:val="17"/>
          <w:color w:val="auto"/>
        </w:rPr>
        <w:t>Some of our oil and natural gas leases are issued by agencies of the federal government, as well as agencies of the states in which we operate. These leases contain various restrictions on access and development and other requirements that may impede our ability to conduct operations on the acreage represented by these leases. BLM leases contain relatively standardized terms and require compliance with detailed regulations and orders, which are subject to change. These operations are also subject to BLM rules regarding engineering and construction specifications for production facilities, ability to commingle production, safety procedures, the valuation of production, the payment of royalties, the removal of facilities, the posting of bonds, hydraulic fracturing, the control of air emissions and other areas of environmental protection. These rules could result in increased compliance costs for our operations, which in turn could have a material adverse effect on our business and results of operations. Under certain circumstances, the BLM may require our operations on federal leases to be suspended or terminated. Permitting for oil and natural gas activities on federal lands can take significantly longer than the permitting process for oil and natural gas activities not located on federal lands. In addition, government disruptions, such as a shutdown of the U.S. federal government resulting from the failure to pass budget appropriations, adopt continuing funding resolutions or raise the debt ceiling, could delay or halt the granting and renewal of such permits or other licenses, approvals or certificates required to conduct our operations. Delays in obtaining necessary permits or other approvals can disrupt our operations and have a material adverse effect on our business.</w:t>
      </w:r>
    </w:p>
    <w:p>
      <w:pPr>
        <w:spacing w:after="0" w:line="205" w:lineRule="exact"/>
        <w:rPr>
          <w:sz w:val="20"/>
          <w:szCs w:val="20"/>
          <w:color w:val="auto"/>
        </w:rPr>
      </w:pPr>
    </w:p>
    <w:p>
      <w:pPr>
        <w:ind w:right="780" w:firstLine="241"/>
        <w:spacing w:after="0" w:line="269" w:lineRule="auto"/>
        <w:rPr>
          <w:sz w:val="20"/>
          <w:szCs w:val="20"/>
          <w:color w:val="auto"/>
        </w:rPr>
      </w:pPr>
      <w:r>
        <w:rPr>
          <w:rFonts w:ascii="Calibri" w:cs="Calibri" w:eastAsia="Calibri" w:hAnsi="Calibri"/>
          <w:sz w:val="18"/>
          <w:szCs w:val="18"/>
          <w:color w:val="auto"/>
        </w:rPr>
        <w:t>Oil and natural gas exploration and production activities on federal lands are also subject to the National Environmental Policy Act (“NEPA”). NEPA requires federal agencies, including the Department of Interior, to evaluate major agency actions having the potential to significantly impact the environment. In the course of such evaluations, an agency will prepare an environmental assessment of impacts that are “reasonably foreseeable” and have a “reasonably close causal relationship” to the agency action under review and, if necessary, will prepare a more detailed environmental impact statement that may be made available for public review and comment. The NEPA evaluation process at the Department of the Interior has followed regulations issued by the Council on Environmental Quality (“CEQ”) for many years. However, recent court rulings, including a 2024 decision by the United States Court of Appeals for the District of Columbia, have held that CEQ lacks legal authority to issue binding regulations governing the NEPA process. In addition, CEQ rescinded its NEPA regulations in February 2025, and as a result, each government agency impacted by NEPA is establishing its own processes and procedures. This process, including any additional requirements or procedures that may be included in the process or litigation over the sufficiency of the process, has the potential to delay or even halt development of future oil and natural gas projects subject to review under NEPA.</w:t>
      </w:r>
    </w:p>
    <w:p>
      <w:pPr>
        <w:spacing w:after="0" w:line="216" w:lineRule="exact"/>
        <w:rPr>
          <w:sz w:val="20"/>
          <w:szCs w:val="20"/>
          <w:color w:val="auto"/>
        </w:rPr>
      </w:pPr>
    </w:p>
    <w:p>
      <w:pPr>
        <w:ind w:right="720" w:firstLine="241"/>
        <w:spacing w:after="0" w:line="269" w:lineRule="auto"/>
        <w:rPr>
          <w:sz w:val="20"/>
          <w:szCs w:val="20"/>
          <w:color w:val="auto"/>
        </w:rPr>
      </w:pPr>
      <w:r>
        <w:rPr>
          <w:rFonts w:ascii="Calibri" w:cs="Calibri" w:eastAsia="Calibri" w:hAnsi="Calibri"/>
          <w:sz w:val="18"/>
          <w:szCs w:val="18"/>
          <w:color w:val="auto"/>
        </w:rPr>
        <w:t>In 2019, 2020 and 2021, an environmental group filed multiple lawsuits in federal district courts in New Mexico and the District of Columbia challenging certain BLM lease sales, including lease sales in which we purchased leases in New Mexico (the “Lease Sale Litigation”). The Lease Sale Litigation challenged the BLM’s decision to hold the lease sales based on alleged defects in the NEPA reviews conducted in conjunction with those sales. These lawsuits were dismissed in 2021 and 2022. In connection with these dismissals, in February 2022, the BLM announced an internal policy of delaying approval of drilling permits associated with the leases that were subject to the Lease Sale Litigation, including the dismissed New Mexico case, while the BLM conducted additional NEPA analyses. In September 2025, the BLM issued a Supplemental NEPA Analysis, which has not yet been finalized, proposing to uphold the previously issued leases. The outcome of BLM’s NEPA review and any future litigation regarding the leases at issue and any related drilling permits is uncertain. In addition, in February 2023, the Tenth Circuit Court of Appeals ruled that certain BLM drilling permits for wells in the Chaco region of New Mexico were issued without adequate NEPA review, and BLM agreed to conduct additional NEPA analysis in response to this litigation. Each of these pending lawsuits and NEPA reviews, as well as any process changes that the BLM may implement in response, could delay lease sales and the approval of drilling permits, though the ultimate impact is uncertain.</w:t>
      </w:r>
    </w:p>
    <w:p>
      <w:pPr>
        <w:spacing w:after="0" w:line="218" w:lineRule="exact"/>
        <w:rPr>
          <w:sz w:val="20"/>
          <w:szCs w:val="20"/>
          <w:color w:val="auto"/>
        </w:rPr>
      </w:pPr>
    </w:p>
    <w:p>
      <w:pPr>
        <w:ind w:right="720" w:firstLine="241"/>
        <w:spacing w:after="0" w:line="286" w:lineRule="auto"/>
        <w:rPr>
          <w:sz w:val="20"/>
          <w:szCs w:val="20"/>
          <w:color w:val="auto"/>
        </w:rPr>
      </w:pPr>
      <w:r>
        <w:rPr>
          <w:rFonts w:ascii="Calibri" w:cs="Calibri" w:eastAsia="Calibri" w:hAnsi="Calibri"/>
          <w:sz w:val="17"/>
          <w:szCs w:val="17"/>
          <w:color w:val="auto"/>
        </w:rPr>
        <w:t>In November 2022, the Environmental Protection Agency (the “EPA”) suggested increasing the value of the social cost of greenhouse gases from $51 per metric ton to $190 per metric ton, and in December 2023, the EPA used $190 per metric ton as the social cost of greenhouse gases in its final rule revising New Source Performance Standards (“NSPS”) and Emission Guidelines for greenhouse gas and volatile organic compound emissions in the oil and gas sector. As part of this final rulemaking, the EPA published a peer-reviewed report on the updated social cost of greenhouse gases estimates. However, in January 2025, the Trump administration revoked the Biden administration’s executive order regarding the social cost of greenhouse gases, withdrew the social cost of greenhouse gases estimates and directed the EPA administrator to consider issuing guidance eliminating the social cost of carbon calculation from any federal permitting or regulatory decision. In March 2025, the EPA administrator announced that the</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92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1160" w:top="498" w:right="440" w:bottom="0" w:gutter="0" w:footer="0" w:header="0"/>
          <w:type w:val="continuous"/>
        </w:sectPr>
      </w:pPr>
    </w:p>
    <w:bookmarkStart w:id="43" w:name="page44"/>
    <w:bookmarkEnd w:id="43"/>
    <w:p>
      <w:pPr>
        <w:spacing w:after="0"/>
        <w:tabs>
          <w:tab w:leader="none" w:pos="740" w:val="left"/>
        </w:tabs>
        <w:rPr>
          <w:sz w:val="20"/>
          <w:szCs w:val="20"/>
          <w:color w:val="auto"/>
        </w:rPr>
      </w:pPr>
      <w:r>
        <w:rPr>
          <w:rFonts w:ascii="Calibri" w:cs="Calibri" w:eastAsia="Calibri" w:hAnsi="Calibri"/>
          <w:sz w:val="18"/>
          <w:szCs w:val="18"/>
          <w:color w:val="auto"/>
        </w:rPr>
        <w:t>30</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20" w:right="240"/>
        <w:spacing w:after="0" w:line="284" w:lineRule="auto"/>
        <w:rPr>
          <w:sz w:val="20"/>
          <w:szCs w:val="20"/>
          <w:color w:val="auto"/>
        </w:rPr>
      </w:pPr>
      <w:r>
        <w:rPr>
          <w:rFonts w:ascii="Calibri" w:cs="Calibri" w:eastAsia="Calibri" w:hAnsi="Calibri"/>
          <w:sz w:val="17"/>
          <w:szCs w:val="17"/>
          <w:color w:val="auto"/>
        </w:rPr>
        <w:t>EPA is reconsidering the social cost of greenhouse gases estimates, and in May 2025, the White House Office of Management and Budget directed agencies to limit their consideration of greenhouse gas emissions only to that plainly required in their governing statutes. Future EPA rulemakings may reestablish the previous social cost of greenhouse gases estimates or incorporate new estimates developed in the future and potentially result in more stringent rules and regulations affecting the oil and gas sector.</w:t>
      </w:r>
    </w:p>
    <w:p>
      <w:pPr>
        <w:spacing w:after="0" w:line="205" w:lineRule="exact"/>
        <w:rPr>
          <w:sz w:val="20"/>
          <w:szCs w:val="20"/>
          <w:color w:val="auto"/>
        </w:rPr>
      </w:pPr>
    </w:p>
    <w:p>
      <w:pPr>
        <w:ind w:left="720" w:firstLine="241"/>
        <w:spacing w:after="0" w:line="268" w:lineRule="auto"/>
        <w:rPr>
          <w:sz w:val="20"/>
          <w:szCs w:val="20"/>
          <w:color w:val="auto"/>
        </w:rPr>
      </w:pPr>
      <w:r>
        <w:rPr>
          <w:rFonts w:ascii="Calibri" w:cs="Calibri" w:eastAsia="Calibri" w:hAnsi="Calibri"/>
          <w:sz w:val="18"/>
          <w:szCs w:val="18"/>
          <w:color w:val="auto"/>
        </w:rPr>
        <w:t>On February 18, 2026, the EPA published a final rule rescinding its prior 2009 finding that six greenhouse gases in the atmosphere —carbon dioxide, methane, nitrous oxide, hydrofluorocarbons, perfluorocarbons and sulfur hexafluoride—may reasonably be anticipated to endanger public health and welfare under the Clean Air Act (the “CAA”), commonly known as the “Endangerment Finding,” which underpins the EPA’s regulation of greenhouse gas emissions. The rescission has been challenged in court, which could result in the rescission being stayed, overturned or limited in scope or effect. If the rescission remains in effect, the EPA may seek in the future to repeal or lessen the stringency of regulations affecting the oil and natural gas industry that are based, at least in part, on the Endangerment Finding. Further, it is possible that efforts to regulate greenhouse gases at the national level in the United States, which could include reconsidering the Endangerment Finding, could occur in the future. The ultimate outcome and long-term effect of the rescission of the Endangerment Finding, as well as its impact on regulation of the oil and natural gas industry, remains uncertain.</w:t>
      </w:r>
    </w:p>
    <w:p>
      <w:pPr>
        <w:spacing w:after="0" w:line="222" w:lineRule="exact"/>
        <w:rPr>
          <w:sz w:val="20"/>
          <w:szCs w:val="20"/>
          <w:color w:val="auto"/>
        </w:rPr>
      </w:pPr>
    </w:p>
    <w:p>
      <w:pPr>
        <w:ind w:left="720" w:right="120" w:firstLine="241"/>
        <w:spacing w:after="0" w:line="268" w:lineRule="auto"/>
        <w:rPr>
          <w:sz w:val="20"/>
          <w:szCs w:val="20"/>
          <w:color w:val="auto"/>
        </w:rPr>
      </w:pPr>
      <w:r>
        <w:rPr>
          <w:rFonts w:ascii="Calibri" w:cs="Calibri" w:eastAsia="Calibri" w:hAnsi="Calibri"/>
          <w:sz w:val="18"/>
          <w:szCs w:val="18"/>
          <w:color w:val="auto"/>
        </w:rPr>
        <w:t>In April 2024, the BLM finalized a new rule designed to reduce natural gas waste through limitation of certain oil and natural gas production activities and the imposition of more stringent royalty obligations on natural gas that is “avoidably lost” during operations. Enforcement of the rule in Texas, North Dakota, Montana, Wyoming, and Utah was enjoined by the North Dakota federal district court, and the appeal of that injunction to the U.S. Court of Appeals for the Eighth Circuit has been held in abeyance since February 14, 2025. The Department of the Interior announced it is evaluating whether to suspend, revise, or rescind the 2024 waste rule, and in November 2025, announced that it will delay enforcement of provisions of the rule that had been scheduled to take effect in December 2025. The ultimate outcome of this process, including possible financial costs and any adverse impacts on our oil and natural gas operations, is uncertain.</w:t>
      </w:r>
    </w:p>
    <w:p>
      <w:pPr>
        <w:spacing w:after="0" w:line="217" w:lineRule="exact"/>
        <w:rPr>
          <w:sz w:val="20"/>
          <w:szCs w:val="20"/>
          <w:color w:val="auto"/>
        </w:rPr>
      </w:pPr>
    </w:p>
    <w:p>
      <w:pPr>
        <w:ind w:left="720" w:right="60" w:firstLine="241"/>
        <w:spacing w:after="0" w:line="266" w:lineRule="auto"/>
        <w:rPr>
          <w:sz w:val="20"/>
          <w:szCs w:val="20"/>
          <w:color w:val="auto"/>
        </w:rPr>
      </w:pPr>
      <w:r>
        <w:rPr>
          <w:rFonts w:ascii="Calibri" w:cs="Calibri" w:eastAsia="Calibri" w:hAnsi="Calibri"/>
          <w:sz w:val="18"/>
          <w:szCs w:val="18"/>
          <w:color w:val="auto"/>
        </w:rPr>
        <w:t>The impact of these and similar federal actions related to the oil and natural gas industry remains unclear, and should limitations or prohibitions be imposed or continue to be applied, our oil and natural gas operations on federal lands could be adversely impacted. See “Risk Factors—Risks Related to Laws and Regulations—Approximately 33% of our leasehold and mineral acres in the Delaware Basin is located on federal lands, which are subject to administrative permitting requirements and potential federal legislation, regulation and orders that may limit or restrict oil and natural gas operations on federal lands.”</w:t>
      </w:r>
    </w:p>
    <w:p>
      <w:pPr>
        <w:spacing w:after="0" w:line="204" w:lineRule="exact"/>
        <w:rPr>
          <w:sz w:val="20"/>
          <w:szCs w:val="20"/>
          <w:color w:val="auto"/>
        </w:rPr>
      </w:pPr>
    </w:p>
    <w:p>
      <w:pPr>
        <w:ind w:left="720"/>
        <w:spacing w:after="0"/>
        <w:rPr>
          <w:sz w:val="20"/>
          <w:szCs w:val="20"/>
          <w:color w:val="auto"/>
        </w:rPr>
      </w:pPr>
      <w:r>
        <w:rPr>
          <w:rFonts w:ascii="Calibri" w:cs="Calibri" w:eastAsia="Calibri" w:hAnsi="Calibri"/>
          <w:sz w:val="19"/>
          <w:szCs w:val="19"/>
          <w:i w:val="1"/>
          <w:iCs w:val="1"/>
          <w:color w:val="214E93"/>
        </w:rPr>
        <w:t>Pipeline Regulation</w:t>
      </w:r>
    </w:p>
    <w:p>
      <w:pPr>
        <w:spacing w:after="0" w:line="208" w:lineRule="exact"/>
        <w:rPr>
          <w:sz w:val="20"/>
          <w:szCs w:val="20"/>
          <w:color w:val="auto"/>
        </w:rPr>
      </w:pPr>
    </w:p>
    <w:p>
      <w:pPr>
        <w:ind w:left="720" w:right="60" w:firstLine="241"/>
        <w:spacing w:after="0" w:line="269" w:lineRule="auto"/>
        <w:rPr>
          <w:sz w:val="20"/>
          <w:szCs w:val="20"/>
          <w:color w:val="auto"/>
        </w:rPr>
      </w:pPr>
      <w:r>
        <w:rPr>
          <w:rFonts w:ascii="Calibri" w:cs="Calibri" w:eastAsia="Calibri" w:hAnsi="Calibri"/>
          <w:sz w:val="18"/>
          <w:szCs w:val="18"/>
          <w:color w:val="auto"/>
        </w:rPr>
        <w:t>Our sales of natural gas, as well as the revenues we receive from our sales, are affected by the availability, terms and costs of transportation. The rates, terms and conditions applicable to the interstate transportation of natural gas by pipelines are regulated by the Federal Energy Regulatory Commission (“FERC”) under the Natural Gas Act of 1938 (the “NGA”), as well as under Section 311 of the Natural Gas Policy Act of 1978 (the “NGPA”). Natural gas gathering facilities are exempt from the jurisdiction of FERC under section 1(b) of the NGA, and intrastate crude oil pipeline facilities are not subject to FERC’s jurisdiction under the Interstate Commerce Act (the “ICA”). State regulation of natural gas gathering facilities and intrastate crude oil pipeline facilities generally includes various safety, environmental and, in some circumstances, nondiscriminatory take requirements or complaint-based rate regulation. We believe that the natural gas pipelines in our gathering systems meet the traditional tests FERC has used to establish a pipeline’s status as a gatherer not subject to FERC jurisdiction. San Mateo’s crude oil gathering and transportation system in the Rustler Breaks asset area in Eddy County, New Mexico and the Greater Stebbins Area (the “Rustler Breaks Oil Pipeline System”), which includes approximately 70 miles of various diameter crude oil pipelines from origin points in Eddy County, New Mexico to an interconnect with Plains, is subject to FERC jurisdiction. Our crude oil gathering and transportation pipelines with origin points from Lea County, New Mexico to various interconnections with third parties (the “Trophy Pipeline System”) are also subject to FERC jurisdiction. We believe that the other crude oil pipelines in our gathering systems meet the traditional tests FERC has used to establish a pipeline’s status as an intrastate facility not subject to FERC jurisdiction.</w:t>
      </w:r>
    </w:p>
    <w:p>
      <w:pPr>
        <w:spacing w:after="0" w:line="221" w:lineRule="exact"/>
        <w:rPr>
          <w:sz w:val="20"/>
          <w:szCs w:val="20"/>
          <w:color w:val="auto"/>
        </w:rPr>
      </w:pPr>
    </w:p>
    <w:p>
      <w:pPr>
        <w:ind w:left="720" w:right="100" w:firstLine="241"/>
        <w:spacing w:after="0" w:line="264" w:lineRule="auto"/>
        <w:rPr>
          <w:sz w:val="20"/>
          <w:szCs w:val="20"/>
          <w:color w:val="auto"/>
        </w:rPr>
      </w:pPr>
      <w:r>
        <w:rPr>
          <w:rFonts w:ascii="Calibri" w:cs="Calibri" w:eastAsia="Calibri" w:hAnsi="Calibri"/>
          <w:sz w:val="18"/>
          <w:szCs w:val="18"/>
          <w:color w:val="auto"/>
        </w:rPr>
        <w:t>In 2005, Congress enacted the Energy Policy Act of 2005 (the “Energy Policy Act”). The Energy Policy Act, among other things, amended the NGA to prohibit market manipulation in connection with the purchase or sale of natural gas or the purchase or sale of natural gas transportation services subject to FERC jurisdiction by any entity and to direct FERC to facilitate transparency in the market for the sale or transportation of natural gas in interstate commerce. The Energy Policy Act also significantly increased the</w:t>
      </w:r>
    </w:p>
    <w:p>
      <w:pPr>
        <w:sectPr>
          <w:pgSz w:w="11880" w:h="15480" w:orient="portrait"/>
          <w:cols w:equalWidth="0" w:num="1">
            <w:col w:w="10280"/>
          </w:cols>
          <w:pgMar w:left="44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440" w:top="498" w:right="1160" w:bottom="0" w:gutter="0" w:footer="0" w:header="0"/>
          <w:type w:val="continuous"/>
        </w:sectPr>
      </w:pPr>
    </w:p>
    <w:bookmarkStart w:id="44" w:name="page45"/>
    <w:bookmarkEnd w:id="44"/>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31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180"/>
        <w:spacing w:after="0" w:line="283" w:lineRule="auto"/>
        <w:rPr>
          <w:sz w:val="20"/>
          <w:szCs w:val="20"/>
          <w:color w:val="auto"/>
        </w:rPr>
      </w:pPr>
      <w:r>
        <w:rPr>
          <w:rFonts w:ascii="Calibri" w:cs="Calibri" w:eastAsia="Calibri" w:hAnsi="Calibri"/>
          <w:sz w:val="17"/>
          <w:szCs w:val="17"/>
          <w:color w:val="auto"/>
        </w:rPr>
        <w:t>penalties for violations of, among other things, the NGA, the NGPA or FERC rules, regulations or orders thereunder. FERC has promulgated regulations to implement the Energy Policy Act. Should we violate the anti-market manipulation laws and related regulations, in addition to FERC-imposed penalties and disgorgement, we may also be subject to third-party damage claims.</w:t>
      </w:r>
    </w:p>
    <w:p>
      <w:pPr>
        <w:spacing w:after="0" w:line="206" w:lineRule="exact"/>
        <w:rPr>
          <w:sz w:val="20"/>
          <w:szCs w:val="20"/>
          <w:color w:val="auto"/>
        </w:rPr>
      </w:pPr>
    </w:p>
    <w:p>
      <w:pPr>
        <w:ind w:right="960" w:firstLine="241"/>
        <w:spacing w:after="0" w:line="285" w:lineRule="auto"/>
        <w:rPr>
          <w:sz w:val="20"/>
          <w:szCs w:val="20"/>
          <w:color w:val="auto"/>
        </w:rPr>
      </w:pPr>
      <w:r>
        <w:rPr>
          <w:rFonts w:ascii="Calibri" w:cs="Calibri" w:eastAsia="Calibri" w:hAnsi="Calibri"/>
          <w:sz w:val="17"/>
          <w:szCs w:val="17"/>
          <w:color w:val="auto"/>
        </w:rPr>
        <w:t>Intrastate natural gas transportation is subject to regulation by state regulatory agencies (and to a limited extent by FERC, as noted above). The basis for intrastate regulation of natural gas transportation and the degree of regulatory oversight and scrutiny given to intrastate natural gas pipeline rates and services varies from state to state. Because these regulations will apply to all intrastate natural gas shippers within the same state on a comparable basis, we believe that regulation in any states in which we operate will not affect our operations in any way that is materially different from our competitors that are similarly situated.</w:t>
      </w:r>
    </w:p>
    <w:p>
      <w:pPr>
        <w:spacing w:after="0" w:line="203" w:lineRule="exact"/>
        <w:rPr>
          <w:sz w:val="20"/>
          <w:szCs w:val="20"/>
          <w:color w:val="auto"/>
        </w:rPr>
      </w:pPr>
    </w:p>
    <w:p>
      <w:pPr>
        <w:ind w:right="740" w:firstLine="241"/>
        <w:spacing w:after="0" w:line="286" w:lineRule="auto"/>
        <w:rPr>
          <w:sz w:val="20"/>
          <w:szCs w:val="20"/>
          <w:color w:val="auto"/>
        </w:rPr>
      </w:pPr>
      <w:r>
        <w:rPr>
          <w:rFonts w:ascii="Calibri" w:cs="Calibri" w:eastAsia="Calibri" w:hAnsi="Calibri"/>
          <w:sz w:val="17"/>
          <w:szCs w:val="17"/>
          <w:color w:val="auto"/>
        </w:rPr>
        <w:t>The Rustler Breaks Oil Pipeline System and the Trophy Pipeline System are subject to regulation by FERC under the ICA and the Energy Policy Act of 1992 (the “EP Act”). The ICA and its implementing regulations give FERC authority to regulate the rates charged for service on interstate common carrier pipelines and generally require the rates and practices of interstate crude oil pipelines to be just, reasonable, not unduly discriminatory and not unduly preferential. The ICA also requires tariffs that set forth the rates an interstate crude oil pipeline company charges for providing transportation services on its FERC-jurisdictional pipelines, as well as the rules and regulations governing these services, to be maintained on file with FERC and posted publicly. The EP Act and its implementing regulations also generally allow interstate crude oil pipelines to annually index their rates up to a prescribed ceiling level and require that such pipelines index their rates down to the prescribed ceiling level if the index is negative.</w:t>
      </w:r>
    </w:p>
    <w:p>
      <w:pPr>
        <w:spacing w:after="0" w:line="201" w:lineRule="exact"/>
        <w:rPr>
          <w:sz w:val="20"/>
          <w:szCs w:val="20"/>
          <w:color w:val="auto"/>
        </w:rPr>
      </w:pPr>
    </w:p>
    <w:p>
      <w:pPr>
        <w:ind w:right="880" w:firstLine="241"/>
        <w:spacing w:after="0" w:line="266" w:lineRule="auto"/>
        <w:rPr>
          <w:sz w:val="20"/>
          <w:szCs w:val="20"/>
          <w:color w:val="auto"/>
        </w:rPr>
      </w:pPr>
      <w:r>
        <w:rPr>
          <w:rFonts w:ascii="Calibri" w:cs="Calibri" w:eastAsia="Calibri" w:hAnsi="Calibri"/>
          <w:sz w:val="18"/>
          <w:szCs w:val="18"/>
          <w:color w:val="auto"/>
        </w:rPr>
        <w:t>The price we receive from the sale of oil and NGLs will be affected by the availability, terms and cost of transportation of such products to market. As noted above, under rules adopted by FERC, interstate oil pipelines can change rates based on an inflation index, though other rate mechanisms may be used in specific circumstances. Intrastate oil pipeline transportation rates are subject to regulations promulgated by state regulatory commissions, which vary from state to state. We are not able to predict with certainty the effects, if any, of these regulations on our operations.</w:t>
      </w:r>
    </w:p>
    <w:p>
      <w:pPr>
        <w:spacing w:after="0" w:line="218" w:lineRule="exact"/>
        <w:rPr>
          <w:sz w:val="20"/>
          <w:szCs w:val="20"/>
          <w:color w:val="auto"/>
        </w:rPr>
      </w:pPr>
    </w:p>
    <w:p>
      <w:pPr>
        <w:ind w:right="720" w:firstLine="241"/>
        <w:spacing w:after="0" w:line="264" w:lineRule="auto"/>
        <w:rPr>
          <w:sz w:val="20"/>
          <w:szCs w:val="20"/>
          <w:color w:val="auto"/>
        </w:rPr>
      </w:pPr>
      <w:r>
        <w:rPr>
          <w:rFonts w:ascii="Calibri" w:cs="Calibri" w:eastAsia="Calibri" w:hAnsi="Calibri"/>
          <w:sz w:val="18"/>
          <w:szCs w:val="18"/>
          <w:color w:val="auto"/>
        </w:rPr>
        <w:t>In 2007, the Energy Independence &amp; Security Act of 2007 (the “EISA”) went into effect. The EISA, among other things, prohibits market manipulation by any person in connection with the purchase or sale of crude oil, gasoline or petroleum distillates at wholesale in contravention of such rules and regulations that the Federal Trade Commission may prescribe, directs the Federal Trade Commission to enforce the regulations and establishes penalties for violations thereunder.</w:t>
      </w:r>
    </w:p>
    <w:p>
      <w:pPr>
        <w:spacing w:after="0" w:line="221" w:lineRule="exact"/>
        <w:rPr>
          <w:sz w:val="20"/>
          <w:szCs w:val="20"/>
          <w:color w:val="auto"/>
        </w:rPr>
      </w:pPr>
    </w:p>
    <w:p>
      <w:pPr>
        <w:ind w:right="700" w:firstLine="241"/>
        <w:spacing w:after="0" w:line="286" w:lineRule="auto"/>
        <w:rPr>
          <w:sz w:val="20"/>
          <w:szCs w:val="20"/>
          <w:color w:val="auto"/>
        </w:rPr>
      </w:pPr>
      <w:r>
        <w:rPr>
          <w:rFonts w:ascii="Calibri" w:cs="Calibri" w:eastAsia="Calibri" w:hAnsi="Calibri"/>
          <w:sz w:val="17"/>
          <w:szCs w:val="17"/>
          <w:color w:val="auto"/>
        </w:rPr>
        <w:t>The Pipeline and Hazardous Materials Safety Administration (the “PHMSA”) imposes pipeline safety requirements on regulated pipelines and gathering lines pursuant to its authority under the Natural Gas Pipeline Safety Act and the Hazardous Liquid Pipeline Safety Act, each as amended. The Rustler Breaks Oil Pipeline System and the Trophy Pipeline System are subject to PHMSA oversight. The Department of Transportation, through PHMSA, has established rules regarding integrity management programs for interstate oil pipelines, including the Rustler Breaks Oil Pipeline System and the Trophy Pipeline System. In recent years, pursuant to these laws and the Pipeline Safety, Regulatory Certainty, and Job Creation Act of 2011 and PIPES Act of 2016, PHMSA has expanded its regulation of gathering lines, subjecting previously unregulated pipelines to requirements regarding damage prevention, corrosion control, public education programs, maximum allowable operating pressure limits and other requirements. Certain of our natural gas gathering lines are federally “regulated gathering lines” subject to PHMSA requirements. On April 8, 2016, PHMSA published a notice of proposed rulemaking that would amend existing integrity management requirements, expand assessment and repair requirements in areas with medium population densities and extend regulatory requirements to onshore natural gas gathering lines that are currently exempt. To enact the changes outlined in the notice of proposed rulemaking, PHMSA enacted three separate rules (together known as the “Mega Rule”). The first part of the Mega Rule was finalized in October 2019 and requires operators of gas transmission pipelines constructed before 1970 to determine the material strength of their lines by reconfirming the maximum allowable operating pressure. In addition, the rule updates reporting and records retention standards for gas transmission pipelines. PHMSA issued the second part of the Mega Rule in November 2021, extending the federal safety requirements to onshore gas gathering pipelines with large diameters and high operating pressures. PHMSA issued the third part of the Mega Rule in August 2022, which is applicable to onshore gas transmission pipelines and clarifies integrity management regulations, expands corrosion control requirements, mandates inspections after extreme weather events and updates existing repair criteria for both High Consequence Areas (“HCA”) and non-HCA pipelines. In September 2023, PHMSA issued a proposed rule applicable to gas transmission and distribution and gathering pipelines, which would require updates to emergency response plans and other safety practices. In addition, states have adopted regulations, similar to existing PHMSA regulations, for intrastate gathering and</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892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1160" w:top="498" w:right="440" w:bottom="0" w:gutter="0" w:footer="0" w:header="0"/>
          <w:type w:val="continuous"/>
        </w:sectPr>
      </w:pPr>
    </w:p>
    <w:bookmarkStart w:id="45" w:name="page46"/>
    <w:bookmarkEnd w:id="45"/>
    <w:p>
      <w:pPr>
        <w:spacing w:after="0"/>
        <w:tabs>
          <w:tab w:leader="none" w:pos="740" w:val="left"/>
        </w:tabs>
        <w:rPr>
          <w:sz w:val="20"/>
          <w:szCs w:val="20"/>
          <w:color w:val="auto"/>
        </w:rPr>
      </w:pPr>
      <w:r>
        <w:rPr>
          <w:rFonts w:ascii="Calibri" w:cs="Calibri" w:eastAsia="Calibri" w:hAnsi="Calibri"/>
          <w:sz w:val="18"/>
          <w:szCs w:val="18"/>
          <w:color w:val="auto"/>
        </w:rPr>
        <w:t>32</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20" w:right="80"/>
        <w:spacing w:after="0" w:line="252" w:lineRule="auto"/>
        <w:rPr>
          <w:sz w:val="20"/>
          <w:szCs w:val="20"/>
          <w:color w:val="auto"/>
        </w:rPr>
      </w:pPr>
      <w:r>
        <w:rPr>
          <w:rFonts w:ascii="Calibri" w:cs="Calibri" w:eastAsia="Calibri" w:hAnsi="Calibri"/>
          <w:sz w:val="18"/>
          <w:szCs w:val="18"/>
          <w:color w:val="auto"/>
        </w:rPr>
        <w:t>transmission lines. See “Risk Factors—Risks Related to Laws and Regulations—We may incur significant costs and liabilities resulting from compliance with pipeline safety regulations.”</w:t>
      </w:r>
    </w:p>
    <w:p>
      <w:pPr>
        <w:spacing w:after="0" w:line="230" w:lineRule="exact"/>
        <w:rPr>
          <w:sz w:val="20"/>
          <w:szCs w:val="20"/>
          <w:color w:val="auto"/>
        </w:rPr>
      </w:pPr>
    </w:p>
    <w:p>
      <w:pPr>
        <w:ind w:left="720" w:right="580" w:firstLine="241"/>
        <w:spacing w:after="0" w:line="252" w:lineRule="auto"/>
        <w:rPr>
          <w:sz w:val="20"/>
          <w:szCs w:val="20"/>
          <w:color w:val="auto"/>
        </w:rPr>
      </w:pPr>
      <w:r>
        <w:rPr>
          <w:rFonts w:ascii="Calibri" w:cs="Calibri" w:eastAsia="Calibri" w:hAnsi="Calibri"/>
          <w:sz w:val="18"/>
          <w:szCs w:val="18"/>
          <w:color w:val="auto"/>
        </w:rPr>
        <w:t>Additional expansion of pipeline safety requirements or our operations could subject us to more stringent or costly safety standards, which could result in increased operating costs or operational delays.</w:t>
      </w:r>
    </w:p>
    <w:p>
      <w:pPr>
        <w:spacing w:after="0" w:line="216" w:lineRule="exact"/>
        <w:rPr>
          <w:sz w:val="20"/>
          <w:szCs w:val="20"/>
          <w:color w:val="auto"/>
        </w:rPr>
      </w:pPr>
    </w:p>
    <w:p>
      <w:pPr>
        <w:ind w:left="720"/>
        <w:spacing w:after="0"/>
        <w:rPr>
          <w:sz w:val="20"/>
          <w:szCs w:val="20"/>
          <w:color w:val="auto"/>
        </w:rPr>
      </w:pPr>
      <w:r>
        <w:rPr>
          <w:rFonts w:ascii="Calibri" w:cs="Calibri" w:eastAsia="Calibri" w:hAnsi="Calibri"/>
          <w:sz w:val="19"/>
          <w:szCs w:val="19"/>
          <w:i w:val="1"/>
          <w:iCs w:val="1"/>
          <w:color w:val="214E93"/>
        </w:rPr>
        <w:t>U.S. Federal and State Taxation</w:t>
      </w:r>
    </w:p>
    <w:p>
      <w:pPr>
        <w:spacing w:after="0" w:line="208" w:lineRule="exact"/>
        <w:rPr>
          <w:sz w:val="20"/>
          <w:szCs w:val="20"/>
          <w:color w:val="auto"/>
        </w:rPr>
      </w:pPr>
    </w:p>
    <w:p>
      <w:pPr>
        <w:ind w:left="720" w:right="20" w:firstLine="241"/>
        <w:spacing w:after="0" w:line="283" w:lineRule="auto"/>
        <w:rPr>
          <w:sz w:val="20"/>
          <w:szCs w:val="20"/>
          <w:color w:val="auto"/>
        </w:rPr>
      </w:pPr>
      <w:r>
        <w:rPr>
          <w:rFonts w:ascii="Calibri" w:cs="Calibri" w:eastAsia="Calibri" w:hAnsi="Calibri"/>
          <w:sz w:val="17"/>
          <w:szCs w:val="17"/>
          <w:color w:val="auto"/>
        </w:rPr>
        <w:t>The federal, state and local governments in the areas in which we operate impose taxes on the oil and natural gas products we sell and, for many of our wells, sales and use taxes on significant portions of our drilling and operating costs. Many states have raised state taxes on energy sources or state taxes associated with the extraction of hydrocarbons, and additional increases may occur.</w:t>
      </w:r>
    </w:p>
    <w:p>
      <w:pPr>
        <w:spacing w:after="0" w:line="206" w:lineRule="exact"/>
        <w:rPr>
          <w:sz w:val="20"/>
          <w:szCs w:val="20"/>
          <w:color w:val="auto"/>
        </w:rPr>
      </w:pPr>
    </w:p>
    <w:p>
      <w:pPr>
        <w:ind w:left="720" w:right="20" w:firstLine="241"/>
        <w:spacing w:after="0" w:line="268" w:lineRule="auto"/>
        <w:rPr>
          <w:sz w:val="20"/>
          <w:szCs w:val="20"/>
          <w:color w:val="auto"/>
        </w:rPr>
      </w:pPr>
      <w:r>
        <w:rPr>
          <w:rFonts w:ascii="Calibri" w:cs="Calibri" w:eastAsia="Calibri" w:hAnsi="Calibri"/>
          <w:sz w:val="18"/>
          <w:szCs w:val="18"/>
          <w:color w:val="auto"/>
        </w:rPr>
        <w:t>In addition, from time to time there has been a significant amount of discussion by legislators and presidential administrations concerning a variety of energy tax proposals at the federal level. Periodically, legislation is introduced to eliminate certain key U.S. federal income tax preferences currently available to oil and natural gas exploration and production companies. Such changes include (i) the repeal of the percentage depletion allowance for certain oil and natural gas properties, (ii) the elimination of current deductions for intangible drilling and development costs, (iii) the elimination of the deduction for certain U.S. production or manufacturing activities and (iv) the increase in the amortization period for geological and geophysical costs paid or incurred in connection with the exploration for, or development of, oil or natural gas within the United States. Any such changes in federal income tax law could eliminate or defer certain tax deductions within the industry that are currently available with respect to oil and natural gas exploration and development, and any such changes could negatively affect our financial condition, results of operations and cash flows.</w:t>
      </w:r>
    </w:p>
    <w:p>
      <w:pPr>
        <w:spacing w:after="0" w:line="222" w:lineRule="exact"/>
        <w:rPr>
          <w:sz w:val="20"/>
          <w:szCs w:val="20"/>
          <w:color w:val="auto"/>
        </w:rPr>
      </w:pPr>
    </w:p>
    <w:p>
      <w:pPr>
        <w:ind w:left="720" w:right="20" w:firstLine="241"/>
        <w:spacing w:after="0" w:line="266" w:lineRule="auto"/>
        <w:rPr>
          <w:sz w:val="20"/>
          <w:szCs w:val="20"/>
          <w:color w:val="auto"/>
        </w:rPr>
      </w:pPr>
      <w:r>
        <w:rPr>
          <w:rFonts w:ascii="Calibri" w:cs="Calibri" w:eastAsia="Calibri" w:hAnsi="Calibri"/>
          <w:sz w:val="18"/>
          <w:szCs w:val="18"/>
          <w:color w:val="auto"/>
        </w:rPr>
        <w:t>Changes to state or federal tax laws could adversely affect our business and our financial results. See “Risk Factors—Risks Related to Laws and Regulations—We are subject to federal, state and local taxes and may become subject to new taxes or have eliminated or reduced certain federal income tax deductions currently available with respect to oil and natural gas exploration and production activities as a result of future legislation, which could adversely affect our business, financial condition, results of operations and cash flows.”</w:t>
      </w:r>
    </w:p>
    <w:p>
      <w:pPr>
        <w:spacing w:after="0" w:line="204" w:lineRule="exact"/>
        <w:rPr>
          <w:sz w:val="20"/>
          <w:szCs w:val="20"/>
          <w:color w:val="auto"/>
        </w:rPr>
      </w:pPr>
    </w:p>
    <w:p>
      <w:pPr>
        <w:ind w:left="720"/>
        <w:spacing w:after="0"/>
        <w:rPr>
          <w:sz w:val="20"/>
          <w:szCs w:val="20"/>
          <w:color w:val="auto"/>
        </w:rPr>
      </w:pPr>
      <w:r>
        <w:rPr>
          <w:rFonts w:ascii="Calibri" w:cs="Calibri" w:eastAsia="Calibri" w:hAnsi="Calibri"/>
          <w:sz w:val="19"/>
          <w:szCs w:val="19"/>
          <w:i w:val="1"/>
          <w:iCs w:val="1"/>
          <w:color w:val="214E93"/>
        </w:rPr>
        <w:t>Underground Injection and Hydraulic Fracturing</w:t>
      </w:r>
    </w:p>
    <w:p>
      <w:pPr>
        <w:spacing w:after="0" w:line="208" w:lineRule="exact"/>
        <w:rPr>
          <w:sz w:val="20"/>
          <w:szCs w:val="20"/>
          <w:color w:val="auto"/>
        </w:rPr>
      </w:pPr>
    </w:p>
    <w:p>
      <w:pPr>
        <w:ind w:left="720" w:firstLine="241"/>
        <w:spacing w:after="0" w:line="269" w:lineRule="auto"/>
        <w:rPr>
          <w:sz w:val="20"/>
          <w:szCs w:val="20"/>
          <w:color w:val="auto"/>
        </w:rPr>
      </w:pPr>
      <w:r>
        <w:rPr>
          <w:rFonts w:ascii="Calibri" w:cs="Calibri" w:eastAsia="Calibri" w:hAnsi="Calibri"/>
          <w:sz w:val="18"/>
          <w:szCs w:val="18"/>
          <w:color w:val="auto"/>
        </w:rPr>
        <w:t>We own and operate underground injection wells throughout our areas of operation. Underground injection is the subsurface placement of fluid through a well, such as the reinjection of brine produced and separated from oil and natural gas production. Underground injection allows us to safely and economically dispose of produced water. The Safe Drinking Water Act (the “SDWA”) establishes a regulatory framework for underground injection, the primary objective of which is to ensure the mechanical integrity of the injection apparatus and to prevent migration of fluids from the injection zone into underground sources of drinking water. In addition, the Railroad Commission of Texas (the “RRC”) and the NMOCD require injected fluids to be confined to a permitted injection interval to aid in the protection of potentially productive intervals. The disposal of hazardous waste by underground injection is subject to stricter requirements than the disposal of produced water. Failure to obtain, or abide by the requirements for the issuance of, necessary permits could subject us to civil and/or criminal enforcement actions and penalties. In addition, in some instances, the operation of underground injection wells has been alleged to cause earthquakes (induced seismicity) as a result of flawed well design or operation. This has resulted in stricter regulatory requirements in some jurisdictions relating to the location and operation of underground injection wells.</w:t>
      </w:r>
    </w:p>
    <w:p>
      <w:pPr>
        <w:spacing w:after="0" w:line="216" w:lineRule="exact"/>
        <w:rPr>
          <w:sz w:val="20"/>
          <w:szCs w:val="20"/>
          <w:color w:val="auto"/>
        </w:rPr>
      </w:pPr>
    </w:p>
    <w:p>
      <w:pPr>
        <w:ind w:left="720" w:right="40" w:firstLine="241"/>
        <w:spacing w:after="0" w:line="286" w:lineRule="auto"/>
        <w:rPr>
          <w:sz w:val="20"/>
          <w:szCs w:val="20"/>
          <w:color w:val="auto"/>
        </w:rPr>
      </w:pPr>
      <w:r>
        <w:rPr>
          <w:rFonts w:ascii="Calibri" w:cs="Calibri" w:eastAsia="Calibri" w:hAnsi="Calibri"/>
          <w:sz w:val="17"/>
          <w:szCs w:val="17"/>
          <w:color w:val="auto"/>
        </w:rPr>
        <w:t>In addition, a number of lawsuits have been filed in some states against others in our industry alleging that fluid injection or oil and natural gas extraction have caused damage to neighboring properties or otherwise violated state and federal rules regulating waste disposal. In response to these concerns, regulators in some states, including New Mexico and Texas, have imposed additional regulatory or permitting requirements, including requirements regarding the permitting of salt water disposal wells or otherwise, to assess the relationship between seismicity and the use of such wells and, in some instances, allow the agency to modify, suspend, or terminate existing operating permits for disposal wells. The potential adoption of federal, state and local legislation and regulations intended to address induced seismicity in the areas in which we operate could restrict our drilling and production activities and our midstream operations, as well as our ability to dispose of produced water gathered from such activities, which could result in increased costs and additional operating restrictions or delays that could, in turn, materially impact our production volumes, revenues, reserves, cash flows and availability under our secured revolving credit facility (the “Credit Agreement”).</w:t>
      </w:r>
    </w:p>
    <w:p>
      <w:pPr>
        <w:sectPr>
          <w:pgSz w:w="11880" w:h="15480" w:orient="portrait"/>
          <w:cols w:equalWidth="0" w:num="1">
            <w:col w:w="10280"/>
          </w:cols>
          <w:pgMar w:left="44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440" w:top="498" w:right="1160" w:bottom="0" w:gutter="0" w:footer="0" w:header="0"/>
          <w:type w:val="continuous"/>
        </w:sectPr>
      </w:pPr>
    </w:p>
    <w:bookmarkStart w:id="46" w:name="page47"/>
    <w:bookmarkEnd w:id="46"/>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33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740" w:firstLine="241"/>
        <w:spacing w:after="0" w:line="267" w:lineRule="auto"/>
        <w:rPr>
          <w:sz w:val="20"/>
          <w:szCs w:val="20"/>
          <w:color w:val="auto"/>
        </w:rPr>
      </w:pPr>
      <w:r>
        <w:rPr>
          <w:rFonts w:ascii="Calibri" w:cs="Calibri" w:eastAsia="Calibri" w:hAnsi="Calibri"/>
          <w:sz w:val="18"/>
          <w:szCs w:val="18"/>
          <w:color w:val="auto"/>
        </w:rPr>
        <w:t>We use hydraulic fracturing as a means to maximize the recovery of oil and natural gas in almost every well that we drill and complete. Although average drilling and completion costs for each area will vary, as will the cost of each well within a given area, on average approximately half of the total well costs for our horizontal wells are attributable to overall completion activities, which are primarily focused on hydraulic fracture treatment operations. A change to any federal and state laws and regulations governing hydraulic fracturing could impact these costs and adversely affect our business and financial results. See “Risk Factors—Risks Related to Laws and Regulations—Federal and state legislation and regulatory initiatives relating to hydraulic fracturing could result in increased costs and additional operating restrictions or delays.”</w:t>
      </w:r>
    </w:p>
    <w:p>
      <w:pPr>
        <w:spacing w:after="0" w:line="220" w:lineRule="exact"/>
        <w:rPr>
          <w:sz w:val="20"/>
          <w:szCs w:val="20"/>
          <w:color w:val="auto"/>
        </w:rPr>
      </w:pPr>
    </w:p>
    <w:p>
      <w:pPr>
        <w:ind w:right="740" w:firstLine="241"/>
        <w:spacing w:after="0" w:line="269" w:lineRule="auto"/>
        <w:rPr>
          <w:sz w:val="20"/>
          <w:szCs w:val="20"/>
          <w:color w:val="auto"/>
        </w:rPr>
      </w:pPr>
      <w:r>
        <w:rPr>
          <w:rFonts w:ascii="Calibri" w:cs="Calibri" w:eastAsia="Calibri" w:hAnsi="Calibri"/>
          <w:sz w:val="18"/>
          <w:szCs w:val="18"/>
          <w:color w:val="auto"/>
        </w:rPr>
        <w:t>The process of hydraulic fracturing is typically regulated by state oil and natural gas commissions. Various policy makers, regulatory agencies and political candidates at the federal, state and local levels have proposed restrictions on hydraulic fracturing, including its outright prohibition. Restrictions on hydraulic fracturing could reduce the amount of oil and natural gas that we are ultimately able to produce. Some states and localities have placed additional regulatory burdens upon hydraulic fracturing activities and, in some areas, severely restricted or prohibited those activities. For example, in recent years, various bills have been introduced in the New Mexico legislature to place a moratorium on, ban or otherwise restrict hydraulic fracturing, including prohibiting the injection of fresh water in such operations. In addition, separate and apart from the referenced potential connection between injection wells and seismicity, concerns have been raised that hydraulic fracturing activities may be correlated to induced seismicity. The scientific community and regulatory agencies at all levels are studying the possible linkage between oil and natural gas activity and induced seismicity, and some state regulatory agencies have modified their regulations or guidance to mitigate potential causes of induced seismicity. Hydraulic fracturing is generally exempted from federal regulation as underground injection (unless diesel is a component of the fracturing fluid) under the SDWA. If the exemption for hydraulic fracturing is removed from the SDWA, or if other legislation is enacted at the federal, state or local level imposing any restrictions on the use of hydraulic fracturing, this could have a material adverse impact on our financial condition, results of operations and cash flows. Additional burdens upon hydraulic fracturing, such as reporting or permitting requirements, would result in additional expense and delay in our operations. See “Risk Factors—Risks Related to Laws and Regulations—Federal and state legislation and regulatory initiatives relating to hydraulic fracturing could result in increased costs and additional operating restrictions or delays” and “Risk Factors—Risks Related to Laws and Regulations—Approximately 33% of our leasehold and mineral acres in the Delaware Basin is located on federal lands, which are subject to administrative permitting requirements and potential federal legislation, regulation and orders that may limit or restrict oil and natural gas operations on federal lands.”</w:t>
      </w:r>
    </w:p>
    <w:p>
      <w:pPr>
        <w:spacing w:after="0" w:line="216"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Environmental, Health and Safety Regulation</w:t>
      </w:r>
    </w:p>
    <w:p>
      <w:pPr>
        <w:spacing w:after="0" w:line="208" w:lineRule="exact"/>
        <w:rPr>
          <w:sz w:val="20"/>
          <w:szCs w:val="20"/>
          <w:color w:val="auto"/>
        </w:rPr>
      </w:pPr>
    </w:p>
    <w:p>
      <w:pPr>
        <w:ind w:right="720" w:firstLine="241"/>
        <w:spacing w:after="0" w:line="269" w:lineRule="auto"/>
        <w:rPr>
          <w:sz w:val="20"/>
          <w:szCs w:val="20"/>
          <w:color w:val="auto"/>
        </w:rPr>
      </w:pPr>
      <w:r>
        <w:rPr>
          <w:rFonts w:ascii="Calibri" w:cs="Calibri" w:eastAsia="Calibri" w:hAnsi="Calibri"/>
          <w:sz w:val="18"/>
          <w:szCs w:val="18"/>
          <w:color w:val="auto"/>
        </w:rPr>
        <w:t>The exploration, development, production, gathering and processing of oil and natural gas are subject to various federal, state and local environmental laws and regulations. These laws and regulations can increase the costs of planning, designing, drilling, completing and operating oil and natural gas wells, midstream facilities and produced water injection and disposal wells. Our activities are subject to a variety of environmental laws and regulations, including: the Oil Pollution Act of 1990 (the “OPA 90”), the Clean Water Act (the “CWA”), the Comprehensive Environmental Response, Compensation, and Liability Act (“CERCLA”), the Resource Conservation and Recovery Act (“RCRA”), the CAA and the Occupational Safety and Health Act (“OSHA”), as well as comparable state statutes and regulations. We are also subject to regulations governing the handling, transportation, storage and disposal of wastes generated by our activities and naturally occurring radioactive materials (“NORM”) that may result from our oil and natural gas operations. Administrative, civil and criminal fines and penalties may be imposed for noncompliance with these environmental laws and regulations, and violations and liability with respect to these laws and regulations could also result in remedial clean-ups, natural resource damages, permit modifications or revocations, operational interruptions or shutdowns and other liabilities. Additionally, these laws and regulations require the acquisition of permits or other governmental authorizations before undertaking some activities, may require notice to stakeholders of proposed and ongoing operations, limit or prohibit other activities because of protected wetlands, areas or species and require investigation and cleanup of pollution. These laws, rules and regulations may also restrict the production rate of oil and natural gas or limit the injection of produced water into disposal wells below the rates that would otherwise be possible. We expect to remain in compliance in all material respects with currently applicable environmental laws and regulations and do not expect that these laws and regulations will have a material adverse impact on us.</w:t>
      </w:r>
    </w:p>
    <w:p>
      <w:pPr>
        <w:spacing w:after="0" w:line="226" w:lineRule="exact"/>
        <w:rPr>
          <w:sz w:val="20"/>
          <w:szCs w:val="20"/>
          <w:color w:val="auto"/>
        </w:rPr>
      </w:pPr>
    </w:p>
    <w:p>
      <w:pPr>
        <w:ind w:right="800" w:firstLine="241"/>
        <w:spacing w:after="0" w:line="283" w:lineRule="auto"/>
        <w:rPr>
          <w:sz w:val="20"/>
          <w:szCs w:val="20"/>
          <w:color w:val="auto"/>
        </w:rPr>
      </w:pPr>
      <w:r>
        <w:rPr>
          <w:rFonts w:ascii="Calibri" w:cs="Calibri" w:eastAsia="Calibri" w:hAnsi="Calibri"/>
          <w:sz w:val="17"/>
          <w:szCs w:val="17"/>
          <w:color w:val="auto"/>
        </w:rPr>
        <w:t>The OPA 90 and its regulations impose requirements on “responsible parties” related to the prevention of crude oil spills and liability for damages resulting from oil spills into or upon navigable waters, adjoining shorelines or in the exclusive economic zone of the United States. A “responsible party” under the OPA 90 may include the owner or operator of an onshore facility. The OPA 90</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92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1160" w:top="498" w:right="440" w:bottom="0" w:gutter="0" w:footer="0" w:header="0"/>
          <w:type w:val="continuous"/>
        </w:sectPr>
      </w:pPr>
    </w:p>
    <w:bookmarkStart w:id="47" w:name="page48"/>
    <w:bookmarkEnd w:id="47"/>
    <w:p>
      <w:pPr>
        <w:spacing w:after="0"/>
        <w:tabs>
          <w:tab w:leader="none" w:pos="740" w:val="left"/>
        </w:tabs>
        <w:rPr>
          <w:sz w:val="20"/>
          <w:szCs w:val="20"/>
          <w:color w:val="auto"/>
        </w:rPr>
      </w:pPr>
      <w:r>
        <w:rPr>
          <w:rFonts w:ascii="Calibri" w:cs="Calibri" w:eastAsia="Calibri" w:hAnsi="Calibri"/>
          <w:sz w:val="18"/>
          <w:szCs w:val="18"/>
          <w:color w:val="auto"/>
        </w:rPr>
        <w:t>34</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20" w:right="400"/>
        <w:spacing w:after="0" w:line="261" w:lineRule="auto"/>
        <w:rPr>
          <w:sz w:val="20"/>
          <w:szCs w:val="20"/>
          <w:color w:val="auto"/>
        </w:rPr>
      </w:pPr>
      <w:r>
        <w:rPr>
          <w:rFonts w:ascii="Calibri" w:cs="Calibri" w:eastAsia="Calibri" w:hAnsi="Calibri"/>
          <w:sz w:val="18"/>
          <w:szCs w:val="18"/>
          <w:color w:val="auto"/>
        </w:rPr>
        <w:t>subjects responsible parties to strict, joint and several financial liability for removal and remediation costs and other damages, including natural resource damages, caused by an oil spill that is covered by the statute. Failure to comply with the OPA 90 may subject a responsible party to civil or criminal enforcement action.</w:t>
      </w:r>
    </w:p>
    <w:p>
      <w:pPr>
        <w:spacing w:after="0" w:line="223" w:lineRule="exact"/>
        <w:rPr>
          <w:sz w:val="20"/>
          <w:szCs w:val="20"/>
          <w:color w:val="auto"/>
        </w:rPr>
      </w:pPr>
    </w:p>
    <w:p>
      <w:pPr>
        <w:ind w:left="720" w:firstLine="241"/>
        <w:spacing w:after="0" w:line="267" w:lineRule="auto"/>
        <w:rPr>
          <w:sz w:val="20"/>
          <w:szCs w:val="20"/>
          <w:color w:val="auto"/>
        </w:rPr>
      </w:pPr>
      <w:r>
        <w:rPr>
          <w:rFonts w:ascii="Calibri" w:cs="Calibri" w:eastAsia="Calibri" w:hAnsi="Calibri"/>
          <w:sz w:val="18"/>
          <w:szCs w:val="18"/>
          <w:color w:val="auto"/>
        </w:rPr>
        <w:t>The CWA and comparable state laws impose restrictions and strict controls regarding the discharge of produced waters, fill materials and other materials into navigable waters. These controls have become more stringent over the years, and it is possible that additional restrictions will be imposed in the future. Permits are required to discharge pollutants into certain state and federal waters and to conduct construction activities in those waters and wetlands. The CWA and comparable state statutes provide for civil, criminal and administrative penalties for any unauthorized discharges of oil and other pollutants and impose liability for the costs of removal or remediation of contamination resulting from such discharges.</w:t>
      </w:r>
    </w:p>
    <w:p>
      <w:pPr>
        <w:spacing w:after="0" w:line="217" w:lineRule="exact"/>
        <w:rPr>
          <w:sz w:val="20"/>
          <w:szCs w:val="20"/>
          <w:color w:val="auto"/>
        </w:rPr>
      </w:pPr>
    </w:p>
    <w:p>
      <w:pPr>
        <w:ind w:left="720" w:right="20" w:firstLine="241"/>
        <w:spacing w:after="0" w:line="268" w:lineRule="auto"/>
        <w:rPr>
          <w:sz w:val="20"/>
          <w:szCs w:val="20"/>
          <w:color w:val="auto"/>
        </w:rPr>
      </w:pPr>
      <w:r>
        <w:rPr>
          <w:rFonts w:ascii="Calibri" w:cs="Calibri" w:eastAsia="Calibri" w:hAnsi="Calibri"/>
          <w:sz w:val="18"/>
          <w:szCs w:val="18"/>
          <w:color w:val="auto"/>
        </w:rPr>
        <w:t>CERCLA, also known as the “Superfund” law, imposes liability, without regard to fault or the legality of the original conduct, on various classes of persons that are considered to have contributed to the release of a “hazardous substance” into the environment. These persons include the owner or operator of the site where the release occurred and companies that disposed of, or arranged for the disposal of, the hazardous substances found at the site. Persons who are responsible for releases of hazardous substances under CERCLA may be subject to joint and several liability for the costs of cleaning up the hazardous substances and for damages to natural resources. In addition, it is not uncommon for neighboring landowners and other third parties to file claims for personal injury and property damage allegedly caused by hazardous substances released into the environment. Although CERCLA generally exempts petroleum from the definition of hazardous substances, our operations may, and in all likelihood will, involve the use or handling of materials that are classified as hazardous substances under CERCLA. Each state also has environmental cleanup laws analogous to CERCLA.</w:t>
      </w:r>
    </w:p>
    <w:p>
      <w:pPr>
        <w:spacing w:after="0" w:line="222" w:lineRule="exact"/>
        <w:rPr>
          <w:sz w:val="20"/>
          <w:szCs w:val="20"/>
          <w:color w:val="auto"/>
        </w:rPr>
      </w:pPr>
    </w:p>
    <w:p>
      <w:pPr>
        <w:ind w:left="720" w:firstLine="241"/>
        <w:spacing w:after="0" w:line="268" w:lineRule="auto"/>
        <w:rPr>
          <w:sz w:val="20"/>
          <w:szCs w:val="20"/>
          <w:color w:val="auto"/>
        </w:rPr>
      </w:pPr>
      <w:r>
        <w:rPr>
          <w:rFonts w:ascii="Calibri" w:cs="Calibri" w:eastAsia="Calibri" w:hAnsi="Calibri"/>
          <w:sz w:val="18"/>
          <w:szCs w:val="18"/>
          <w:color w:val="auto"/>
        </w:rPr>
        <w:t>RCRA and comparable state and local statutes govern the management, including treatment, storage and disposal, of both hazardous and nonhazardous solid wastes. We generate hazardous and nonhazardous solid waste in connection with our routine operations. RCRA includes a statutory exemption that allows many wastes associated with crude oil and natural gas exploration and production to be classified as nonhazardous waste. A similar exemption is contained in many of the state counterparts to RCRA. Not all of the wastes we generate fall within these exemptions. At various times in the past, proposals have been made to amend RCRA to eliminate the exemption applicable to crude oil and natural gas exploration and production wastes. Repeal or modifications of this exemption by administrative, legislative or judicial process, or through changes in applicable state statutes, would increase the volume of hazardous waste we are required to manage and dispose of and would cause us, as well as our competitors, to incur increased operating expenses. Hazardous wastes are subject to more stringent and costly disposal requirements than nonhazardous wastes.</w:t>
      </w:r>
    </w:p>
    <w:p>
      <w:pPr>
        <w:spacing w:after="0" w:line="222" w:lineRule="exact"/>
        <w:rPr>
          <w:sz w:val="20"/>
          <w:szCs w:val="20"/>
          <w:color w:val="auto"/>
        </w:rPr>
      </w:pPr>
    </w:p>
    <w:p>
      <w:pPr>
        <w:ind w:left="720" w:firstLine="241"/>
        <w:spacing w:after="0" w:line="268" w:lineRule="auto"/>
        <w:rPr>
          <w:sz w:val="20"/>
          <w:szCs w:val="20"/>
          <w:color w:val="auto"/>
        </w:rPr>
      </w:pPr>
      <w:r>
        <w:rPr>
          <w:rFonts w:ascii="Calibri" w:cs="Calibri" w:eastAsia="Calibri" w:hAnsi="Calibri"/>
          <w:sz w:val="18"/>
          <w:szCs w:val="18"/>
          <w:color w:val="auto"/>
        </w:rPr>
        <w:t>The CAA, as amended, restricts the emission of air pollutants from many sources, including oil and natural gas production. In addition, certain states have comparable legislation, which may be more restrictive than the CAA. These laws and any implementing regulations impose stringent air permit requirements and require us to obtain pre-approval for the construction or modification of certain projects or facilities expected to produce air emissions, or to use specific equipment or technologies to control emissions. Federal and state regulatory agencies can impose administrative, civil and criminal penalties for non-compliance with air permits or other requirements of the CAA and associated state laws and regulations. On August 16, 2022, the IRA created the Methane Emissions Reduction Program to incentivize methane emission reductions and impose a waste emissions charge on greenhouse gas emissions from certain facilities that exceed specified emissions levels. However, the OBBBA delayed implementation of the waste emissions charges for the oil and gas industry until 2034. See “Risk Factors—Risks Related to Laws and Regulations—New regulations on all emissions from our operations could cause us to incur significant costs.”</w:t>
      </w:r>
    </w:p>
    <w:p>
      <w:pPr>
        <w:spacing w:after="0" w:line="222" w:lineRule="exact"/>
        <w:rPr>
          <w:sz w:val="20"/>
          <w:szCs w:val="20"/>
          <w:color w:val="auto"/>
        </w:rPr>
      </w:pPr>
    </w:p>
    <w:p>
      <w:pPr>
        <w:ind w:left="720" w:right="140" w:firstLine="241"/>
        <w:spacing w:after="0" w:line="286" w:lineRule="auto"/>
        <w:rPr>
          <w:sz w:val="20"/>
          <w:szCs w:val="20"/>
          <w:color w:val="auto"/>
        </w:rPr>
      </w:pPr>
      <w:r>
        <w:rPr>
          <w:rFonts w:ascii="Calibri" w:cs="Calibri" w:eastAsia="Calibri" w:hAnsi="Calibri"/>
          <w:sz w:val="17"/>
          <w:szCs w:val="17"/>
          <w:color w:val="auto"/>
        </w:rPr>
        <w:t>Internationally, in 2015, the United States participated in the United Nations Conference on Climate Change, which led to the creation of the Paris Agreement. The Paris Agreement, which was signed by the United States in April 2016, requires countries to review and “represent a progression” in their intended nationally determined contributions (“NDC”), which set greenhouse gas emission reduction goals, every five years beginning in 2020. The United States exited the Paris Agreement in November 2020, but rejoined the agreement effective February 19, 2021. In April 2021, the United States made its NDC submittal, setting an emissions reduction goal of a 50 to 52% reduction from 2005 levels in economy-wide net greenhouse gas pollution in 2030. Further, in November 2021, the United States and other countries entered into the Glasgow Climate Pact, which included a range of measures designed to address climate change, including the phase-out of fossil fuel subsidies, reducing methane emissions 30% by 2030 and cooperating toward the advancement of the development of alternative sources of energy. However, the Trump administration</w:t>
      </w:r>
    </w:p>
    <w:p>
      <w:pPr>
        <w:sectPr>
          <w:pgSz w:w="11880" w:h="15480" w:orient="portrait"/>
          <w:cols w:equalWidth="0" w:num="1">
            <w:col w:w="10280"/>
          </w:cols>
          <w:pgMar w:left="44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440" w:top="498" w:right="1160" w:bottom="0" w:gutter="0" w:footer="0" w:header="0"/>
          <w:type w:val="continuous"/>
        </w:sectPr>
      </w:pPr>
    </w:p>
    <w:bookmarkStart w:id="48" w:name="page49"/>
    <w:bookmarkEnd w:id="48"/>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35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720"/>
        <w:spacing w:after="0" w:line="267" w:lineRule="auto"/>
        <w:rPr>
          <w:sz w:val="20"/>
          <w:szCs w:val="20"/>
          <w:color w:val="auto"/>
        </w:rPr>
      </w:pPr>
      <w:r>
        <w:rPr>
          <w:rFonts w:ascii="Calibri" w:cs="Calibri" w:eastAsia="Calibri" w:hAnsi="Calibri"/>
          <w:sz w:val="18"/>
          <w:szCs w:val="18"/>
          <w:color w:val="auto"/>
        </w:rPr>
        <w:t>changed course on the United States’ participation in international climate initiatives. In January 2025, the Trump administration issued an executive order directing the U.S. Ambassador to the United Nations to immediately submit formal written notification of the U.S.’s withdrawal from the Paris Agreement and any agreement, pact, accord or similar commitment made under the United Nations Framework Convention on Climate Change, which would include the Glasgow Climate Pact, and the U.S. Ambassador to the United Nations has submitted formal notifications to the United Nations of such withdrawals. The withdrawal of the United States from the Paris Agreement took effect on January 27, 2026. Certain states, including New Mexico, joined the U.S. Climate Alliance and have issued regulations aimed at supporting the goals of the Paris Agreement.</w:t>
      </w:r>
    </w:p>
    <w:p>
      <w:pPr>
        <w:spacing w:after="0" w:line="220" w:lineRule="exact"/>
        <w:rPr>
          <w:sz w:val="20"/>
          <w:szCs w:val="20"/>
          <w:color w:val="auto"/>
        </w:rPr>
      </w:pPr>
    </w:p>
    <w:p>
      <w:pPr>
        <w:ind w:right="820" w:firstLine="241"/>
        <w:spacing w:after="0" w:line="267" w:lineRule="auto"/>
        <w:rPr>
          <w:sz w:val="20"/>
          <w:szCs w:val="20"/>
          <w:color w:val="auto"/>
        </w:rPr>
      </w:pPr>
      <w:r>
        <w:rPr>
          <w:rFonts w:ascii="Calibri" w:cs="Calibri" w:eastAsia="Calibri" w:hAnsi="Calibri"/>
          <w:sz w:val="18"/>
          <w:szCs w:val="18"/>
          <w:color w:val="auto"/>
        </w:rPr>
        <w:t>In January 2019, New Mexico’s governor signed an executive order declaring that New Mexico would support the goals of the Paris Agreement by joining the U.S. Climate Alliance, a bipartisan coalition of governors committed to reducing greenhouse gas emissions consistent with the goals of the Paris Agreement. The stated objective of the executive order is to achieve a statewide reduction in greenhouse gas emissions of at least 45% by 2030 as compared to 2005 levels. The executive order also requires New Mexico regulatory agencies to create an “enforceable regulatory framework” to ensure methane emission reductions. The New Mexico Environment Department (“NMED”) and the NMOCD both issued regulations in response to the governor’s executive order, limiting some aspects of oil and gas operations in the state.</w:t>
      </w:r>
    </w:p>
    <w:p>
      <w:pPr>
        <w:spacing w:after="0" w:line="220" w:lineRule="exact"/>
        <w:rPr>
          <w:sz w:val="20"/>
          <w:szCs w:val="20"/>
          <w:color w:val="auto"/>
        </w:rPr>
      </w:pPr>
    </w:p>
    <w:p>
      <w:pPr>
        <w:ind w:right="720" w:firstLine="241"/>
        <w:spacing w:after="0" w:line="266" w:lineRule="auto"/>
        <w:rPr>
          <w:sz w:val="20"/>
          <w:szCs w:val="20"/>
          <w:color w:val="auto"/>
        </w:rPr>
      </w:pPr>
      <w:r>
        <w:rPr>
          <w:rFonts w:ascii="Calibri" w:cs="Calibri" w:eastAsia="Calibri" w:hAnsi="Calibri"/>
          <w:sz w:val="18"/>
          <w:szCs w:val="18"/>
          <w:color w:val="auto"/>
        </w:rPr>
        <w:t>In January 2025, the NMED announced that, due to budget constraints, the NMED Cabinet Secretary will issue a temporary emergency rule to suspend deadlines to issue air permits. Air permits are required for the construction of new oil and gas production facilities or the modification of existing facilities in New Mexico. Whether this announcement will result in meaningful delays or cancellation of our permit applications is uncertain. Any interruption in our ability to timely obtain air permits could result in delays in or an inability to proceed with our development plans for our oil and natural gas operations.</w:t>
      </w:r>
    </w:p>
    <w:p>
      <w:pPr>
        <w:spacing w:after="0" w:line="218" w:lineRule="exact"/>
        <w:rPr>
          <w:sz w:val="20"/>
          <w:szCs w:val="20"/>
          <w:color w:val="auto"/>
        </w:rPr>
      </w:pPr>
    </w:p>
    <w:p>
      <w:pPr>
        <w:ind w:right="760" w:firstLine="241"/>
        <w:spacing w:after="0" w:line="269" w:lineRule="auto"/>
        <w:rPr>
          <w:sz w:val="20"/>
          <w:szCs w:val="20"/>
          <w:color w:val="auto"/>
        </w:rPr>
      </w:pPr>
      <w:r>
        <w:rPr>
          <w:rFonts w:ascii="Calibri" w:cs="Calibri" w:eastAsia="Calibri" w:hAnsi="Calibri"/>
          <w:sz w:val="18"/>
          <w:szCs w:val="18"/>
          <w:color w:val="auto"/>
        </w:rPr>
        <w:t>Changes in environmental laws and regulations occur frequently, and any changes that result in more stringent and costly waste handling, storage, transport, disposal, cleanup or operating requirements could materially adversely affect our operations and financial condition, as well as those of the oil and natural gas industry in general. For example, on March 8, 2024, the EPA issued a final rule to regulate emissions from oil and natural gas sources that includes NSPS to limit greenhouse gas and volatile organic compound emissions for new, modified or reconstructed sources, as well as emissions guidelines for states to follow when establishing plans to limit methane emissions from existing sources. On December 3, 2025, the EPA issued a final rule extending certain compliance deadlines in the March 8, 2024 rule. Additionally, on November 17, 2023, the EPA issued a final rule that enables states to implement more stringent methane emissions standards than the federal guidelines require. As another example, in April 2024, the EPA issued a final consent decree that established a December 10, 2024 deadline for the EPA to review and propose revisions to the National Emission Standards for Hazardous Air Pollutants (“NESHAP”) for oil and natural gas production facilities and natural gas transmission and storage facilities, which may require us to make additional changes to our operations. The EPA has not yet proposed any such revisions.</w:t>
      </w:r>
    </w:p>
    <w:p>
      <w:pPr>
        <w:spacing w:after="0" w:line="216" w:lineRule="exact"/>
        <w:rPr>
          <w:sz w:val="20"/>
          <w:szCs w:val="20"/>
          <w:color w:val="auto"/>
        </w:rPr>
      </w:pPr>
    </w:p>
    <w:p>
      <w:pPr>
        <w:ind w:right="800" w:firstLine="241"/>
        <w:spacing w:after="0" w:line="261" w:lineRule="auto"/>
        <w:rPr>
          <w:sz w:val="20"/>
          <w:szCs w:val="20"/>
          <w:color w:val="auto"/>
        </w:rPr>
      </w:pPr>
      <w:r>
        <w:rPr>
          <w:rFonts w:ascii="Calibri" w:cs="Calibri" w:eastAsia="Calibri" w:hAnsi="Calibri"/>
          <w:sz w:val="18"/>
          <w:szCs w:val="18"/>
          <w:color w:val="auto"/>
        </w:rPr>
        <w:t>On February 18, 2026, the EPA published a final rule rescinding the Endangerment Finding, which underpins the EPA’s regulation of greenhouse gas emissions. The rescission has been challenged in court, which could result in the rescission being stayed, overturned or limited in scope or effect. See “Regulation—Oil and Natural Gas Regulation” for additional information.</w:t>
      </w:r>
    </w:p>
    <w:p>
      <w:pPr>
        <w:spacing w:after="0" w:line="223" w:lineRule="exact"/>
        <w:rPr>
          <w:sz w:val="20"/>
          <w:szCs w:val="20"/>
          <w:color w:val="auto"/>
        </w:rPr>
      </w:pPr>
    </w:p>
    <w:p>
      <w:pPr>
        <w:ind w:right="720" w:firstLine="241"/>
        <w:spacing w:after="0" w:line="268" w:lineRule="auto"/>
        <w:rPr>
          <w:sz w:val="20"/>
          <w:szCs w:val="20"/>
          <w:color w:val="auto"/>
        </w:rPr>
      </w:pPr>
      <w:r>
        <w:rPr>
          <w:rFonts w:ascii="Calibri" w:cs="Calibri" w:eastAsia="Calibri" w:hAnsi="Calibri"/>
          <w:sz w:val="18"/>
          <w:szCs w:val="18"/>
          <w:color w:val="auto"/>
        </w:rPr>
        <w:t>Legislative and regulatory initiatives related to climate change and greenhouse gas emissions could, and in all likelihood would, require us to incur increased operating costs adversely affecting our profits and could adversely affect demand for the oil and natural gas we produce, depressing the prices we receive for oil and natural gas. See “Risk Factors—Risks Related to Laws and Regulations— Legislation or regulations restricting emissions of greenhouse gases or promoting the development of alternative sources of energy could result in increased operating costs and reduced demand for the oil, natural gas and NGLs we produce, while the physical effects of climate change could disrupt our production and cause us to incur significant costs in preparing for or responding to those effects” and “Risk Factors—Risks Related to Laws and Regulations—New regulations on all emissions from our operations could cause us to incur significant costs.”</w:t>
      </w:r>
    </w:p>
    <w:p>
      <w:pPr>
        <w:spacing w:after="0" w:line="217" w:lineRule="exact"/>
        <w:rPr>
          <w:sz w:val="20"/>
          <w:szCs w:val="20"/>
          <w:color w:val="auto"/>
        </w:rPr>
      </w:pPr>
    </w:p>
    <w:p>
      <w:pPr>
        <w:ind w:right="860" w:firstLine="241"/>
        <w:spacing w:after="0" w:line="284" w:lineRule="auto"/>
        <w:rPr>
          <w:sz w:val="20"/>
          <w:szCs w:val="20"/>
          <w:color w:val="auto"/>
        </w:rPr>
      </w:pPr>
      <w:r>
        <w:rPr>
          <w:rFonts w:ascii="Calibri" w:cs="Calibri" w:eastAsia="Calibri" w:hAnsi="Calibri"/>
          <w:sz w:val="17"/>
          <w:szCs w:val="17"/>
          <w:color w:val="auto"/>
        </w:rPr>
        <w:t>In the course of our routine oil and natural gas operations, surface spills and leaks, including casing leaks, of oil, produced water or other materials may occur, and we may incur costs for waste handling and environmental compliance. It is also possible that our oil and natural gas operations may require us to manage NORM. NORM is present in varying concentrations in sub-surface formations, including hydrocarbon reservoirs, and may become concentrated in scale, film and sludge in equipment that comes in</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892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1160" w:top="498" w:right="440" w:bottom="0" w:gutter="0" w:footer="0" w:header="0"/>
          <w:type w:val="continuous"/>
        </w:sectPr>
      </w:pPr>
    </w:p>
    <w:bookmarkStart w:id="49" w:name="page50"/>
    <w:bookmarkEnd w:id="49"/>
    <w:p>
      <w:pPr>
        <w:spacing w:after="0"/>
        <w:tabs>
          <w:tab w:leader="none" w:pos="740" w:val="left"/>
        </w:tabs>
        <w:rPr>
          <w:sz w:val="20"/>
          <w:szCs w:val="20"/>
          <w:color w:val="auto"/>
        </w:rPr>
      </w:pPr>
      <w:r>
        <w:rPr>
          <w:rFonts w:ascii="Calibri" w:cs="Calibri" w:eastAsia="Calibri" w:hAnsi="Calibri"/>
          <w:sz w:val="18"/>
          <w:szCs w:val="18"/>
          <w:color w:val="auto"/>
        </w:rPr>
        <w:t>36</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20" w:right="100"/>
        <w:spacing w:after="0" w:line="252" w:lineRule="auto"/>
        <w:rPr>
          <w:sz w:val="20"/>
          <w:szCs w:val="20"/>
          <w:color w:val="auto"/>
        </w:rPr>
      </w:pPr>
      <w:r>
        <w:rPr>
          <w:rFonts w:ascii="Calibri" w:cs="Calibri" w:eastAsia="Calibri" w:hAnsi="Calibri"/>
          <w:sz w:val="18"/>
          <w:szCs w:val="18"/>
          <w:color w:val="auto"/>
        </w:rPr>
        <w:t>contact with crude oil and natural gas production and processing streams. Some states, including Texas, New Mexico and Louisiana, have enacted regulations governing the handling, treatment, storage and disposal of NORM.</w:t>
      </w:r>
    </w:p>
    <w:p>
      <w:pPr>
        <w:spacing w:after="0" w:line="230" w:lineRule="exact"/>
        <w:rPr>
          <w:sz w:val="20"/>
          <w:szCs w:val="20"/>
          <w:color w:val="auto"/>
        </w:rPr>
      </w:pPr>
    </w:p>
    <w:p>
      <w:pPr>
        <w:ind w:left="720" w:right="40" w:firstLine="241"/>
        <w:spacing w:after="0" w:line="266" w:lineRule="auto"/>
        <w:rPr>
          <w:sz w:val="20"/>
          <w:szCs w:val="20"/>
          <w:color w:val="auto"/>
        </w:rPr>
      </w:pPr>
      <w:r>
        <w:rPr>
          <w:rFonts w:ascii="Calibri" w:cs="Calibri" w:eastAsia="Calibri" w:hAnsi="Calibri"/>
          <w:sz w:val="18"/>
          <w:szCs w:val="18"/>
          <w:color w:val="auto"/>
        </w:rPr>
        <w:t>We are subject to the requirements of OSHA and comparable state statutes. The OSHA Hazard Communication Standard, the “community right-to-know” regulations under Title III of the federal Superfund Amendments and Reauthorization Act and similar state statutes require us to organize information about hazardous materials used, released or produced in our operations. Certain of this information must be provided to employees, state and local governmental authorities and local citizens. We are also subject to the requirements and reporting set forth in OSHA workplace standards.</w:t>
      </w:r>
    </w:p>
    <w:p>
      <w:pPr>
        <w:spacing w:after="0" w:line="218" w:lineRule="exact"/>
        <w:rPr>
          <w:sz w:val="20"/>
          <w:szCs w:val="20"/>
          <w:color w:val="auto"/>
        </w:rPr>
      </w:pPr>
    </w:p>
    <w:p>
      <w:pPr>
        <w:ind w:left="720" w:right="40" w:firstLine="241"/>
        <w:spacing w:after="0" w:line="268" w:lineRule="auto"/>
        <w:rPr>
          <w:sz w:val="20"/>
          <w:szCs w:val="20"/>
          <w:color w:val="auto"/>
        </w:rPr>
      </w:pPr>
      <w:r>
        <w:rPr>
          <w:rFonts w:ascii="Calibri" w:cs="Calibri" w:eastAsia="Calibri" w:hAnsi="Calibri"/>
          <w:sz w:val="18"/>
          <w:szCs w:val="18"/>
          <w:color w:val="auto"/>
        </w:rPr>
        <w:t>The Endangered Species Act (“ESA”) was established to protect endangered and threatened species. Pursuant to the ESA, if a species is listed as threatened or endangered, restrictions may be imposed on activities adversely affecting that species’ habitat. For example, when the USFWS issues a final rule listing a species as endangered or threatened, the USFWS must also designate the species’ critical habitat and suitable habitat as part of the effort to ensure survival of the species. A critical habitat or suitable habitat designation could result in material restrictions on land use and may materially impact oil and natural gas development. Our oil and natural gas operations in certain of our operating areas could also be adversely affected by seasonal or permanent restrictions on drilling activity designed to protect certain wildlife in the Delaware Basin and other areas in which we operate and our ability to maximize production from our leases may be adversely impacted by these restrictions. See “Risk Factors—Risks Related to Laws and Regulations—We are subject to government regulation and liability, including complex environmental laws, which could require significant expenditures.”</w:t>
      </w:r>
    </w:p>
    <w:p>
      <w:pPr>
        <w:spacing w:after="0" w:line="222" w:lineRule="exact"/>
        <w:rPr>
          <w:sz w:val="20"/>
          <w:szCs w:val="20"/>
          <w:color w:val="auto"/>
        </w:rPr>
      </w:pPr>
    </w:p>
    <w:p>
      <w:pPr>
        <w:ind w:left="720" w:right="80" w:firstLine="241"/>
        <w:spacing w:after="0" w:line="269" w:lineRule="auto"/>
        <w:rPr>
          <w:sz w:val="20"/>
          <w:szCs w:val="20"/>
          <w:color w:val="auto"/>
        </w:rPr>
      </w:pPr>
      <w:r>
        <w:rPr>
          <w:rFonts w:ascii="Calibri" w:cs="Calibri" w:eastAsia="Calibri" w:hAnsi="Calibri"/>
          <w:sz w:val="18"/>
          <w:szCs w:val="18"/>
          <w:color w:val="auto"/>
        </w:rPr>
        <w:t>We have not in the past been, and do not anticipate in the near future to be, required to expend amounts that are material in relation to our total capital expenditures as a result of environmental laws and regulations, but since these laws and regulations are periodically amended, we are unable to predict the ultimate cost of compliance. We have no assurance that more stringent environmental laws and regulations will not be adopted or that we will not otherwise incur material expenses in connection with environmental laws and regulations in the future. The overall trend in environmental regulation is to place more restrictions and limitations on activities that may affect the environment. Any changes in environmental laws and regulations or re-interpretation of enforcement policies that result in more stringent and costly permitting, emissions control, waste handling, storage, transport, disposal or remediation requirements could have a material adverse effect on our operations and financial condition. We may be unable or unwilling to pass on such increased compliance costs to our customers. Moreover, accidental releases or spills may occur in the course of our operations, and we have no assurance that we will not incur significant costs and liabilities as a result of such releases or spills, including any third-party claims for damage to property, natural resources or persons. See “Risk Factors—Risks Related to Laws and Regulations—We are subject to government regulation and liability, including complex environmental laws, which could require significant expenditures.”</w:t>
      </w:r>
    </w:p>
    <w:p>
      <w:pPr>
        <w:spacing w:after="0" w:line="218" w:lineRule="exact"/>
        <w:rPr>
          <w:sz w:val="20"/>
          <w:szCs w:val="20"/>
          <w:color w:val="auto"/>
        </w:rPr>
      </w:pPr>
    </w:p>
    <w:p>
      <w:pPr>
        <w:ind w:left="720" w:firstLine="241"/>
        <w:spacing w:after="0" w:line="286" w:lineRule="auto"/>
        <w:rPr>
          <w:sz w:val="20"/>
          <w:szCs w:val="20"/>
          <w:color w:val="auto"/>
        </w:rPr>
      </w:pPr>
      <w:r>
        <w:rPr>
          <w:rFonts w:ascii="Calibri" w:cs="Calibri" w:eastAsia="Calibri" w:hAnsi="Calibri"/>
          <w:sz w:val="17"/>
          <w:szCs w:val="17"/>
          <w:color w:val="auto"/>
        </w:rPr>
        <w:t>Oil and natural gas exploration and production operations and other activities have been conducted on some of our properties by previous owners and operators. Operations by previous owners and operators may not have been conducted in compliance with applicable rules and regulations, and materials from these operations may remain on some of the properties, and, in some instances, require remediation. In addition, we occasionally must agree to indemnify sellers and buyers, respectively, of producing properties against some of the liability for environmental claims or violations associated with the properties we purchase or sell, respectively. Moreover, we will be able to control directly the operations of only those wells we operate. Despite our lack of control over wells owned partly by us but operated by others, the failure of the operator to comply with the applicable environmental regulations may, in certain circumstances, be attributable to us. While we do not believe that costs we incur for compliance with environmental regulations and remediating previously or currently owned or operated properties will be material, we cannot provide any assurances that these costs will not result in material expenditures that adversely affect our profitability.</w:t>
      </w:r>
    </w:p>
    <w:p>
      <w:pPr>
        <w:spacing w:after="0" w:line="203" w:lineRule="exact"/>
        <w:rPr>
          <w:sz w:val="20"/>
          <w:szCs w:val="20"/>
          <w:color w:val="auto"/>
        </w:rPr>
      </w:pPr>
    </w:p>
    <w:p>
      <w:pPr>
        <w:ind w:left="720" w:right="160" w:firstLine="241"/>
        <w:spacing w:after="0" w:line="267" w:lineRule="auto"/>
        <w:rPr>
          <w:sz w:val="20"/>
          <w:szCs w:val="20"/>
          <w:color w:val="auto"/>
        </w:rPr>
      </w:pPr>
      <w:r>
        <w:rPr>
          <w:rFonts w:ascii="Calibri" w:cs="Calibri" w:eastAsia="Calibri" w:hAnsi="Calibri"/>
          <w:sz w:val="18"/>
          <w:szCs w:val="18"/>
          <w:color w:val="auto"/>
        </w:rPr>
        <w:t>We maintain insurance against some, but not all, potential risks and losses associated with our industry and operations. We generally do not carry business interruption insurance other than with respect to our midstream business. For some risks, we may not obtain insurance if we believe the cost of available insurance is excessive relative to the risks presented. In addition, pollution and environmental risks generally are not fully insurable. If a significant accident or other event occurs and is not fully covered by insurance, it could materially adversely affect our financial condition, results of operations and cash flows. See “Risk Factors—Risks Related to our Operations—Insurance against all operational risks is not available to us.”</w:t>
      </w:r>
    </w:p>
    <w:p>
      <w:pPr>
        <w:sectPr>
          <w:pgSz w:w="11880" w:h="15480" w:orient="portrait"/>
          <w:cols w:equalWidth="0" w:num="1">
            <w:col w:w="10280"/>
          </w:cols>
          <w:pgMar w:left="44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440" w:top="498" w:right="1160" w:bottom="0" w:gutter="0" w:footer="0" w:header="0"/>
          <w:type w:val="continuous"/>
        </w:sectPr>
      </w:pPr>
    </w:p>
    <w:bookmarkStart w:id="50" w:name="page51"/>
    <w:bookmarkEnd w:id="50"/>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37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Verdana" w:cs="Verdana" w:eastAsia="Verdana" w:hAnsi="Verdana"/>
          <w:sz w:val="20"/>
          <w:szCs w:val="20"/>
          <w:color w:val="214E93"/>
        </w:rPr>
        <w:t>OFFICE LOCATION</w:t>
      </w:r>
    </w:p>
    <w:p>
      <w:pPr>
        <w:spacing w:after="0" w:line="192" w:lineRule="exact"/>
        <w:rPr>
          <w:sz w:val="20"/>
          <w:szCs w:val="20"/>
          <w:color w:val="auto"/>
        </w:rPr>
      </w:pPr>
    </w:p>
    <w:p>
      <w:pPr>
        <w:ind w:left="240"/>
        <w:spacing w:after="0"/>
        <w:rPr>
          <w:sz w:val="20"/>
          <w:szCs w:val="20"/>
          <w:color w:val="auto"/>
        </w:rPr>
      </w:pPr>
      <w:r>
        <w:rPr>
          <w:rFonts w:ascii="Calibri" w:cs="Calibri" w:eastAsia="Calibri" w:hAnsi="Calibri"/>
          <w:sz w:val="18"/>
          <w:szCs w:val="18"/>
          <w:color w:val="auto"/>
        </w:rPr>
        <w:t>Our corporate headquarters are located at One Lincoln Centre, 5400 LBJ Freeway, Suite 1500, Dallas, Texas 75240.</w:t>
      </w:r>
    </w:p>
    <w:p>
      <w:pPr>
        <w:spacing w:after="0" w:line="239" w:lineRule="exact"/>
        <w:rPr>
          <w:sz w:val="20"/>
          <w:szCs w:val="20"/>
          <w:color w:val="auto"/>
        </w:rPr>
      </w:pPr>
    </w:p>
    <w:p>
      <w:pPr>
        <w:spacing w:after="0"/>
        <w:rPr>
          <w:sz w:val="20"/>
          <w:szCs w:val="20"/>
          <w:color w:val="auto"/>
        </w:rPr>
      </w:pPr>
      <w:r>
        <w:rPr>
          <w:rFonts w:ascii="Verdana" w:cs="Verdana" w:eastAsia="Verdana" w:hAnsi="Verdana"/>
          <w:sz w:val="20"/>
          <w:szCs w:val="20"/>
          <w:color w:val="214E93"/>
        </w:rPr>
        <w:t>HUMAN CAPITAL</w:t>
      </w:r>
    </w:p>
    <w:p>
      <w:pPr>
        <w:spacing w:after="0" w:line="209" w:lineRule="exact"/>
        <w:rPr>
          <w:sz w:val="20"/>
          <w:szCs w:val="20"/>
          <w:color w:val="auto"/>
        </w:rPr>
      </w:pPr>
    </w:p>
    <w:p>
      <w:pPr>
        <w:ind w:right="740" w:firstLine="241"/>
        <w:spacing w:after="0" w:line="268" w:lineRule="auto"/>
        <w:rPr>
          <w:sz w:val="20"/>
          <w:szCs w:val="20"/>
          <w:color w:val="auto"/>
        </w:rPr>
      </w:pPr>
      <w:r>
        <w:rPr>
          <w:rFonts w:ascii="Calibri" w:cs="Calibri" w:eastAsia="Calibri" w:hAnsi="Calibri"/>
          <w:sz w:val="18"/>
          <w:szCs w:val="18"/>
          <w:color w:val="auto"/>
        </w:rPr>
        <w:t>At December 31, 2025, we had 483 full-time employees. We believe that our relationships with our employees are satisfactory. No employee is covered by a collective bargaining agreement. From time to time, we use the services of independent consultants and contractors to perform various professional services, including in the areas of geology and geophysics, land, production and midstream operations, construction, design, well site surveillance and supervision, permitting and environmental assessment, legal and income tax preparation and accounting services. Independent contractors, at our request, drill and complete all of our wells and usually perform field and on-site production operation services for us, including midstream services, facilities construction, pumping, maintenance, dispatching, inspection and testing. If significant opportunities for company growth arise and require additional management and professional expertise, we will seek to employ qualified individuals to fill positions where that expertise is necessary to develop those opportunities.</w:t>
      </w:r>
    </w:p>
    <w:p>
      <w:pPr>
        <w:spacing w:after="0" w:line="205"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Employee Recruiting, Retention and Professional Development</w:t>
      </w:r>
    </w:p>
    <w:p>
      <w:pPr>
        <w:spacing w:after="0" w:line="208" w:lineRule="exact"/>
        <w:rPr>
          <w:sz w:val="20"/>
          <w:szCs w:val="20"/>
          <w:color w:val="auto"/>
        </w:rPr>
      </w:pPr>
    </w:p>
    <w:p>
      <w:pPr>
        <w:ind w:right="720" w:firstLine="241"/>
        <w:spacing w:after="0" w:line="266" w:lineRule="auto"/>
        <w:rPr>
          <w:sz w:val="20"/>
          <w:szCs w:val="20"/>
          <w:color w:val="auto"/>
        </w:rPr>
      </w:pPr>
      <w:r>
        <w:rPr>
          <w:rFonts w:ascii="Calibri" w:cs="Calibri" w:eastAsia="Calibri" w:hAnsi="Calibri"/>
          <w:sz w:val="18"/>
          <w:szCs w:val="18"/>
          <w:color w:val="auto"/>
        </w:rPr>
        <w:t>Our employees are our most important asset. We have invested the time, attention and resources necessary to recruit, retain and develop an extraordinary team. We offer a comprehensive compensation package with base pay, discretionary bonus and equity incentive opportunities, paid time off, 401(k) matching contributions, an employee stock purchase plan and an affordable and comprehensive health insurance program, among other benefits. We also provide employees the opportunity to have significant responsibility and daily interaction with our executive management and team leaders.</w:t>
      </w:r>
    </w:p>
    <w:p>
      <w:pPr>
        <w:spacing w:after="0" w:line="218" w:lineRule="exact"/>
        <w:rPr>
          <w:sz w:val="20"/>
          <w:szCs w:val="20"/>
          <w:color w:val="auto"/>
        </w:rPr>
      </w:pPr>
    </w:p>
    <w:p>
      <w:pPr>
        <w:jc w:val="both"/>
        <w:ind w:right="860" w:firstLine="241"/>
        <w:spacing w:after="0" w:line="264" w:lineRule="auto"/>
        <w:rPr>
          <w:sz w:val="20"/>
          <w:szCs w:val="20"/>
          <w:color w:val="auto"/>
        </w:rPr>
      </w:pPr>
      <w:r>
        <w:rPr>
          <w:rFonts w:ascii="Calibri" w:cs="Calibri" w:eastAsia="Calibri" w:hAnsi="Calibri"/>
          <w:sz w:val="18"/>
          <w:szCs w:val="18"/>
          <w:color w:val="auto"/>
        </w:rPr>
        <w:t>We encourage continuing education and study, requiring every employee to complete at least 40 hours of professional training annually. In 2025, for example, our employees completed approximately 26,800 hours of continuing education and study, equating to approximately 56 hours per employee. We also have a leadership program that fosters the development and growth of many of our staff with meetings and opportunities to enhance their leadership skills.</w:t>
      </w:r>
    </w:p>
    <w:p>
      <w:pPr>
        <w:spacing w:after="0" w:line="221" w:lineRule="exact"/>
        <w:rPr>
          <w:sz w:val="20"/>
          <w:szCs w:val="20"/>
          <w:color w:val="auto"/>
        </w:rPr>
      </w:pPr>
    </w:p>
    <w:p>
      <w:pPr>
        <w:ind w:right="1060" w:firstLine="241"/>
        <w:spacing w:after="0" w:line="261" w:lineRule="auto"/>
        <w:rPr>
          <w:sz w:val="20"/>
          <w:szCs w:val="20"/>
          <w:color w:val="auto"/>
        </w:rPr>
      </w:pPr>
      <w:r>
        <w:rPr>
          <w:rFonts w:ascii="Calibri" w:cs="Calibri" w:eastAsia="Calibri" w:hAnsi="Calibri"/>
          <w:sz w:val="18"/>
          <w:szCs w:val="18"/>
          <w:color w:val="auto"/>
        </w:rPr>
        <w:t>We respect cultural diversity and do not tolerate harassment or discrimination of any kind, including discrimination based on race, color, ethnicity, religion, gender, sexual orientation, gender identity, age, national origin, disability and veteran or marital status.</w:t>
      </w:r>
    </w:p>
    <w:p>
      <w:pPr>
        <w:spacing w:after="0" w:line="209"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Proactive Safety Culture</w:t>
      </w:r>
    </w:p>
    <w:p>
      <w:pPr>
        <w:spacing w:after="0" w:line="208" w:lineRule="exact"/>
        <w:rPr>
          <w:sz w:val="20"/>
          <w:szCs w:val="20"/>
          <w:color w:val="auto"/>
        </w:rPr>
      </w:pPr>
    </w:p>
    <w:p>
      <w:pPr>
        <w:ind w:right="1460" w:firstLine="241"/>
        <w:spacing w:after="0" w:line="261" w:lineRule="auto"/>
        <w:rPr>
          <w:sz w:val="20"/>
          <w:szCs w:val="20"/>
          <w:color w:val="auto"/>
        </w:rPr>
      </w:pPr>
      <w:r>
        <w:rPr>
          <w:rFonts w:ascii="Calibri" w:cs="Calibri" w:eastAsia="Calibri" w:hAnsi="Calibri"/>
          <w:sz w:val="18"/>
          <w:szCs w:val="18"/>
          <w:color w:val="auto"/>
        </w:rPr>
        <w:t>We are proud to have a company culture that emphasizes safety throughout our operations. Our Health, Safety and Environmental (“HSE”) group and our experienced field and office staff involved in our drilling, completion, production and midstream operations proactively work to minimize safety risks and address any potential areas of concern.</w:t>
      </w:r>
    </w:p>
    <w:p>
      <w:pPr>
        <w:spacing w:after="0" w:line="223" w:lineRule="exact"/>
        <w:rPr>
          <w:sz w:val="20"/>
          <w:szCs w:val="20"/>
          <w:color w:val="auto"/>
        </w:rPr>
      </w:pPr>
    </w:p>
    <w:p>
      <w:pPr>
        <w:ind w:right="720" w:firstLine="241"/>
        <w:spacing w:after="0" w:line="264" w:lineRule="auto"/>
        <w:rPr>
          <w:sz w:val="20"/>
          <w:szCs w:val="20"/>
          <w:color w:val="auto"/>
        </w:rPr>
      </w:pPr>
      <w:r>
        <w:rPr>
          <w:rFonts w:ascii="Calibri" w:cs="Calibri" w:eastAsia="Calibri" w:hAnsi="Calibri"/>
          <w:sz w:val="18"/>
          <w:szCs w:val="18"/>
          <w:color w:val="auto"/>
        </w:rPr>
        <w:t>We emphasize the importance of recruiting and maintaining a quality HSE group, and we believe it is important that our HSE group has actual hands-on experience in the field to understand the challenges and issues that can arise. Our HSE group’s experience allows us to understand the technical issues faced by our field employees and contractors, as well as maintain an open dialogue with community leaders in the areas we operate about potential safety issues and mitigation efforts.</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92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1160" w:top="498" w:right="440" w:bottom="0" w:gutter="0" w:footer="0" w:header="0"/>
          <w:type w:val="continuous"/>
        </w:sectPr>
      </w:pPr>
    </w:p>
    <w:bookmarkStart w:id="51" w:name="page52"/>
    <w:bookmarkEnd w:id="51"/>
    <w:p>
      <w:pPr>
        <w:spacing w:after="0"/>
        <w:tabs>
          <w:tab w:leader="none" w:pos="740" w:val="left"/>
        </w:tabs>
        <w:rPr>
          <w:sz w:val="20"/>
          <w:szCs w:val="20"/>
          <w:color w:val="auto"/>
        </w:rPr>
      </w:pPr>
      <w:r>
        <w:rPr>
          <w:rFonts w:ascii="Calibri" w:cs="Calibri" w:eastAsia="Calibri" w:hAnsi="Calibri"/>
          <w:sz w:val="18"/>
          <w:szCs w:val="18"/>
          <w:color w:val="auto"/>
        </w:rPr>
        <w:t>38</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20"/>
        <w:spacing w:after="0"/>
        <w:rPr>
          <w:sz w:val="20"/>
          <w:szCs w:val="20"/>
          <w:color w:val="auto"/>
        </w:rPr>
      </w:pPr>
      <w:r>
        <w:rPr>
          <w:rFonts w:ascii="Verdana" w:cs="Verdana" w:eastAsia="Verdana" w:hAnsi="Verdana"/>
          <w:sz w:val="20"/>
          <w:szCs w:val="20"/>
          <w:color w:val="214E93"/>
        </w:rPr>
        <w:t>AVAILABLE INFORMATION</w:t>
      </w:r>
    </w:p>
    <w:p>
      <w:pPr>
        <w:spacing w:after="0" w:line="209" w:lineRule="exact"/>
        <w:rPr>
          <w:sz w:val="20"/>
          <w:szCs w:val="20"/>
          <w:color w:val="auto"/>
        </w:rPr>
      </w:pPr>
    </w:p>
    <w:p>
      <w:pPr>
        <w:ind w:left="720" w:firstLine="241"/>
        <w:spacing w:after="0" w:line="269" w:lineRule="auto"/>
        <w:rPr>
          <w:sz w:val="20"/>
          <w:szCs w:val="20"/>
          <w:color w:val="auto"/>
        </w:rPr>
      </w:pPr>
      <w:r>
        <w:rPr>
          <w:rFonts w:ascii="Calibri" w:cs="Calibri" w:eastAsia="Calibri" w:hAnsi="Calibri"/>
          <w:sz w:val="18"/>
          <w:szCs w:val="18"/>
          <w:color w:val="auto"/>
        </w:rPr>
        <w:t>Our Internet website address is www.matadorresources.com. We make available, free of charge, through our website, our Annual Reports on Form 10-K, Quarterly Reports on Form 10-Q, Current Reports on Form 8-K and amendments to those reports, as soon as reasonably practicable after providing such reports to the SEC. Also, the charters of our Audit Committee, Executive Committee, Nominating and Corporate Governance Committee and Strategic Planning and Compensation Committee, our Code of Ethics and Business Conduct for Officers, Directors and Employees and information regarding certain of our sustainability practices, investor presentations, press releases and shareholder communications are available through our website, and we also intend to disclose any amendments to our Code of Ethics and Business Conduct, or waivers to such code on behalf of our Chief Executive Officer, Chief Financial Officer or Chief Accounting Officer, on our website. All of these corporate governance materials are available free of charge and in print to any shareholder who provides a written request to the Corporate Secretary at One Lincoln Centre, 5400 LBJ Freeway, Suite 1500, Dallas, Texas 75240. The contents of our website are not intended to be incorporated by reference into this Annual Report or any other report or document we file and any reference to our website is intended to be an inactive textual reference only.</w:t>
      </w:r>
    </w:p>
    <w:p>
      <w:pPr>
        <w:sectPr>
          <w:pgSz w:w="11880" w:h="15480" w:orient="portrait"/>
          <w:cols w:equalWidth="0" w:num="1">
            <w:col w:w="10200"/>
          </w:cols>
          <w:pgMar w:left="440" w:top="498"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00"/>
          </w:cols>
          <w:pgMar w:left="440" w:top="498" w:right="1240" w:bottom="0" w:gutter="0" w:footer="0" w:header="0"/>
          <w:type w:val="continuous"/>
        </w:sectPr>
      </w:pPr>
    </w:p>
    <w:bookmarkStart w:id="52" w:name="page53"/>
    <w:bookmarkEnd w:id="52"/>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39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Verdana" w:cs="Verdana" w:eastAsia="Verdana" w:hAnsi="Verdana"/>
          <w:sz w:val="20"/>
          <w:szCs w:val="20"/>
          <w:color w:val="214E93"/>
        </w:rPr>
        <w:t>ITEM 1A. RISK FACTORS.</w:t>
      </w:r>
    </w:p>
    <w:p>
      <w:pPr>
        <w:spacing w:after="0" w:line="208" w:lineRule="exact"/>
        <w:rPr>
          <w:sz w:val="20"/>
          <w:szCs w:val="20"/>
          <w:color w:val="auto"/>
        </w:rPr>
      </w:pPr>
    </w:p>
    <w:p>
      <w:pPr>
        <w:spacing w:after="0"/>
        <w:rPr>
          <w:sz w:val="20"/>
          <w:szCs w:val="20"/>
          <w:color w:val="auto"/>
        </w:rPr>
      </w:pPr>
      <w:r>
        <w:rPr>
          <w:rFonts w:ascii="Verdana" w:cs="Verdana" w:eastAsia="Verdana" w:hAnsi="Verdana"/>
          <w:sz w:val="20"/>
          <w:szCs w:val="20"/>
          <w:color w:val="214E93"/>
        </w:rPr>
        <w:t>SUMMARY OF RISK FACTORS</w:t>
      </w:r>
    </w:p>
    <w:p>
      <w:pPr>
        <w:spacing w:after="0" w:line="209" w:lineRule="exact"/>
        <w:rPr>
          <w:sz w:val="20"/>
          <w:szCs w:val="20"/>
          <w:color w:val="auto"/>
        </w:rPr>
      </w:pPr>
    </w:p>
    <w:p>
      <w:pPr>
        <w:ind w:right="720" w:firstLine="241"/>
        <w:spacing w:after="0" w:line="261" w:lineRule="auto"/>
        <w:rPr>
          <w:sz w:val="20"/>
          <w:szCs w:val="20"/>
          <w:color w:val="auto"/>
        </w:rPr>
      </w:pPr>
      <w:r>
        <w:rPr>
          <w:rFonts w:ascii="Calibri" w:cs="Calibri" w:eastAsia="Calibri" w:hAnsi="Calibri"/>
          <w:sz w:val="18"/>
          <w:szCs w:val="18"/>
          <w:color w:val="auto"/>
        </w:rPr>
        <w:t>The following is a summary of some of the risks and uncertainties that could materially adversely affect our business, financial condition, results of operations and cash flows. You should read this summary together with the more detailed risk factors contained below.</w:t>
      </w:r>
    </w:p>
    <w:p>
      <w:pPr>
        <w:spacing w:after="0" w:line="209"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Risks Related to our Financial Condition</w:t>
      </w:r>
    </w:p>
    <w:p>
      <w:pPr>
        <w:spacing w:after="0" w:line="208" w:lineRule="exact"/>
        <w:rPr>
          <w:sz w:val="20"/>
          <w:szCs w:val="20"/>
          <w:color w:val="auto"/>
        </w:rPr>
      </w:pPr>
    </w:p>
    <w:p>
      <w:pPr>
        <w:ind w:left="700" w:right="1320" w:hanging="349"/>
        <w:spacing w:after="0" w:line="252" w:lineRule="auto"/>
        <w:tabs>
          <w:tab w:leader="none" w:pos="700"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Our success is dependent on the prices of oil, natural gas and NGLs, the volatility of which may adversely affect our financial condition.</w:t>
      </w:r>
    </w:p>
    <w:p>
      <w:pPr>
        <w:spacing w:after="0" w:line="213" w:lineRule="exact"/>
        <w:rPr>
          <w:rFonts w:ascii="Calibri" w:cs="Calibri" w:eastAsia="Calibri" w:hAnsi="Calibri"/>
          <w:sz w:val="18"/>
          <w:szCs w:val="18"/>
          <w:color w:val="auto"/>
        </w:rPr>
      </w:pPr>
    </w:p>
    <w:p>
      <w:pPr>
        <w:ind w:left="700" w:hanging="349"/>
        <w:spacing w:after="0"/>
        <w:tabs>
          <w:tab w:leader="none" w:pos="700"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Our industry and the broader U.S. economy have experienced higher than expected inflationary pressures in recent years.</w:t>
      </w:r>
    </w:p>
    <w:p>
      <w:pPr>
        <w:spacing w:after="0" w:line="240" w:lineRule="exact"/>
        <w:rPr>
          <w:rFonts w:ascii="Calibri" w:cs="Calibri" w:eastAsia="Calibri" w:hAnsi="Calibri"/>
          <w:sz w:val="18"/>
          <w:szCs w:val="18"/>
          <w:color w:val="auto"/>
        </w:rPr>
      </w:pPr>
    </w:p>
    <w:p>
      <w:pPr>
        <w:ind w:left="700" w:right="820" w:hanging="349"/>
        <w:spacing w:after="0" w:line="252" w:lineRule="auto"/>
        <w:tabs>
          <w:tab w:leader="none" w:pos="700"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We cannot predict the impact of armed conflicts, including the ongoing military conflicts between Russia and Ukraine and in the Middle East.</w:t>
      </w:r>
    </w:p>
    <w:p>
      <w:pPr>
        <w:spacing w:after="0" w:line="230" w:lineRule="exact"/>
        <w:rPr>
          <w:rFonts w:ascii="Calibri" w:cs="Calibri" w:eastAsia="Calibri" w:hAnsi="Calibri"/>
          <w:sz w:val="18"/>
          <w:szCs w:val="18"/>
          <w:color w:val="auto"/>
        </w:rPr>
      </w:pPr>
    </w:p>
    <w:p>
      <w:pPr>
        <w:ind w:left="700" w:right="1160" w:hanging="349"/>
        <w:spacing w:after="0" w:line="252" w:lineRule="auto"/>
        <w:tabs>
          <w:tab w:leader="none" w:pos="700"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Our business requires substantial capital expenditures that may exceed our cash flows from operations and potential borrowings.</w:t>
      </w:r>
    </w:p>
    <w:p>
      <w:pPr>
        <w:spacing w:after="0" w:line="230" w:lineRule="exact"/>
        <w:rPr>
          <w:rFonts w:ascii="Calibri" w:cs="Calibri" w:eastAsia="Calibri" w:hAnsi="Calibri"/>
          <w:sz w:val="18"/>
          <w:szCs w:val="18"/>
          <w:color w:val="auto"/>
        </w:rPr>
      </w:pPr>
    </w:p>
    <w:p>
      <w:pPr>
        <w:ind w:left="700" w:right="800" w:hanging="349"/>
        <w:spacing w:after="0" w:line="252" w:lineRule="auto"/>
        <w:tabs>
          <w:tab w:leader="none" w:pos="700"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Our oil and natural gas reserves are estimated, and significant inaccuracies in our oil and natural gas reserves estimates or underlying assumptions will materially affect the quantities and present value of our reserves.</w:t>
      </w:r>
    </w:p>
    <w:p>
      <w:pPr>
        <w:spacing w:after="0" w:line="230" w:lineRule="exact"/>
        <w:rPr>
          <w:rFonts w:ascii="Calibri" w:cs="Calibri" w:eastAsia="Calibri" w:hAnsi="Calibri"/>
          <w:sz w:val="18"/>
          <w:szCs w:val="18"/>
          <w:color w:val="auto"/>
        </w:rPr>
      </w:pPr>
    </w:p>
    <w:p>
      <w:pPr>
        <w:ind w:left="700" w:right="720" w:hanging="349"/>
        <w:spacing w:after="0" w:line="252" w:lineRule="auto"/>
        <w:tabs>
          <w:tab w:leader="none" w:pos="700"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The calculated present value of future net revenues from our proved oil and natural gas reserves will not necessarily be the same as the current market value of our estimated oil and natural gas reserves.</w:t>
      </w:r>
    </w:p>
    <w:p>
      <w:pPr>
        <w:spacing w:after="0" w:line="230" w:lineRule="exact"/>
        <w:rPr>
          <w:rFonts w:ascii="Calibri" w:cs="Calibri" w:eastAsia="Calibri" w:hAnsi="Calibri"/>
          <w:sz w:val="18"/>
          <w:szCs w:val="18"/>
          <w:color w:val="auto"/>
        </w:rPr>
      </w:pPr>
    </w:p>
    <w:p>
      <w:pPr>
        <w:ind w:left="700" w:right="1120" w:hanging="349"/>
        <w:spacing w:after="0" w:line="252" w:lineRule="auto"/>
        <w:tabs>
          <w:tab w:leader="none" w:pos="700"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Approximately 39% of our total proved reserves at December 31, 2025 consisted of undeveloped and developed non-producing reserves, and those reserves may not ultimately be developed or produced.</w:t>
      </w:r>
    </w:p>
    <w:p>
      <w:pPr>
        <w:spacing w:after="0" w:line="213" w:lineRule="exact"/>
        <w:rPr>
          <w:rFonts w:ascii="Calibri" w:cs="Calibri" w:eastAsia="Calibri" w:hAnsi="Calibri"/>
          <w:sz w:val="18"/>
          <w:szCs w:val="18"/>
          <w:color w:val="auto"/>
        </w:rPr>
      </w:pPr>
    </w:p>
    <w:p>
      <w:pPr>
        <w:ind w:left="700" w:hanging="349"/>
        <w:spacing w:after="0"/>
        <w:tabs>
          <w:tab w:leader="none" w:pos="700"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Unless we replace our oil and natural gas reserves, our reserves and production will decline.</w:t>
      </w:r>
    </w:p>
    <w:p>
      <w:pPr>
        <w:spacing w:after="0" w:line="223" w:lineRule="exact"/>
        <w:rPr>
          <w:rFonts w:ascii="Calibri" w:cs="Calibri" w:eastAsia="Calibri" w:hAnsi="Calibri"/>
          <w:sz w:val="18"/>
          <w:szCs w:val="18"/>
          <w:color w:val="auto"/>
        </w:rPr>
      </w:pPr>
    </w:p>
    <w:p>
      <w:pPr>
        <w:ind w:left="700" w:hanging="349"/>
        <w:spacing w:after="0"/>
        <w:tabs>
          <w:tab w:leader="none" w:pos="700"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We may be required to write down the carrying value of our proved properties under accounting rules.</w:t>
      </w:r>
    </w:p>
    <w:p>
      <w:pPr>
        <w:spacing w:after="0" w:line="223" w:lineRule="exact"/>
        <w:rPr>
          <w:rFonts w:ascii="Calibri" w:cs="Calibri" w:eastAsia="Calibri" w:hAnsi="Calibri"/>
          <w:sz w:val="18"/>
          <w:szCs w:val="18"/>
          <w:color w:val="auto"/>
        </w:rPr>
      </w:pPr>
    </w:p>
    <w:p>
      <w:pPr>
        <w:ind w:left="700" w:hanging="349"/>
        <w:spacing w:after="0"/>
        <w:tabs>
          <w:tab w:leader="none" w:pos="700"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Hedging transactions, or the lack thereof, may limit our potential gains and could result in financial losses.</w:t>
      </w:r>
    </w:p>
    <w:p>
      <w:pPr>
        <w:spacing w:after="0" w:line="240" w:lineRule="exact"/>
        <w:rPr>
          <w:rFonts w:ascii="Calibri" w:cs="Calibri" w:eastAsia="Calibri" w:hAnsi="Calibri"/>
          <w:sz w:val="18"/>
          <w:szCs w:val="18"/>
          <w:color w:val="auto"/>
        </w:rPr>
      </w:pPr>
    </w:p>
    <w:p>
      <w:pPr>
        <w:ind w:left="700" w:right="920" w:hanging="349"/>
        <w:spacing w:after="0" w:line="252" w:lineRule="auto"/>
        <w:tabs>
          <w:tab w:leader="none" w:pos="700"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Changes in price differentials between benchmark prices of oil and natural gas and the wellhead price we receive for our production could adversely affect us.</w:t>
      </w:r>
    </w:p>
    <w:p>
      <w:pPr>
        <w:spacing w:after="0" w:line="230" w:lineRule="exact"/>
        <w:rPr>
          <w:rFonts w:ascii="Calibri" w:cs="Calibri" w:eastAsia="Calibri" w:hAnsi="Calibri"/>
          <w:sz w:val="18"/>
          <w:szCs w:val="18"/>
          <w:color w:val="auto"/>
        </w:rPr>
      </w:pPr>
    </w:p>
    <w:p>
      <w:pPr>
        <w:ind w:left="700" w:right="980" w:hanging="349"/>
        <w:spacing w:after="0" w:line="252" w:lineRule="auto"/>
        <w:tabs>
          <w:tab w:leader="none" w:pos="700"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Our failure to identify, complete or integrate future acquisitions successfully could reduce our earnings and hamper our growth.</w:t>
      </w:r>
    </w:p>
    <w:p>
      <w:pPr>
        <w:spacing w:after="0" w:line="213" w:lineRule="exact"/>
        <w:rPr>
          <w:rFonts w:ascii="Calibri" w:cs="Calibri" w:eastAsia="Calibri" w:hAnsi="Calibri"/>
          <w:sz w:val="18"/>
          <w:szCs w:val="18"/>
          <w:color w:val="auto"/>
        </w:rPr>
      </w:pPr>
    </w:p>
    <w:p>
      <w:pPr>
        <w:ind w:left="700" w:hanging="349"/>
        <w:spacing w:after="0"/>
        <w:tabs>
          <w:tab w:leader="none" w:pos="700"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We may purchase properties or midstream assets with liabilities or risks that we did not know about or assess correctly.</w:t>
      </w:r>
    </w:p>
    <w:p>
      <w:pPr>
        <w:spacing w:after="0" w:line="223" w:lineRule="exact"/>
        <w:rPr>
          <w:rFonts w:ascii="Calibri" w:cs="Calibri" w:eastAsia="Calibri" w:hAnsi="Calibri"/>
          <w:sz w:val="18"/>
          <w:szCs w:val="18"/>
          <w:color w:val="auto"/>
        </w:rPr>
      </w:pPr>
    </w:p>
    <w:p>
      <w:pPr>
        <w:ind w:left="700" w:hanging="349"/>
        <w:spacing w:after="0"/>
        <w:tabs>
          <w:tab w:leader="none" w:pos="700"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We may incur losses or costs as a result of title deficiencies in the properties in which we invest.</w:t>
      </w:r>
    </w:p>
    <w:p>
      <w:pPr>
        <w:spacing w:after="0" w:line="240" w:lineRule="exact"/>
        <w:rPr>
          <w:rFonts w:ascii="Calibri" w:cs="Calibri" w:eastAsia="Calibri" w:hAnsi="Calibri"/>
          <w:sz w:val="18"/>
          <w:szCs w:val="18"/>
          <w:color w:val="auto"/>
        </w:rPr>
      </w:pPr>
    </w:p>
    <w:p>
      <w:pPr>
        <w:ind w:left="700" w:right="940" w:hanging="349"/>
        <w:spacing w:after="0" w:line="252" w:lineRule="auto"/>
        <w:tabs>
          <w:tab w:leader="none" w:pos="700"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Our ability to complete dispositions of assets, or interests in assets, may be subject to factors beyond our control, and in certain cases we may be required to retain liabilities for certain matters.</w:t>
      </w:r>
    </w:p>
    <w:p>
      <w:pPr>
        <w:spacing w:after="0" w:line="216"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Risks Related to our Liquidity</w:t>
      </w:r>
    </w:p>
    <w:p>
      <w:pPr>
        <w:spacing w:after="0" w:line="208" w:lineRule="exact"/>
        <w:rPr>
          <w:sz w:val="20"/>
          <w:szCs w:val="20"/>
          <w:color w:val="auto"/>
        </w:rPr>
      </w:pPr>
    </w:p>
    <w:p>
      <w:pPr>
        <w:ind w:left="700" w:right="940" w:hanging="349"/>
        <w:spacing w:after="0" w:line="281" w:lineRule="auto"/>
        <w:tabs>
          <w:tab w:leader="none" w:pos="700" w:val="left"/>
        </w:tabs>
        <w:numPr>
          <w:ilvl w:val="0"/>
          <w:numId w:val="34"/>
        </w:numPr>
        <w:rPr>
          <w:rFonts w:ascii="Calibri" w:cs="Calibri" w:eastAsia="Calibri" w:hAnsi="Calibri"/>
          <w:sz w:val="17"/>
          <w:szCs w:val="17"/>
          <w:color w:val="auto"/>
        </w:rPr>
      </w:pPr>
      <w:r>
        <w:rPr>
          <w:rFonts w:ascii="Calibri" w:cs="Calibri" w:eastAsia="Calibri" w:hAnsi="Calibri"/>
          <w:sz w:val="17"/>
          <w:szCs w:val="17"/>
          <w:color w:val="auto"/>
        </w:rPr>
        <w:t>We may not be able to generate sufficient cash to fund our capital expenditures, service all of our indebtedness and pay dividends to our shareholders, and we may incur additional indebtedness, which could reduce our financial flexibility.</w:t>
      </w:r>
    </w:p>
    <w:p>
      <w:pPr>
        <w:spacing w:after="0" w:line="205" w:lineRule="exact"/>
        <w:rPr>
          <w:rFonts w:ascii="Calibri" w:cs="Calibri" w:eastAsia="Calibri" w:hAnsi="Calibri"/>
          <w:sz w:val="17"/>
          <w:szCs w:val="17"/>
          <w:color w:val="auto"/>
        </w:rPr>
      </w:pPr>
    </w:p>
    <w:p>
      <w:pPr>
        <w:ind w:left="700" w:right="740" w:hanging="349"/>
        <w:spacing w:after="0" w:line="252" w:lineRule="auto"/>
        <w:tabs>
          <w:tab w:leader="none" w:pos="700"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The borrowing base under our Credit Agreement is subject to periodic redetermination, and we are subject to interest rate risk under our Credit Agreement and the San Mateo Credit Facility.</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92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1160" w:top="498" w:right="440" w:bottom="0" w:gutter="0" w:footer="0" w:header="0"/>
          <w:type w:val="continuous"/>
        </w:sectPr>
      </w:pPr>
    </w:p>
    <w:bookmarkStart w:id="53" w:name="page54"/>
    <w:bookmarkEnd w:id="53"/>
    <w:p>
      <w:pPr>
        <w:ind w:left="753" w:hanging="753"/>
        <w:spacing w:after="0"/>
        <w:tabs>
          <w:tab w:leader="none" w:pos="753" w:val="left"/>
        </w:tabs>
        <w:numPr>
          <w:ilvl w:val="0"/>
          <w:numId w:val="35"/>
        </w:numPr>
        <w:rPr>
          <w:rFonts w:ascii="Calibri" w:cs="Calibri" w:eastAsia="Calibri" w:hAnsi="Calibri"/>
          <w:sz w:val="18"/>
          <w:szCs w:val="18"/>
          <w:color w:val="auto"/>
        </w:rPr>
      </w:pPr>
      <w:r>
        <w:rPr>
          <w:rFonts w:ascii="Calibri" w:cs="Calibri" w:eastAsia="Calibri" w:hAnsi="Calibri"/>
          <w:sz w:val="18"/>
          <w:szCs w:val="18"/>
          <w:color w:val="auto"/>
        </w:rPr>
        <w:t>MATADOR RESOURCES COMPANY</w:t>
      </w:r>
    </w:p>
    <w:p>
      <w:pPr>
        <w:spacing w:after="0" w:line="200" w:lineRule="exact"/>
        <w:rPr>
          <w:rFonts w:ascii="Calibri" w:cs="Calibri" w:eastAsia="Calibri" w:hAnsi="Calibri"/>
          <w:sz w:val="18"/>
          <w:szCs w:val="18"/>
          <w:color w:val="auto"/>
        </w:rPr>
      </w:pPr>
    </w:p>
    <w:p>
      <w:pPr>
        <w:spacing w:after="0" w:line="200" w:lineRule="exact"/>
        <w:rPr>
          <w:rFonts w:ascii="Calibri" w:cs="Calibri" w:eastAsia="Calibri" w:hAnsi="Calibri"/>
          <w:sz w:val="18"/>
          <w:szCs w:val="18"/>
          <w:color w:val="auto"/>
        </w:rPr>
      </w:pPr>
    </w:p>
    <w:p>
      <w:pPr>
        <w:spacing w:after="0" w:line="243" w:lineRule="exact"/>
        <w:rPr>
          <w:rFonts w:ascii="Calibri" w:cs="Calibri" w:eastAsia="Calibri" w:hAnsi="Calibri"/>
          <w:sz w:val="18"/>
          <w:szCs w:val="18"/>
          <w:color w:val="auto"/>
        </w:rPr>
      </w:pPr>
    </w:p>
    <w:p>
      <w:pPr>
        <w:ind w:left="1413" w:hanging="349"/>
        <w:spacing w:after="0"/>
        <w:tabs>
          <w:tab w:leader="none" w:pos="1413" w:val="left"/>
        </w:tabs>
        <w:numPr>
          <w:ilvl w:val="1"/>
          <w:numId w:val="35"/>
        </w:numPr>
        <w:rPr>
          <w:rFonts w:ascii="Calibri" w:cs="Calibri" w:eastAsia="Calibri" w:hAnsi="Calibri"/>
          <w:sz w:val="18"/>
          <w:szCs w:val="18"/>
          <w:color w:val="auto"/>
        </w:rPr>
      </w:pPr>
      <w:r>
        <w:rPr>
          <w:rFonts w:ascii="Calibri" w:cs="Calibri" w:eastAsia="Calibri" w:hAnsi="Calibri"/>
          <w:sz w:val="18"/>
          <w:szCs w:val="18"/>
          <w:color w:val="auto"/>
        </w:rPr>
        <w:t>The terms of the agreements governing our outstanding indebtedness may restrict our current and future operations.</w:t>
      </w:r>
    </w:p>
    <w:p>
      <w:pPr>
        <w:spacing w:after="0" w:line="223" w:lineRule="exact"/>
        <w:rPr>
          <w:rFonts w:ascii="Calibri" w:cs="Calibri" w:eastAsia="Calibri" w:hAnsi="Calibri"/>
          <w:sz w:val="18"/>
          <w:szCs w:val="18"/>
          <w:color w:val="auto"/>
        </w:rPr>
      </w:pPr>
    </w:p>
    <w:p>
      <w:pPr>
        <w:ind w:left="1413" w:hanging="349"/>
        <w:spacing w:after="0"/>
        <w:tabs>
          <w:tab w:leader="none" w:pos="1413" w:val="left"/>
        </w:tabs>
        <w:numPr>
          <w:ilvl w:val="1"/>
          <w:numId w:val="35"/>
        </w:numPr>
        <w:rPr>
          <w:rFonts w:ascii="Calibri" w:cs="Calibri" w:eastAsia="Calibri" w:hAnsi="Calibri"/>
          <w:sz w:val="18"/>
          <w:szCs w:val="18"/>
          <w:color w:val="auto"/>
        </w:rPr>
      </w:pPr>
      <w:r>
        <w:rPr>
          <w:rFonts w:ascii="Calibri" w:cs="Calibri" w:eastAsia="Calibri" w:hAnsi="Calibri"/>
          <w:sz w:val="18"/>
          <w:szCs w:val="18"/>
          <w:color w:val="auto"/>
        </w:rPr>
        <w:t>Our credit rating may be downgraded, which could reduce our financial flexibility.</w:t>
      </w:r>
    </w:p>
    <w:p>
      <w:pPr>
        <w:spacing w:after="0" w:line="240" w:lineRule="exact"/>
        <w:rPr>
          <w:rFonts w:ascii="Calibri" w:cs="Calibri" w:eastAsia="Calibri" w:hAnsi="Calibri"/>
          <w:sz w:val="18"/>
          <w:szCs w:val="18"/>
          <w:color w:val="auto"/>
        </w:rPr>
      </w:pPr>
    </w:p>
    <w:p>
      <w:pPr>
        <w:ind w:left="1413" w:right="560" w:hanging="349"/>
        <w:spacing w:after="0" w:line="252" w:lineRule="auto"/>
        <w:tabs>
          <w:tab w:leader="none" w:pos="1413" w:val="left"/>
        </w:tabs>
        <w:numPr>
          <w:ilvl w:val="1"/>
          <w:numId w:val="35"/>
        </w:numPr>
        <w:rPr>
          <w:rFonts w:ascii="Calibri" w:cs="Calibri" w:eastAsia="Calibri" w:hAnsi="Calibri"/>
          <w:sz w:val="18"/>
          <w:szCs w:val="18"/>
          <w:color w:val="auto"/>
        </w:rPr>
      </w:pPr>
      <w:r>
        <w:rPr>
          <w:rFonts w:ascii="Calibri" w:cs="Calibri" w:eastAsia="Calibri" w:hAnsi="Calibri"/>
          <w:sz w:val="18"/>
          <w:szCs w:val="18"/>
          <w:color w:val="auto"/>
        </w:rPr>
        <w:t>Dividend payments and repurchases of common stock are at the discretion of our Board of Directors and subject to numerous factors.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447675</wp:posOffset>
                </wp:positionH>
                <wp:positionV relativeFrom="paragraph">
                  <wp:posOffset>-953770</wp:posOffset>
                </wp:positionV>
                <wp:extent cx="6811645"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25pt,-75.0999pt" to="571.6pt,-75.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447675</wp:posOffset>
                </wp:positionH>
                <wp:positionV relativeFrom="paragraph">
                  <wp:posOffset>-953770</wp:posOffset>
                </wp:positionV>
                <wp:extent cx="681164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25pt,-75.0999pt" to="571.6pt,-75.0999pt" o:allowincell="f" strokecolor="#214E93" strokeweight="1pt"/>
            </w:pict>
          </mc:Fallback>
        </mc:AlternateContent>
      </w:r>
    </w:p>
    <w:p>
      <w:pPr>
        <w:spacing w:after="0" w:line="196" w:lineRule="exact"/>
        <w:rPr>
          <w:sz w:val="20"/>
          <w:szCs w:val="20"/>
          <w:color w:val="auto"/>
        </w:rPr>
      </w:pPr>
    </w:p>
    <w:p>
      <w:pPr>
        <w:ind w:left="713"/>
        <w:spacing w:after="0"/>
        <w:rPr>
          <w:sz w:val="20"/>
          <w:szCs w:val="20"/>
          <w:color w:val="auto"/>
        </w:rPr>
      </w:pPr>
      <w:r>
        <w:rPr>
          <w:rFonts w:ascii="Calibri" w:cs="Calibri" w:eastAsia="Calibri" w:hAnsi="Calibri"/>
          <w:sz w:val="19"/>
          <w:szCs w:val="19"/>
          <w:i w:val="1"/>
          <w:iCs w:val="1"/>
          <w:color w:val="214E93"/>
        </w:rPr>
        <w:t>Risks Related to our Operations</w:t>
      </w:r>
    </w:p>
    <w:p>
      <w:pPr>
        <w:spacing w:after="0" w:line="208" w:lineRule="exact"/>
        <w:rPr>
          <w:sz w:val="20"/>
          <w:szCs w:val="20"/>
          <w:color w:val="auto"/>
        </w:rPr>
      </w:pPr>
    </w:p>
    <w:p>
      <w:pPr>
        <w:ind w:left="1413" w:right="380" w:hanging="349"/>
        <w:spacing w:after="0" w:line="252" w:lineRule="auto"/>
        <w:tabs>
          <w:tab w:leader="none" w:pos="1413"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Drilling for and producing oil, natural gas and NGLs is highly speculative and involves a high degree of operational and financial risk.</w:t>
      </w:r>
    </w:p>
    <w:p>
      <w:pPr>
        <w:spacing w:after="0" w:line="213" w:lineRule="exact"/>
        <w:rPr>
          <w:rFonts w:ascii="Calibri" w:cs="Calibri" w:eastAsia="Calibri" w:hAnsi="Calibri"/>
          <w:sz w:val="18"/>
          <w:szCs w:val="18"/>
          <w:color w:val="auto"/>
        </w:rPr>
      </w:pPr>
    </w:p>
    <w:p>
      <w:pPr>
        <w:ind w:left="1413" w:hanging="349"/>
        <w:spacing w:after="0"/>
        <w:tabs>
          <w:tab w:leader="none" w:pos="1413"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Our operations are subject to operational hazards and risks, and insurance against all such risks is not available to us.</w:t>
      </w:r>
    </w:p>
    <w:p>
      <w:pPr>
        <w:spacing w:after="0" w:line="223" w:lineRule="exact"/>
        <w:rPr>
          <w:rFonts w:ascii="Calibri" w:cs="Calibri" w:eastAsia="Calibri" w:hAnsi="Calibri"/>
          <w:sz w:val="18"/>
          <w:szCs w:val="18"/>
          <w:color w:val="auto"/>
        </w:rPr>
      </w:pPr>
    </w:p>
    <w:p>
      <w:pPr>
        <w:ind w:left="1413" w:hanging="349"/>
        <w:spacing w:after="0"/>
        <w:tabs>
          <w:tab w:leader="none" w:pos="1413"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Our reserves and production are concentrated in a few core areas.</w:t>
      </w:r>
    </w:p>
    <w:p>
      <w:pPr>
        <w:spacing w:after="0" w:line="223" w:lineRule="exact"/>
        <w:rPr>
          <w:rFonts w:ascii="Calibri" w:cs="Calibri" w:eastAsia="Calibri" w:hAnsi="Calibri"/>
          <w:sz w:val="18"/>
          <w:szCs w:val="18"/>
          <w:color w:val="auto"/>
        </w:rPr>
      </w:pPr>
    </w:p>
    <w:p>
      <w:pPr>
        <w:ind w:left="1413" w:hanging="349"/>
        <w:spacing w:after="0"/>
        <w:tabs>
          <w:tab w:leader="none" w:pos="1413"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There is no guarantee that we will be successful in optimizing our spacing, drilling and completions techniques.</w:t>
      </w:r>
    </w:p>
    <w:p>
      <w:pPr>
        <w:spacing w:after="0" w:line="240" w:lineRule="exact"/>
        <w:rPr>
          <w:rFonts w:ascii="Calibri" w:cs="Calibri" w:eastAsia="Calibri" w:hAnsi="Calibri"/>
          <w:sz w:val="18"/>
          <w:szCs w:val="18"/>
          <w:color w:val="auto"/>
        </w:rPr>
      </w:pPr>
    </w:p>
    <w:p>
      <w:pPr>
        <w:ind w:left="1413" w:right="160" w:hanging="349"/>
        <w:spacing w:after="0" w:line="252" w:lineRule="auto"/>
        <w:tabs>
          <w:tab w:leader="none" w:pos="1413"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Certain of our properties are in areas that may have been partially depleted or drained by offset wells, and certain of our wells may be adversely affected by actions of other operators.</w:t>
      </w:r>
    </w:p>
    <w:p>
      <w:pPr>
        <w:spacing w:after="0" w:line="213" w:lineRule="exact"/>
        <w:rPr>
          <w:rFonts w:ascii="Calibri" w:cs="Calibri" w:eastAsia="Calibri" w:hAnsi="Calibri"/>
          <w:sz w:val="18"/>
          <w:szCs w:val="18"/>
          <w:color w:val="auto"/>
        </w:rPr>
      </w:pPr>
    </w:p>
    <w:p>
      <w:pPr>
        <w:ind w:left="1413" w:hanging="349"/>
        <w:spacing w:after="0"/>
        <w:tabs>
          <w:tab w:leader="none" w:pos="1413"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Multi-well pad drilling may result in volatility in our operating results.</w:t>
      </w:r>
    </w:p>
    <w:p>
      <w:pPr>
        <w:spacing w:after="0" w:line="240" w:lineRule="exact"/>
        <w:rPr>
          <w:rFonts w:ascii="Calibri" w:cs="Calibri" w:eastAsia="Calibri" w:hAnsi="Calibri"/>
          <w:sz w:val="18"/>
          <w:szCs w:val="18"/>
          <w:color w:val="auto"/>
        </w:rPr>
      </w:pPr>
    </w:p>
    <w:p>
      <w:pPr>
        <w:ind w:left="1413" w:right="120" w:hanging="349"/>
        <w:spacing w:after="0" w:line="281" w:lineRule="auto"/>
        <w:tabs>
          <w:tab w:leader="none" w:pos="1413" w:val="left"/>
        </w:tabs>
        <w:numPr>
          <w:ilvl w:val="0"/>
          <w:numId w:val="36"/>
        </w:numPr>
        <w:rPr>
          <w:rFonts w:ascii="Calibri" w:cs="Calibri" w:eastAsia="Calibri" w:hAnsi="Calibri"/>
          <w:sz w:val="17"/>
          <w:szCs w:val="17"/>
          <w:color w:val="auto"/>
        </w:rPr>
      </w:pPr>
      <w:r>
        <w:rPr>
          <w:rFonts w:ascii="Calibri" w:cs="Calibri" w:eastAsia="Calibri" w:hAnsi="Calibri"/>
          <w:sz w:val="17"/>
          <w:szCs w:val="17"/>
          <w:color w:val="auto"/>
        </w:rPr>
        <w:t>The unavailability or high cost of drilling rigs, completion equipment and services, supplies and personnel could adversely affect our ability to establish and execute exploration and development plans within budget and on a timely basis.</w:t>
      </w:r>
    </w:p>
    <w:p>
      <w:pPr>
        <w:spacing w:after="0" w:line="205" w:lineRule="exact"/>
        <w:rPr>
          <w:rFonts w:ascii="Calibri" w:cs="Calibri" w:eastAsia="Calibri" w:hAnsi="Calibri"/>
          <w:sz w:val="17"/>
          <w:szCs w:val="17"/>
          <w:color w:val="auto"/>
        </w:rPr>
      </w:pPr>
    </w:p>
    <w:p>
      <w:pPr>
        <w:ind w:left="1413" w:right="100" w:hanging="349"/>
        <w:spacing w:after="0" w:line="252" w:lineRule="auto"/>
        <w:tabs>
          <w:tab w:leader="none" w:pos="1413"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We may be unable to acquire adequate supplies of water for our drilling and hydraulic fracturing operations or dispose of the water we use at a reasonable cost and pursuant to applicable environmental rules.</w:t>
      </w:r>
    </w:p>
    <w:p>
      <w:pPr>
        <w:spacing w:after="0" w:line="213" w:lineRule="exact"/>
        <w:rPr>
          <w:rFonts w:ascii="Calibri" w:cs="Calibri" w:eastAsia="Calibri" w:hAnsi="Calibri"/>
          <w:sz w:val="18"/>
          <w:szCs w:val="18"/>
          <w:color w:val="auto"/>
        </w:rPr>
      </w:pPr>
    </w:p>
    <w:p>
      <w:pPr>
        <w:ind w:left="1413" w:hanging="349"/>
        <w:spacing w:after="0"/>
        <w:tabs>
          <w:tab w:leader="none" w:pos="1413"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Midstream projects are subject to risks of construction delays and cost over-runs.</w:t>
      </w:r>
    </w:p>
    <w:p>
      <w:pPr>
        <w:spacing w:after="0" w:line="240" w:lineRule="exact"/>
        <w:rPr>
          <w:rFonts w:ascii="Calibri" w:cs="Calibri" w:eastAsia="Calibri" w:hAnsi="Calibri"/>
          <w:sz w:val="18"/>
          <w:szCs w:val="18"/>
          <w:color w:val="auto"/>
        </w:rPr>
      </w:pPr>
    </w:p>
    <w:p>
      <w:pPr>
        <w:ind w:left="1413" w:right="440" w:hanging="349"/>
        <w:spacing w:after="0" w:line="252" w:lineRule="auto"/>
        <w:tabs>
          <w:tab w:leader="none" w:pos="1413"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Our identified drilling locations are scheduled over several years, making them susceptible to uncertainties and lease expirations that could materially alter the occurrence or timing of their drilling.</w:t>
      </w:r>
    </w:p>
    <w:p>
      <w:pPr>
        <w:spacing w:after="0" w:line="213" w:lineRule="exact"/>
        <w:rPr>
          <w:rFonts w:ascii="Calibri" w:cs="Calibri" w:eastAsia="Calibri" w:hAnsi="Calibri"/>
          <w:sz w:val="18"/>
          <w:szCs w:val="18"/>
          <w:color w:val="auto"/>
        </w:rPr>
      </w:pPr>
    </w:p>
    <w:p>
      <w:pPr>
        <w:ind w:left="1413" w:hanging="349"/>
        <w:spacing w:after="0"/>
        <w:tabs>
          <w:tab w:leader="none" w:pos="1413"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The seismic data and other technologies we use cannot eliminate exploration risk.</w:t>
      </w:r>
    </w:p>
    <w:p>
      <w:pPr>
        <w:spacing w:after="0" w:line="227" w:lineRule="exact"/>
        <w:rPr>
          <w:sz w:val="20"/>
          <w:szCs w:val="20"/>
          <w:color w:val="auto"/>
        </w:rPr>
      </w:pPr>
    </w:p>
    <w:p>
      <w:pPr>
        <w:ind w:left="713"/>
        <w:spacing w:after="0"/>
        <w:rPr>
          <w:sz w:val="20"/>
          <w:szCs w:val="20"/>
          <w:color w:val="auto"/>
        </w:rPr>
      </w:pPr>
      <w:r>
        <w:rPr>
          <w:rFonts w:ascii="Calibri" w:cs="Calibri" w:eastAsia="Calibri" w:hAnsi="Calibri"/>
          <w:sz w:val="19"/>
          <w:szCs w:val="19"/>
          <w:i w:val="1"/>
          <w:iCs w:val="1"/>
          <w:color w:val="214E93"/>
        </w:rPr>
        <w:t>Risks Related to Third Parties</w:t>
      </w:r>
    </w:p>
    <w:p>
      <w:pPr>
        <w:spacing w:after="0" w:line="208" w:lineRule="exact"/>
        <w:rPr>
          <w:sz w:val="20"/>
          <w:szCs w:val="20"/>
          <w:color w:val="auto"/>
        </w:rPr>
      </w:pPr>
    </w:p>
    <w:p>
      <w:pPr>
        <w:ind w:left="1413" w:right="480" w:hanging="349"/>
        <w:spacing w:after="0" w:line="252" w:lineRule="auto"/>
        <w:tabs>
          <w:tab w:leader="none" w:pos="1413"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Financial difficulties encountered by purchasers, operators or other third parties could decrease our cash flows from operations and adversely affect the exploration and development of our prospects and assets.</w:t>
      </w:r>
    </w:p>
    <w:p>
      <w:pPr>
        <w:spacing w:after="0" w:line="213" w:lineRule="exact"/>
        <w:rPr>
          <w:rFonts w:ascii="Calibri" w:cs="Calibri" w:eastAsia="Calibri" w:hAnsi="Calibri"/>
          <w:sz w:val="18"/>
          <w:szCs w:val="18"/>
          <w:color w:val="auto"/>
        </w:rPr>
      </w:pPr>
    </w:p>
    <w:p>
      <w:pPr>
        <w:ind w:left="1413" w:hanging="349"/>
        <w:spacing w:after="0"/>
        <w:tabs>
          <w:tab w:leader="none" w:pos="1413"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The marketability of our production is dependent upon gathering, processing and transportation facilities.</w:t>
      </w:r>
    </w:p>
    <w:p>
      <w:pPr>
        <w:spacing w:after="0" w:line="223" w:lineRule="exact"/>
        <w:rPr>
          <w:rFonts w:ascii="Calibri" w:cs="Calibri" w:eastAsia="Calibri" w:hAnsi="Calibri"/>
          <w:sz w:val="18"/>
          <w:szCs w:val="18"/>
          <w:color w:val="auto"/>
        </w:rPr>
      </w:pPr>
    </w:p>
    <w:p>
      <w:pPr>
        <w:ind w:left="1413" w:hanging="349"/>
        <w:spacing w:after="0"/>
        <w:tabs>
          <w:tab w:leader="none" w:pos="1413"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We conduct a portion of our operations through joint ventures, including San Mateo, which subjects us to certain risks.</w:t>
      </w:r>
    </w:p>
    <w:p>
      <w:pPr>
        <w:spacing w:after="0" w:line="241" w:lineRule="exact"/>
        <w:rPr>
          <w:rFonts w:ascii="Calibri" w:cs="Calibri" w:eastAsia="Calibri" w:hAnsi="Calibri"/>
          <w:sz w:val="18"/>
          <w:szCs w:val="18"/>
          <w:color w:val="auto"/>
        </w:rPr>
      </w:pPr>
    </w:p>
    <w:p>
      <w:pPr>
        <w:ind w:left="1413" w:right="60" w:hanging="349"/>
        <w:spacing w:after="0" w:line="252" w:lineRule="auto"/>
        <w:tabs>
          <w:tab w:leader="none" w:pos="1413"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San Mateo’s long-term success depends on its ability to obtain new sources of products, which depends on certain factors beyond its control.</w:t>
      </w:r>
    </w:p>
    <w:p>
      <w:pPr>
        <w:spacing w:after="0" w:line="230" w:lineRule="exact"/>
        <w:rPr>
          <w:rFonts w:ascii="Calibri" w:cs="Calibri" w:eastAsia="Calibri" w:hAnsi="Calibri"/>
          <w:sz w:val="18"/>
          <w:szCs w:val="18"/>
          <w:color w:val="auto"/>
        </w:rPr>
      </w:pPr>
    </w:p>
    <w:p>
      <w:pPr>
        <w:ind w:left="1413" w:hanging="349"/>
        <w:spacing w:after="0" w:line="252" w:lineRule="auto"/>
        <w:tabs>
          <w:tab w:leader="none" w:pos="1413"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Certain of our long-term contracts require us to pay fees to our service providers based on minimum volumes regardless of actual volume throughput and may limit our ability to use other service providers.</w:t>
      </w:r>
    </w:p>
    <w:p>
      <w:pPr>
        <w:spacing w:after="0" w:line="213" w:lineRule="exact"/>
        <w:rPr>
          <w:rFonts w:ascii="Calibri" w:cs="Calibri" w:eastAsia="Calibri" w:hAnsi="Calibri"/>
          <w:sz w:val="18"/>
          <w:szCs w:val="18"/>
          <w:color w:val="auto"/>
        </w:rPr>
      </w:pPr>
    </w:p>
    <w:p>
      <w:pPr>
        <w:ind w:left="1413" w:hanging="349"/>
        <w:spacing w:after="0"/>
        <w:tabs>
          <w:tab w:leader="none" w:pos="1413"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We do not own all of the land on which our midstream assets are located, which could disrupt our operations.</w:t>
      </w:r>
    </w:p>
    <w:p>
      <w:pPr>
        <w:spacing w:after="0" w:line="223" w:lineRule="exact"/>
        <w:rPr>
          <w:rFonts w:ascii="Calibri" w:cs="Calibri" w:eastAsia="Calibri" w:hAnsi="Calibri"/>
          <w:sz w:val="18"/>
          <w:szCs w:val="18"/>
          <w:color w:val="auto"/>
        </w:rPr>
      </w:pPr>
    </w:p>
    <w:p>
      <w:pPr>
        <w:ind w:left="1413" w:hanging="349"/>
        <w:spacing w:after="0"/>
        <w:tabs>
          <w:tab w:leader="none" w:pos="1413"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Competition in our industry is intense, and our competitors may use superior technology and data resources.</w:t>
      </w:r>
    </w:p>
    <w:p>
      <w:pPr>
        <w:spacing w:after="0" w:line="223" w:lineRule="exact"/>
        <w:rPr>
          <w:rFonts w:ascii="Calibri" w:cs="Calibri" w:eastAsia="Calibri" w:hAnsi="Calibri"/>
          <w:sz w:val="18"/>
          <w:szCs w:val="18"/>
          <w:color w:val="auto"/>
        </w:rPr>
      </w:pPr>
    </w:p>
    <w:p>
      <w:pPr>
        <w:ind w:left="1413" w:hanging="349"/>
        <w:spacing w:after="0"/>
        <w:tabs>
          <w:tab w:leader="none" w:pos="1413"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Strategic relationships upon which we may rely are subject to change.</w:t>
      </w:r>
    </w:p>
    <w:p>
      <w:pPr>
        <w:sectPr>
          <w:pgSz w:w="11880" w:h="15480" w:orient="portrait"/>
          <w:cols w:equalWidth="0" w:num="1">
            <w:col w:w="10253"/>
          </w:cols>
          <w:pgMar w:left="447" w:top="49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3"/>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53"/>
          </w:cols>
          <w:pgMar w:left="447" w:top="498" w:right="1180" w:bottom="0" w:gutter="0" w:footer="0" w:header="0"/>
          <w:type w:val="continuous"/>
        </w:sectPr>
      </w:pPr>
    </w:p>
    <w:bookmarkStart w:id="54" w:name="page55"/>
    <w:bookmarkEnd w:id="54"/>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41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700" w:hanging="349"/>
        <w:spacing w:after="0"/>
        <w:tabs>
          <w:tab w:leader="none" w:pos="700" w:val="left"/>
        </w:tabs>
        <w:numPr>
          <w:ilvl w:val="0"/>
          <w:numId w:val="38"/>
        </w:numPr>
        <w:rPr>
          <w:rFonts w:ascii="Calibri" w:cs="Calibri" w:eastAsia="Calibri" w:hAnsi="Calibri"/>
          <w:sz w:val="18"/>
          <w:szCs w:val="18"/>
          <w:color w:val="auto"/>
        </w:rPr>
      </w:pPr>
      <w:r>
        <w:rPr>
          <w:rFonts w:ascii="Calibri" w:cs="Calibri" w:eastAsia="Calibri" w:hAnsi="Calibri"/>
          <w:sz w:val="18"/>
          <w:szCs w:val="18"/>
          <w:color w:val="auto"/>
        </w:rPr>
        <w:t>We have limited control over activities on properties we do not operate.</w:t>
      </w:r>
    </w:p>
    <w:p>
      <w:pPr>
        <w:spacing w:after="0" w:line="227"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Risks Related to Laws and Regulations</w:t>
      </w:r>
    </w:p>
    <w:p>
      <w:pPr>
        <w:spacing w:after="0" w:line="208" w:lineRule="exact"/>
        <w:rPr>
          <w:sz w:val="20"/>
          <w:szCs w:val="20"/>
          <w:color w:val="auto"/>
        </w:rPr>
      </w:pPr>
    </w:p>
    <w:p>
      <w:pPr>
        <w:ind w:left="700" w:right="780" w:hanging="349"/>
        <w:spacing w:after="0" w:line="252" w:lineRule="auto"/>
        <w:tabs>
          <w:tab w:leader="none" w:pos="70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Approximately 33% of our leasehold and mineral acres in the Delaware Basin is located on federal lands, which are subject to various requirements and regulations.</w:t>
      </w:r>
    </w:p>
    <w:p>
      <w:pPr>
        <w:spacing w:after="0" w:line="230" w:lineRule="exact"/>
        <w:rPr>
          <w:rFonts w:ascii="Calibri" w:cs="Calibri" w:eastAsia="Calibri" w:hAnsi="Calibri"/>
          <w:sz w:val="18"/>
          <w:szCs w:val="18"/>
          <w:color w:val="auto"/>
        </w:rPr>
      </w:pPr>
    </w:p>
    <w:p>
      <w:pPr>
        <w:ind w:left="700" w:right="1480" w:hanging="349"/>
        <w:spacing w:after="0" w:line="252" w:lineRule="auto"/>
        <w:tabs>
          <w:tab w:leader="none" w:pos="70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We are subject to government regulation, including complex environmental laws, which could require significant expenditures.</w:t>
      </w:r>
    </w:p>
    <w:p>
      <w:pPr>
        <w:spacing w:after="0" w:line="230" w:lineRule="exact"/>
        <w:rPr>
          <w:rFonts w:ascii="Calibri" w:cs="Calibri" w:eastAsia="Calibri" w:hAnsi="Calibri"/>
          <w:sz w:val="18"/>
          <w:szCs w:val="18"/>
          <w:color w:val="auto"/>
        </w:rPr>
      </w:pPr>
    </w:p>
    <w:p>
      <w:pPr>
        <w:ind w:left="700" w:right="1220" w:hanging="349"/>
        <w:spacing w:after="0" w:line="252" w:lineRule="auto"/>
        <w:tabs>
          <w:tab w:leader="none" w:pos="70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We are subject to tax laws and may become subject to new taxes, or tax deductions currently available to us may be eliminated or reduced.</w:t>
      </w:r>
    </w:p>
    <w:p>
      <w:pPr>
        <w:spacing w:after="0" w:line="230" w:lineRule="exact"/>
        <w:rPr>
          <w:rFonts w:ascii="Calibri" w:cs="Calibri" w:eastAsia="Calibri" w:hAnsi="Calibri"/>
          <w:sz w:val="18"/>
          <w:szCs w:val="18"/>
          <w:color w:val="auto"/>
        </w:rPr>
      </w:pPr>
    </w:p>
    <w:p>
      <w:pPr>
        <w:ind w:left="700" w:right="960" w:hanging="349"/>
        <w:spacing w:after="0" w:line="261" w:lineRule="auto"/>
        <w:tabs>
          <w:tab w:leader="none" w:pos="70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Legislation and regulatory initiatives relating to hydraulic fracturing, induced seismicity, emissions and climate change could result in increased costs and additional operating restrictions or delays, and the physical effects of climate change could disrupt our production and cause us to incur significant costs.</w:t>
      </w:r>
    </w:p>
    <w:p>
      <w:pPr>
        <w:spacing w:after="0" w:line="222" w:lineRule="exact"/>
        <w:rPr>
          <w:rFonts w:ascii="Calibri" w:cs="Calibri" w:eastAsia="Calibri" w:hAnsi="Calibri"/>
          <w:sz w:val="18"/>
          <w:szCs w:val="18"/>
          <w:color w:val="auto"/>
        </w:rPr>
      </w:pPr>
    </w:p>
    <w:p>
      <w:pPr>
        <w:ind w:left="700" w:right="800" w:hanging="349"/>
        <w:spacing w:after="0" w:line="252" w:lineRule="auto"/>
        <w:tabs>
          <w:tab w:leader="none" w:pos="70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New climate disclosure rules proposed by the SEC or states in which we have operations or do business could increase our costs of compliance.</w:t>
      </w:r>
    </w:p>
    <w:p>
      <w:pPr>
        <w:spacing w:after="0" w:line="213" w:lineRule="exact"/>
        <w:rPr>
          <w:rFonts w:ascii="Calibri" w:cs="Calibri" w:eastAsia="Calibri" w:hAnsi="Calibri"/>
          <w:sz w:val="18"/>
          <w:szCs w:val="18"/>
          <w:color w:val="auto"/>
        </w:rPr>
      </w:pPr>
    </w:p>
    <w:p>
      <w:pPr>
        <w:ind w:left="700" w:hanging="349"/>
        <w:spacing w:after="0"/>
        <w:tabs>
          <w:tab w:leader="none" w:pos="70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We may incur significant costs and liabilities resulting from compliance with emissions or pipeline safety regulations.</w:t>
      </w:r>
    </w:p>
    <w:p>
      <w:pPr>
        <w:spacing w:after="0" w:line="240" w:lineRule="exact"/>
        <w:rPr>
          <w:rFonts w:ascii="Calibri" w:cs="Calibri" w:eastAsia="Calibri" w:hAnsi="Calibri"/>
          <w:sz w:val="18"/>
          <w:szCs w:val="18"/>
          <w:color w:val="auto"/>
        </w:rPr>
      </w:pPr>
    </w:p>
    <w:p>
      <w:pPr>
        <w:ind w:left="700" w:right="1000" w:hanging="349"/>
        <w:spacing w:after="0" w:line="252" w:lineRule="auto"/>
        <w:tabs>
          <w:tab w:leader="none" w:pos="70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A change in the jurisdictional characterization of some of our assets by FERC or a change in policy by FERC may result in increased regulation of our assets.</w:t>
      </w:r>
    </w:p>
    <w:p>
      <w:pPr>
        <w:spacing w:after="0" w:line="213" w:lineRule="exact"/>
        <w:rPr>
          <w:rFonts w:ascii="Calibri" w:cs="Calibri" w:eastAsia="Calibri" w:hAnsi="Calibri"/>
          <w:sz w:val="18"/>
          <w:szCs w:val="18"/>
          <w:color w:val="auto"/>
        </w:rPr>
      </w:pPr>
    </w:p>
    <w:p>
      <w:pPr>
        <w:ind w:left="700" w:hanging="349"/>
        <w:spacing w:after="0"/>
        <w:tabs>
          <w:tab w:leader="none" w:pos="70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The rates of our regulated assets are subject to review and reporting by federal regulators.</w:t>
      </w:r>
    </w:p>
    <w:p>
      <w:pPr>
        <w:spacing w:after="0" w:line="240" w:lineRule="exact"/>
        <w:rPr>
          <w:rFonts w:ascii="Calibri" w:cs="Calibri" w:eastAsia="Calibri" w:hAnsi="Calibri"/>
          <w:sz w:val="18"/>
          <w:szCs w:val="18"/>
          <w:color w:val="auto"/>
        </w:rPr>
      </w:pPr>
    </w:p>
    <w:p>
      <w:pPr>
        <w:ind w:left="700" w:right="740" w:hanging="349"/>
        <w:spacing w:after="0" w:line="252" w:lineRule="auto"/>
        <w:tabs>
          <w:tab w:leader="none" w:pos="70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Should we fail to comply with FERC-administered statutes, rules, regulations and orders, we could be subject to substantial penalties and fines.</w:t>
      </w:r>
    </w:p>
    <w:p>
      <w:pPr>
        <w:spacing w:after="0" w:line="213" w:lineRule="exact"/>
        <w:rPr>
          <w:rFonts w:ascii="Calibri" w:cs="Calibri" w:eastAsia="Calibri" w:hAnsi="Calibri"/>
          <w:sz w:val="18"/>
          <w:szCs w:val="18"/>
          <w:color w:val="auto"/>
        </w:rPr>
      </w:pPr>
    </w:p>
    <w:p>
      <w:pPr>
        <w:ind w:left="700" w:hanging="349"/>
        <w:spacing w:after="0"/>
        <w:tabs>
          <w:tab w:leader="none" w:pos="70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Derivatives legislation adopted by Congress could limit our ability to hedge risks associated with our business.</w:t>
      </w:r>
    </w:p>
    <w:p>
      <w:pPr>
        <w:spacing w:after="0" w:line="223" w:lineRule="exact"/>
        <w:rPr>
          <w:rFonts w:ascii="Calibri" w:cs="Calibri" w:eastAsia="Calibri" w:hAnsi="Calibri"/>
          <w:sz w:val="18"/>
          <w:szCs w:val="18"/>
          <w:color w:val="auto"/>
        </w:rPr>
      </w:pPr>
    </w:p>
    <w:p>
      <w:pPr>
        <w:ind w:left="700" w:hanging="349"/>
        <w:spacing w:after="0"/>
        <w:tabs>
          <w:tab w:leader="none" w:pos="70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Changes in U.S. foreign trade policies may materially and adversely affect our business, operations and financial condition.</w:t>
      </w:r>
    </w:p>
    <w:p>
      <w:pPr>
        <w:spacing w:after="0" w:line="227"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Risks Related to Our Common Stock</w:t>
      </w:r>
    </w:p>
    <w:p>
      <w:pPr>
        <w:spacing w:after="0" w:line="191" w:lineRule="exact"/>
        <w:rPr>
          <w:sz w:val="20"/>
          <w:szCs w:val="20"/>
          <w:color w:val="auto"/>
        </w:rPr>
      </w:pPr>
    </w:p>
    <w:p>
      <w:pPr>
        <w:ind w:left="700" w:hanging="349"/>
        <w:spacing w:after="0"/>
        <w:tabs>
          <w:tab w:leader="none" w:pos="700"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The price of our common stock has fluctuated substantially and may fluctuate substantially in the future.</w:t>
      </w:r>
    </w:p>
    <w:p>
      <w:pPr>
        <w:spacing w:after="0" w:line="240" w:lineRule="exact"/>
        <w:rPr>
          <w:rFonts w:ascii="Calibri" w:cs="Calibri" w:eastAsia="Calibri" w:hAnsi="Calibri"/>
          <w:sz w:val="18"/>
          <w:szCs w:val="18"/>
          <w:color w:val="auto"/>
        </w:rPr>
      </w:pPr>
    </w:p>
    <w:p>
      <w:pPr>
        <w:ind w:left="700" w:right="1220" w:hanging="349"/>
        <w:spacing w:after="0" w:line="252" w:lineRule="auto"/>
        <w:tabs>
          <w:tab w:leader="none" w:pos="700"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Attention to ESG and conservation matters and a negative shift in market perception towards the oil and natural gas industry could adversely affect us.</w:t>
      </w:r>
    </w:p>
    <w:p>
      <w:pPr>
        <w:spacing w:after="0" w:line="213" w:lineRule="exact"/>
        <w:rPr>
          <w:rFonts w:ascii="Calibri" w:cs="Calibri" w:eastAsia="Calibri" w:hAnsi="Calibri"/>
          <w:sz w:val="18"/>
          <w:szCs w:val="18"/>
          <w:color w:val="auto"/>
        </w:rPr>
      </w:pPr>
    </w:p>
    <w:p>
      <w:pPr>
        <w:ind w:left="700" w:hanging="349"/>
        <w:spacing w:after="0"/>
        <w:tabs>
          <w:tab w:leader="none" w:pos="700"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Future sales and offerings of our common stock could depress the price of our common stock.</w:t>
      </w:r>
    </w:p>
    <w:p>
      <w:pPr>
        <w:spacing w:after="0" w:line="241" w:lineRule="exact"/>
        <w:rPr>
          <w:rFonts w:ascii="Calibri" w:cs="Calibri" w:eastAsia="Calibri" w:hAnsi="Calibri"/>
          <w:sz w:val="18"/>
          <w:szCs w:val="18"/>
          <w:color w:val="auto"/>
        </w:rPr>
      </w:pPr>
    </w:p>
    <w:p>
      <w:pPr>
        <w:ind w:left="700" w:right="1340" w:hanging="349"/>
        <w:spacing w:after="0" w:line="252" w:lineRule="auto"/>
        <w:tabs>
          <w:tab w:leader="none" w:pos="700"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Our directors and executive officers own a significant percentage of our equity, which could give them influence in corporate transactions and other matters, and their interests could differ from other shareholders.</w:t>
      </w:r>
    </w:p>
    <w:p>
      <w:pPr>
        <w:spacing w:after="0" w:line="213" w:lineRule="exact"/>
        <w:rPr>
          <w:rFonts w:ascii="Calibri" w:cs="Calibri" w:eastAsia="Calibri" w:hAnsi="Calibri"/>
          <w:sz w:val="18"/>
          <w:szCs w:val="18"/>
          <w:color w:val="auto"/>
        </w:rPr>
      </w:pPr>
    </w:p>
    <w:p>
      <w:pPr>
        <w:ind w:left="700" w:hanging="349"/>
        <w:spacing w:after="0"/>
        <w:tabs>
          <w:tab w:leader="none" w:pos="700"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The issuance of preferred stock could diminish the rights of holders of our common stock.</w:t>
      </w:r>
    </w:p>
    <w:p>
      <w:pPr>
        <w:spacing w:after="0" w:line="227"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General Risk Factors</w:t>
      </w:r>
    </w:p>
    <w:p>
      <w:pPr>
        <w:spacing w:after="0" w:line="191" w:lineRule="exact"/>
        <w:rPr>
          <w:sz w:val="20"/>
          <w:szCs w:val="20"/>
          <w:color w:val="auto"/>
        </w:rPr>
      </w:pPr>
    </w:p>
    <w:p>
      <w:pPr>
        <w:ind w:left="700" w:hanging="349"/>
        <w:spacing w:after="0"/>
        <w:tabs>
          <w:tab w:leader="none" w:pos="700" w:val="left"/>
        </w:tabs>
        <w:numPr>
          <w:ilvl w:val="0"/>
          <w:numId w:val="41"/>
        </w:numPr>
        <w:rPr>
          <w:rFonts w:ascii="Calibri" w:cs="Calibri" w:eastAsia="Calibri" w:hAnsi="Calibri"/>
          <w:sz w:val="18"/>
          <w:szCs w:val="18"/>
          <w:color w:val="auto"/>
        </w:rPr>
      </w:pPr>
      <w:r>
        <w:rPr>
          <w:rFonts w:ascii="Calibri" w:cs="Calibri" w:eastAsia="Calibri" w:hAnsi="Calibri"/>
          <w:sz w:val="18"/>
          <w:szCs w:val="18"/>
          <w:color w:val="auto"/>
        </w:rPr>
        <w:t>We may have difficulty managing growth in our business.</w:t>
      </w:r>
    </w:p>
    <w:p>
      <w:pPr>
        <w:spacing w:after="0" w:line="223" w:lineRule="exact"/>
        <w:rPr>
          <w:rFonts w:ascii="Calibri" w:cs="Calibri" w:eastAsia="Calibri" w:hAnsi="Calibri"/>
          <w:sz w:val="18"/>
          <w:szCs w:val="18"/>
          <w:color w:val="auto"/>
        </w:rPr>
      </w:pPr>
    </w:p>
    <w:p>
      <w:pPr>
        <w:ind w:left="700" w:hanging="349"/>
        <w:spacing w:after="0"/>
        <w:tabs>
          <w:tab w:leader="none" w:pos="700" w:val="left"/>
        </w:tabs>
        <w:numPr>
          <w:ilvl w:val="0"/>
          <w:numId w:val="41"/>
        </w:numPr>
        <w:rPr>
          <w:rFonts w:ascii="Calibri" w:cs="Calibri" w:eastAsia="Calibri" w:hAnsi="Calibri"/>
          <w:sz w:val="18"/>
          <w:szCs w:val="18"/>
          <w:color w:val="auto"/>
        </w:rPr>
      </w:pPr>
      <w:r>
        <w:rPr>
          <w:rFonts w:ascii="Calibri" w:cs="Calibri" w:eastAsia="Calibri" w:hAnsi="Calibri"/>
          <w:sz w:val="18"/>
          <w:szCs w:val="18"/>
          <w:color w:val="auto"/>
        </w:rPr>
        <w:t>The loss of any key personnel or Board member could disrupt our business operations.</w:t>
      </w:r>
    </w:p>
    <w:p>
      <w:pPr>
        <w:spacing w:after="0" w:line="223" w:lineRule="exact"/>
        <w:rPr>
          <w:rFonts w:ascii="Calibri" w:cs="Calibri" w:eastAsia="Calibri" w:hAnsi="Calibri"/>
          <w:sz w:val="18"/>
          <w:szCs w:val="18"/>
          <w:color w:val="auto"/>
        </w:rPr>
      </w:pPr>
    </w:p>
    <w:p>
      <w:pPr>
        <w:ind w:left="700" w:hanging="349"/>
        <w:spacing w:after="0"/>
        <w:tabs>
          <w:tab w:leader="none" w:pos="700" w:val="left"/>
        </w:tabs>
        <w:numPr>
          <w:ilvl w:val="0"/>
          <w:numId w:val="41"/>
        </w:numPr>
        <w:rPr>
          <w:rFonts w:ascii="Calibri" w:cs="Calibri" w:eastAsia="Calibri" w:hAnsi="Calibri"/>
          <w:sz w:val="18"/>
          <w:szCs w:val="18"/>
          <w:color w:val="auto"/>
        </w:rPr>
      </w:pPr>
      <w:r>
        <w:rPr>
          <w:rFonts w:ascii="Calibri" w:cs="Calibri" w:eastAsia="Calibri" w:hAnsi="Calibri"/>
          <w:sz w:val="18"/>
          <w:szCs w:val="18"/>
          <w:color w:val="auto"/>
        </w:rPr>
        <w:t>A cyber incident could occur and result in information theft, data corruption, operational disruption or financial loss.</w:t>
      </w:r>
    </w:p>
    <w:p>
      <w:pPr>
        <w:spacing w:after="0" w:line="223" w:lineRule="exact"/>
        <w:rPr>
          <w:rFonts w:ascii="Calibri" w:cs="Calibri" w:eastAsia="Calibri" w:hAnsi="Calibri"/>
          <w:sz w:val="18"/>
          <w:szCs w:val="18"/>
          <w:color w:val="auto"/>
        </w:rPr>
      </w:pPr>
    </w:p>
    <w:p>
      <w:pPr>
        <w:ind w:left="700" w:hanging="349"/>
        <w:spacing w:after="0"/>
        <w:tabs>
          <w:tab w:leader="none" w:pos="700" w:val="left"/>
        </w:tabs>
        <w:numPr>
          <w:ilvl w:val="0"/>
          <w:numId w:val="41"/>
        </w:numPr>
        <w:rPr>
          <w:rFonts w:ascii="Calibri" w:cs="Calibri" w:eastAsia="Calibri" w:hAnsi="Calibri"/>
          <w:sz w:val="18"/>
          <w:szCs w:val="18"/>
          <w:color w:val="auto"/>
        </w:rPr>
      </w:pPr>
      <w:r>
        <w:rPr>
          <w:rFonts w:ascii="Calibri" w:cs="Calibri" w:eastAsia="Calibri" w:hAnsi="Calibri"/>
          <w:sz w:val="18"/>
          <w:szCs w:val="18"/>
          <w:color w:val="auto"/>
        </w:rPr>
        <w:t>Our governing documents and Texas law may have anti-takeover effects that could prevent a change in control.</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92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1160" w:top="498" w:right="440" w:bottom="0" w:gutter="0" w:footer="0" w:header="0"/>
          <w:type w:val="continuous"/>
        </w:sectPr>
      </w:pPr>
    </w:p>
    <w:bookmarkStart w:id="55" w:name="page56"/>
    <w:bookmarkEnd w:id="55"/>
    <w:p>
      <w:pPr>
        <w:spacing w:after="0"/>
        <w:tabs>
          <w:tab w:leader="none" w:pos="740" w:val="left"/>
        </w:tabs>
        <w:rPr>
          <w:sz w:val="20"/>
          <w:szCs w:val="20"/>
          <w:color w:val="auto"/>
        </w:rPr>
      </w:pPr>
      <w:r>
        <w:rPr>
          <w:rFonts w:ascii="Calibri" w:cs="Calibri" w:eastAsia="Calibri" w:hAnsi="Calibri"/>
          <w:sz w:val="18"/>
          <w:szCs w:val="18"/>
          <w:color w:val="auto"/>
        </w:rPr>
        <w:t>42</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420" w:hanging="349"/>
        <w:spacing w:after="0"/>
        <w:tabs>
          <w:tab w:leader="none" w:pos="1420" w:val="left"/>
        </w:tabs>
        <w:numPr>
          <w:ilvl w:val="0"/>
          <w:numId w:val="42"/>
        </w:numPr>
        <w:rPr>
          <w:rFonts w:ascii="Calibri" w:cs="Calibri" w:eastAsia="Calibri" w:hAnsi="Calibri"/>
          <w:sz w:val="18"/>
          <w:szCs w:val="18"/>
          <w:color w:val="auto"/>
        </w:rPr>
      </w:pPr>
      <w:r>
        <w:rPr>
          <w:rFonts w:ascii="Calibri" w:cs="Calibri" w:eastAsia="Calibri" w:hAnsi="Calibri"/>
          <w:sz w:val="18"/>
          <w:szCs w:val="18"/>
          <w:color w:val="auto"/>
        </w:rPr>
        <w:t>We operate in a litigious environment and may be involved in legal proceedings.</w:t>
      </w:r>
    </w:p>
    <w:p>
      <w:pPr>
        <w:spacing w:after="0" w:line="239" w:lineRule="exact"/>
        <w:rPr>
          <w:sz w:val="20"/>
          <w:szCs w:val="20"/>
          <w:color w:val="auto"/>
        </w:rPr>
      </w:pPr>
    </w:p>
    <w:p>
      <w:pPr>
        <w:ind w:left="720"/>
        <w:spacing w:after="0"/>
        <w:rPr>
          <w:sz w:val="20"/>
          <w:szCs w:val="20"/>
          <w:color w:val="auto"/>
        </w:rPr>
      </w:pPr>
      <w:r>
        <w:rPr>
          <w:rFonts w:ascii="Verdana" w:cs="Verdana" w:eastAsia="Verdana" w:hAnsi="Verdana"/>
          <w:sz w:val="20"/>
          <w:szCs w:val="20"/>
          <w:color w:val="214E93"/>
        </w:rPr>
        <w:t>RISKS RELATED TO OUR FINANCIAL CONDITION</w:t>
      </w:r>
    </w:p>
    <w:p>
      <w:pPr>
        <w:spacing w:after="0" w:line="209" w:lineRule="exact"/>
        <w:rPr>
          <w:sz w:val="20"/>
          <w:szCs w:val="20"/>
          <w:color w:val="auto"/>
        </w:rPr>
      </w:pPr>
    </w:p>
    <w:p>
      <w:pPr>
        <w:ind w:left="720" w:right="20"/>
        <w:spacing w:after="0" w:line="261" w:lineRule="auto"/>
        <w:rPr>
          <w:sz w:val="20"/>
          <w:szCs w:val="20"/>
          <w:color w:val="auto"/>
        </w:rPr>
      </w:pPr>
      <w:r>
        <w:rPr>
          <w:rFonts w:ascii="Calibri" w:cs="Calibri" w:eastAsia="Calibri" w:hAnsi="Calibri"/>
          <w:sz w:val="18"/>
          <w:szCs w:val="18"/>
          <w:i w:val="1"/>
          <w:iCs w:val="1"/>
          <w:color w:val="214E93"/>
        </w:rPr>
        <w:t>Our success is dependent on the prices of oil, natural gas and NGLs. Low oil, natural gas and NGL prices and the continued volatility in these prices may adversely affect our financial condition and our ability to meet our capital expenditure requirements and financial obligations.</w:t>
      </w:r>
    </w:p>
    <w:p>
      <w:pPr>
        <w:spacing w:after="0" w:line="218" w:lineRule="exact"/>
        <w:rPr>
          <w:sz w:val="20"/>
          <w:szCs w:val="20"/>
          <w:color w:val="auto"/>
        </w:rPr>
      </w:pPr>
    </w:p>
    <w:p>
      <w:pPr>
        <w:ind w:left="960"/>
        <w:spacing w:after="0"/>
        <w:rPr>
          <w:sz w:val="20"/>
          <w:szCs w:val="20"/>
          <w:color w:val="auto"/>
        </w:rPr>
      </w:pPr>
      <w:r>
        <w:rPr>
          <w:rFonts w:ascii="Calibri" w:cs="Calibri" w:eastAsia="Calibri" w:hAnsi="Calibri"/>
          <w:sz w:val="17"/>
          <w:szCs w:val="17"/>
          <w:color w:val="auto"/>
        </w:rPr>
        <w:t>The prices we receive for the oil, natural gas and NGLs we produce heavily influence our revenue, profitability, cash flow available</w:t>
      </w:r>
    </w:p>
    <w:p>
      <w:pPr>
        <w:spacing w:after="0" w:line="40" w:lineRule="exact"/>
        <w:rPr>
          <w:sz w:val="20"/>
          <w:szCs w:val="20"/>
          <w:color w:val="auto"/>
        </w:rPr>
      </w:pPr>
    </w:p>
    <w:p>
      <w:pPr>
        <w:ind w:left="720"/>
        <w:spacing w:after="0"/>
        <w:rPr>
          <w:sz w:val="20"/>
          <w:szCs w:val="20"/>
          <w:color w:val="auto"/>
        </w:rPr>
      </w:pPr>
      <w:r>
        <w:rPr>
          <w:rFonts w:ascii="Calibri" w:cs="Calibri" w:eastAsia="Calibri" w:hAnsi="Calibri"/>
          <w:sz w:val="17"/>
          <w:szCs w:val="17"/>
          <w:color w:val="auto"/>
        </w:rPr>
        <w:t>for capital expenditures, the repayment of debt, the payment of cash dividends, if any, the repurchase of our common stock, if any,</w:t>
      </w:r>
    </w:p>
    <w:p>
      <w:pPr>
        <w:spacing w:after="0" w:line="28" w:lineRule="exact"/>
        <w:rPr>
          <w:sz w:val="20"/>
          <w:szCs w:val="20"/>
          <w:color w:val="auto"/>
        </w:rPr>
      </w:pPr>
    </w:p>
    <w:p>
      <w:pPr>
        <w:ind w:left="720"/>
        <w:spacing w:after="0"/>
        <w:rPr>
          <w:sz w:val="20"/>
          <w:szCs w:val="20"/>
          <w:color w:val="auto"/>
        </w:rPr>
      </w:pPr>
      <w:r>
        <w:rPr>
          <w:rFonts w:ascii="Calibri" w:cs="Calibri" w:eastAsia="Calibri" w:hAnsi="Calibri"/>
          <w:sz w:val="18"/>
          <w:szCs w:val="18"/>
          <w:color w:val="auto"/>
        </w:rPr>
        <w:t>access to capital, borrowing capacity under our Credit Agreement and future rate of growth. Oil, natural gas and NGLs are</w:t>
      </w:r>
    </w:p>
    <w:p>
      <w:pPr>
        <w:spacing w:after="0" w:line="28" w:lineRule="exact"/>
        <w:rPr>
          <w:sz w:val="20"/>
          <w:szCs w:val="20"/>
          <w:color w:val="auto"/>
        </w:rPr>
      </w:pPr>
    </w:p>
    <w:p>
      <w:pPr>
        <w:ind w:left="720"/>
        <w:spacing w:after="0"/>
        <w:rPr>
          <w:sz w:val="20"/>
          <w:szCs w:val="20"/>
          <w:color w:val="auto"/>
        </w:rPr>
      </w:pPr>
      <w:r>
        <w:rPr>
          <w:rFonts w:ascii="Calibri" w:cs="Calibri" w:eastAsia="Calibri" w:hAnsi="Calibri"/>
          <w:sz w:val="18"/>
          <w:szCs w:val="18"/>
          <w:color w:val="auto"/>
        </w:rPr>
        <w:t>commodities and, therefore, their prices are subject to wide fluctuations in response to relatively minor changes in supply and</w:t>
      </w:r>
    </w:p>
    <w:p>
      <w:pPr>
        <w:spacing w:after="0" w:line="40" w:lineRule="exact"/>
        <w:rPr>
          <w:sz w:val="20"/>
          <w:szCs w:val="20"/>
          <w:color w:val="auto"/>
        </w:rPr>
      </w:pPr>
    </w:p>
    <w:p>
      <w:pPr>
        <w:ind w:left="720"/>
        <w:spacing w:after="0"/>
        <w:rPr>
          <w:sz w:val="20"/>
          <w:szCs w:val="20"/>
          <w:color w:val="auto"/>
        </w:rPr>
      </w:pPr>
      <w:r>
        <w:rPr>
          <w:rFonts w:ascii="Calibri" w:cs="Calibri" w:eastAsia="Calibri" w:hAnsi="Calibri"/>
          <w:sz w:val="17"/>
          <w:szCs w:val="17"/>
          <w:color w:val="auto"/>
        </w:rPr>
        <w:t>demand. Historically, the markets for oil, natural gas and NGLs have been volatile and will likely continue to be volatile in the future.</w:t>
      </w:r>
    </w:p>
    <w:p>
      <w:pPr>
        <w:spacing w:after="0" w:line="28" w:lineRule="exact"/>
        <w:rPr>
          <w:sz w:val="20"/>
          <w:szCs w:val="20"/>
          <w:color w:val="auto"/>
        </w:rPr>
      </w:pPr>
    </w:p>
    <w:p>
      <w:pPr>
        <w:ind w:left="720"/>
        <w:spacing w:after="0"/>
        <w:rPr>
          <w:sz w:val="20"/>
          <w:szCs w:val="20"/>
          <w:color w:val="auto"/>
        </w:rPr>
      </w:pPr>
      <w:r>
        <w:rPr>
          <w:rFonts w:ascii="Calibri" w:cs="Calibri" w:eastAsia="Calibri" w:hAnsi="Calibri"/>
          <w:sz w:val="18"/>
          <w:szCs w:val="18"/>
          <w:color w:val="auto"/>
        </w:rPr>
        <w:t>For the year ended December 31, 2025, oil prices averaged $64.73 per Bbl, as compared to $75.76 per Bbl in 2024, ranging from a</w:t>
      </w:r>
    </w:p>
    <w:p>
      <w:pPr>
        <w:spacing w:after="0" w:line="40" w:lineRule="exact"/>
        <w:rPr>
          <w:sz w:val="20"/>
          <w:szCs w:val="20"/>
          <w:color w:val="auto"/>
        </w:rPr>
      </w:pPr>
    </w:p>
    <w:p>
      <w:pPr>
        <w:ind w:left="720"/>
        <w:spacing w:after="0"/>
        <w:rPr>
          <w:sz w:val="20"/>
          <w:szCs w:val="20"/>
          <w:color w:val="auto"/>
        </w:rPr>
      </w:pPr>
      <w:r>
        <w:rPr>
          <w:rFonts w:ascii="Calibri" w:cs="Calibri" w:eastAsia="Calibri" w:hAnsi="Calibri"/>
          <w:sz w:val="17"/>
          <w:szCs w:val="17"/>
          <w:color w:val="auto"/>
        </w:rPr>
        <w:t>high of $80.04 per Bbl in mid-January to a low of $55.27 per Bbl in mid-December, based upon the WTI oil futures contract price for</w:t>
      </w:r>
    </w:p>
    <w:p>
      <w:pPr>
        <w:spacing w:after="0" w:line="28" w:lineRule="exact"/>
        <w:rPr>
          <w:sz w:val="20"/>
          <w:szCs w:val="20"/>
          <w:color w:val="auto"/>
        </w:rPr>
      </w:pPr>
    </w:p>
    <w:p>
      <w:pPr>
        <w:ind w:left="720"/>
        <w:spacing w:after="0"/>
        <w:rPr>
          <w:sz w:val="20"/>
          <w:szCs w:val="20"/>
          <w:color w:val="auto"/>
        </w:rPr>
      </w:pPr>
      <w:r>
        <w:rPr>
          <w:rFonts w:ascii="Calibri" w:cs="Calibri" w:eastAsia="Calibri" w:hAnsi="Calibri"/>
          <w:sz w:val="18"/>
          <w:szCs w:val="18"/>
          <w:color w:val="auto"/>
        </w:rPr>
        <w:t>the earliest delivery date. For the year ended December 31, 2025, natural gas prices averaged $3.62 per MMBtu, as compared to</w:t>
      </w:r>
    </w:p>
    <w:p>
      <w:pPr>
        <w:spacing w:after="0" w:line="40" w:lineRule="exact"/>
        <w:rPr>
          <w:sz w:val="20"/>
          <w:szCs w:val="20"/>
          <w:color w:val="auto"/>
        </w:rPr>
      </w:pPr>
    </w:p>
    <w:p>
      <w:pPr>
        <w:ind w:left="720"/>
        <w:spacing w:after="0"/>
        <w:rPr>
          <w:sz w:val="20"/>
          <w:szCs w:val="20"/>
          <w:color w:val="auto"/>
        </w:rPr>
      </w:pPr>
      <w:r>
        <w:rPr>
          <w:rFonts w:ascii="Calibri" w:cs="Calibri" w:eastAsia="Calibri" w:hAnsi="Calibri"/>
          <w:sz w:val="17"/>
          <w:szCs w:val="17"/>
          <w:color w:val="auto"/>
        </w:rPr>
        <w:t>$2.40 per MMBtu in 2024, based upon the NYMEX Henry Hub natural gas futures contract price for the earliest delivery date. During</w:t>
      </w:r>
    </w:p>
    <w:p>
      <w:pPr>
        <w:spacing w:after="0" w:line="28" w:lineRule="exact"/>
        <w:rPr>
          <w:sz w:val="20"/>
          <w:szCs w:val="20"/>
          <w:color w:val="auto"/>
        </w:rPr>
      </w:pPr>
    </w:p>
    <w:p>
      <w:pPr>
        <w:ind w:left="720"/>
        <w:spacing w:after="0"/>
        <w:rPr>
          <w:sz w:val="20"/>
          <w:szCs w:val="20"/>
          <w:color w:val="auto"/>
        </w:rPr>
      </w:pPr>
      <w:r>
        <w:rPr>
          <w:rFonts w:ascii="Calibri" w:cs="Calibri" w:eastAsia="Calibri" w:hAnsi="Calibri"/>
          <w:sz w:val="18"/>
          <w:szCs w:val="18"/>
          <w:color w:val="auto"/>
        </w:rPr>
        <w:t>2025, natural gas prices ranged from a low of $2.70 per MMBtu in late August to a high of $5.29 per MMBtu in early December.</w:t>
      </w:r>
    </w:p>
    <w:p>
      <w:pPr>
        <w:spacing w:after="0" w:line="241" w:lineRule="exact"/>
        <w:rPr>
          <w:sz w:val="20"/>
          <w:szCs w:val="20"/>
          <w:color w:val="auto"/>
        </w:rPr>
      </w:pPr>
    </w:p>
    <w:p>
      <w:pPr>
        <w:ind w:left="720" w:right="220" w:firstLine="241"/>
        <w:spacing w:after="0" w:line="252" w:lineRule="auto"/>
        <w:rPr>
          <w:sz w:val="20"/>
          <w:szCs w:val="20"/>
          <w:color w:val="auto"/>
        </w:rPr>
      </w:pPr>
      <w:r>
        <w:rPr>
          <w:rFonts w:ascii="Calibri" w:cs="Calibri" w:eastAsia="Calibri" w:hAnsi="Calibri"/>
          <w:sz w:val="18"/>
          <w:szCs w:val="18"/>
          <w:color w:val="auto"/>
        </w:rPr>
        <w:t>The prices we receive for our production, and the levels of our production, depend on numerous factors. These factors include the following:</w:t>
      </w:r>
    </w:p>
    <w:p>
      <w:pPr>
        <w:spacing w:after="0" w:line="213" w:lineRule="exact"/>
        <w:rPr>
          <w:sz w:val="20"/>
          <w:szCs w:val="20"/>
          <w:color w:val="auto"/>
        </w:rPr>
      </w:pPr>
    </w:p>
    <w:p>
      <w:pPr>
        <w:ind w:left="1420" w:hanging="349"/>
        <w:spacing w:after="0"/>
        <w:tabs>
          <w:tab w:leader="none" w:pos="1420"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the domestic and foreign supply of, and demand for, oil, natural gas and NGLs;</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the actions of OPEC+ and state-controlled oil companies;</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the prices and availability of competitors’ supplies of oil, natural gas and NGLs;</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the price and quantity of foreign imports and exports;</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the impact of U.S. dollar exchange rates;</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domestic and foreign governmental regulations and taxes;</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speculative trading of, and other financial market conditions affecting, oil and natural gas futures contracts;</w:t>
      </w:r>
    </w:p>
    <w:p>
      <w:pPr>
        <w:spacing w:after="0" w:line="240" w:lineRule="exact"/>
        <w:rPr>
          <w:rFonts w:ascii="Calibri" w:cs="Calibri" w:eastAsia="Calibri" w:hAnsi="Calibri"/>
          <w:sz w:val="18"/>
          <w:szCs w:val="18"/>
          <w:color w:val="auto"/>
        </w:rPr>
      </w:pPr>
    </w:p>
    <w:p>
      <w:pPr>
        <w:ind w:left="1420" w:right="240" w:hanging="349"/>
        <w:spacing w:after="0" w:line="252" w:lineRule="auto"/>
        <w:tabs>
          <w:tab w:leader="none" w:pos="1420"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the availability, proximity and capacity of gathering, processing and transportation systems for oil, natural gas and NGLs and gathering and disposal systems for produced water;</w:t>
      </w:r>
    </w:p>
    <w:p>
      <w:pPr>
        <w:spacing w:after="0" w:line="213" w:lineRule="exact"/>
        <w:rPr>
          <w:rFonts w:ascii="Calibri" w:cs="Calibri" w:eastAsia="Calibri" w:hAnsi="Calibri"/>
          <w:sz w:val="18"/>
          <w:szCs w:val="18"/>
          <w:color w:val="auto"/>
        </w:rPr>
      </w:pPr>
    </w:p>
    <w:p>
      <w:pPr>
        <w:ind w:left="1420" w:hanging="349"/>
        <w:spacing w:after="0"/>
        <w:tabs>
          <w:tab w:leader="none" w:pos="1420"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the availability of refining capacity;</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the prices and availability of alternative fuel and energy sources;</w:t>
      </w:r>
    </w:p>
    <w:p>
      <w:pPr>
        <w:spacing w:after="0" w:line="240" w:lineRule="exact"/>
        <w:rPr>
          <w:rFonts w:ascii="Calibri" w:cs="Calibri" w:eastAsia="Calibri" w:hAnsi="Calibri"/>
          <w:sz w:val="18"/>
          <w:szCs w:val="18"/>
          <w:color w:val="auto"/>
        </w:rPr>
      </w:pPr>
    </w:p>
    <w:p>
      <w:pPr>
        <w:ind w:left="1420" w:right="420" w:hanging="349"/>
        <w:spacing w:after="0" w:line="252" w:lineRule="auto"/>
        <w:tabs>
          <w:tab w:leader="none" w:pos="1420"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weather conditions and natural disasters, including floods, fires, tornadoes, droughts, hurricanes, tropical storms and severe cold weather;</w:t>
      </w:r>
    </w:p>
    <w:p>
      <w:pPr>
        <w:spacing w:after="0" w:line="230" w:lineRule="exact"/>
        <w:rPr>
          <w:rFonts w:ascii="Calibri" w:cs="Calibri" w:eastAsia="Calibri" w:hAnsi="Calibri"/>
          <w:sz w:val="18"/>
          <w:szCs w:val="18"/>
          <w:color w:val="auto"/>
        </w:rPr>
      </w:pPr>
    </w:p>
    <w:p>
      <w:pPr>
        <w:ind w:left="1420" w:right="80" w:hanging="349"/>
        <w:spacing w:after="0" w:line="252" w:lineRule="auto"/>
        <w:tabs>
          <w:tab w:leader="none" w:pos="1420"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political conditions or conflicts in or affecting oil, natural gas and NGL producing regions or countries, including the United States, the Middle East, South America, Russia, Ukraine and China;</w:t>
      </w:r>
    </w:p>
    <w:p>
      <w:pPr>
        <w:spacing w:after="0" w:line="230" w:lineRule="exact"/>
        <w:rPr>
          <w:rFonts w:ascii="Calibri" w:cs="Calibri" w:eastAsia="Calibri" w:hAnsi="Calibri"/>
          <w:sz w:val="18"/>
          <w:szCs w:val="18"/>
          <w:color w:val="auto"/>
        </w:rPr>
      </w:pPr>
    </w:p>
    <w:p>
      <w:pPr>
        <w:ind w:left="1420" w:right="40" w:hanging="349"/>
        <w:spacing w:after="0" w:line="261" w:lineRule="auto"/>
        <w:tabs>
          <w:tab w:leader="none" w:pos="1420"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the ongoing military conflicts between Russia and Ukraine and in the Middle East, as well as the related actions of U.S. and other governments and governmental organizations relating to oil, natural gas and NGLs, including through sanctions, embargoes, import restrictions and commodity price caps;</w:t>
      </w:r>
    </w:p>
    <w:p>
      <w:pPr>
        <w:spacing w:after="0" w:line="205" w:lineRule="exact"/>
        <w:rPr>
          <w:rFonts w:ascii="Calibri" w:cs="Calibri" w:eastAsia="Calibri" w:hAnsi="Calibri"/>
          <w:sz w:val="18"/>
          <w:szCs w:val="18"/>
          <w:color w:val="auto"/>
        </w:rPr>
      </w:pPr>
    </w:p>
    <w:p>
      <w:pPr>
        <w:ind w:left="1420" w:hanging="349"/>
        <w:spacing w:after="0"/>
        <w:tabs>
          <w:tab w:leader="none" w:pos="1420"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the threat of terrorism and the impact of military action and civil unrest;</w:t>
      </w:r>
    </w:p>
    <w:p>
      <w:pPr>
        <w:sectPr>
          <w:pgSz w:w="11880" w:h="15480" w:orient="portrait"/>
          <w:cols w:equalWidth="0" w:num="1">
            <w:col w:w="10280"/>
          </w:cols>
          <w:pgMar w:left="44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440" w:top="498" w:right="1160" w:bottom="0" w:gutter="0" w:footer="0" w:header="0"/>
          <w:type w:val="continuous"/>
        </w:sectPr>
      </w:pPr>
    </w:p>
    <w:bookmarkStart w:id="56" w:name="page57"/>
    <w:bookmarkEnd w:id="56"/>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43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00" w:right="740" w:hanging="349"/>
        <w:spacing w:after="0" w:line="261" w:lineRule="auto"/>
        <w:tabs>
          <w:tab w:leader="none" w:pos="700" w:val="left"/>
        </w:tabs>
        <w:numPr>
          <w:ilvl w:val="0"/>
          <w:numId w:val="44"/>
        </w:numPr>
        <w:rPr>
          <w:rFonts w:ascii="Calibri" w:cs="Calibri" w:eastAsia="Calibri" w:hAnsi="Calibri"/>
          <w:sz w:val="18"/>
          <w:szCs w:val="18"/>
          <w:color w:val="auto"/>
        </w:rPr>
      </w:pPr>
      <w:r>
        <w:rPr>
          <w:rFonts w:ascii="Calibri" w:cs="Calibri" w:eastAsia="Calibri" w:hAnsi="Calibri"/>
          <w:sz w:val="18"/>
          <w:szCs w:val="18"/>
          <w:color w:val="auto"/>
        </w:rPr>
        <w:t>public pressure on, and legislative and regulatory interest within, federal, state and local governments to stop, significantly limit or regulate oil, natural gas and NGL operations, including hydraulic fracturing, flaring, venting and produced water handling and disposal activities;</w:t>
      </w:r>
    </w:p>
    <w:p>
      <w:pPr>
        <w:spacing w:after="0" w:line="205" w:lineRule="exact"/>
        <w:rPr>
          <w:rFonts w:ascii="Calibri" w:cs="Calibri" w:eastAsia="Calibri" w:hAnsi="Calibri"/>
          <w:sz w:val="18"/>
          <w:szCs w:val="18"/>
          <w:color w:val="auto"/>
        </w:rPr>
      </w:pPr>
    </w:p>
    <w:p>
      <w:pPr>
        <w:ind w:left="700" w:hanging="349"/>
        <w:spacing w:after="0"/>
        <w:tabs>
          <w:tab w:leader="none" w:pos="700" w:val="left"/>
        </w:tabs>
        <w:numPr>
          <w:ilvl w:val="0"/>
          <w:numId w:val="44"/>
        </w:numPr>
        <w:rPr>
          <w:rFonts w:ascii="Calibri" w:cs="Calibri" w:eastAsia="Calibri" w:hAnsi="Calibri"/>
          <w:sz w:val="18"/>
          <w:szCs w:val="18"/>
          <w:color w:val="auto"/>
        </w:rPr>
      </w:pPr>
      <w:r>
        <w:rPr>
          <w:rFonts w:ascii="Calibri" w:cs="Calibri" w:eastAsia="Calibri" w:hAnsi="Calibri"/>
          <w:sz w:val="18"/>
          <w:szCs w:val="18"/>
          <w:color w:val="auto"/>
        </w:rPr>
        <w:t>the level of global oil, natural gas and NGL inventories and exploration and production activity;</w:t>
      </w:r>
    </w:p>
    <w:p>
      <w:pPr>
        <w:spacing w:after="0" w:line="223" w:lineRule="exact"/>
        <w:rPr>
          <w:rFonts w:ascii="Calibri" w:cs="Calibri" w:eastAsia="Calibri" w:hAnsi="Calibri"/>
          <w:sz w:val="18"/>
          <w:szCs w:val="18"/>
          <w:color w:val="auto"/>
        </w:rPr>
      </w:pPr>
    </w:p>
    <w:p>
      <w:pPr>
        <w:ind w:left="700" w:hanging="349"/>
        <w:spacing w:after="0"/>
        <w:tabs>
          <w:tab w:leader="none" w:pos="700" w:val="left"/>
        </w:tabs>
        <w:numPr>
          <w:ilvl w:val="0"/>
          <w:numId w:val="44"/>
        </w:numPr>
        <w:rPr>
          <w:rFonts w:ascii="Calibri" w:cs="Calibri" w:eastAsia="Calibri" w:hAnsi="Calibri"/>
          <w:sz w:val="18"/>
          <w:szCs w:val="18"/>
          <w:color w:val="auto"/>
        </w:rPr>
      </w:pPr>
      <w:r>
        <w:rPr>
          <w:rFonts w:ascii="Calibri" w:cs="Calibri" w:eastAsia="Calibri" w:hAnsi="Calibri"/>
          <w:sz w:val="18"/>
          <w:szCs w:val="18"/>
          <w:color w:val="auto"/>
        </w:rPr>
        <w:t>the impact of energy conservation efforts;</w:t>
      </w:r>
    </w:p>
    <w:p>
      <w:pPr>
        <w:spacing w:after="0" w:line="223" w:lineRule="exact"/>
        <w:rPr>
          <w:rFonts w:ascii="Calibri" w:cs="Calibri" w:eastAsia="Calibri" w:hAnsi="Calibri"/>
          <w:sz w:val="18"/>
          <w:szCs w:val="18"/>
          <w:color w:val="auto"/>
        </w:rPr>
      </w:pPr>
    </w:p>
    <w:p>
      <w:pPr>
        <w:ind w:left="700" w:hanging="349"/>
        <w:spacing w:after="0"/>
        <w:tabs>
          <w:tab w:leader="none" w:pos="700" w:val="left"/>
        </w:tabs>
        <w:numPr>
          <w:ilvl w:val="0"/>
          <w:numId w:val="44"/>
        </w:numPr>
        <w:rPr>
          <w:rFonts w:ascii="Calibri" w:cs="Calibri" w:eastAsia="Calibri" w:hAnsi="Calibri"/>
          <w:sz w:val="18"/>
          <w:szCs w:val="18"/>
          <w:color w:val="auto"/>
        </w:rPr>
      </w:pPr>
      <w:r>
        <w:rPr>
          <w:rFonts w:ascii="Calibri" w:cs="Calibri" w:eastAsia="Calibri" w:hAnsi="Calibri"/>
          <w:sz w:val="18"/>
          <w:szCs w:val="18"/>
          <w:color w:val="auto"/>
        </w:rPr>
        <w:t>technological advances affecting energy consumption;</w:t>
      </w:r>
    </w:p>
    <w:p>
      <w:pPr>
        <w:spacing w:after="0" w:line="223" w:lineRule="exact"/>
        <w:rPr>
          <w:rFonts w:ascii="Calibri" w:cs="Calibri" w:eastAsia="Calibri" w:hAnsi="Calibri"/>
          <w:sz w:val="18"/>
          <w:szCs w:val="18"/>
          <w:color w:val="auto"/>
        </w:rPr>
      </w:pPr>
    </w:p>
    <w:p>
      <w:pPr>
        <w:ind w:left="700" w:hanging="349"/>
        <w:spacing w:after="0"/>
        <w:tabs>
          <w:tab w:leader="none" w:pos="700" w:val="left"/>
        </w:tabs>
        <w:numPr>
          <w:ilvl w:val="0"/>
          <w:numId w:val="44"/>
        </w:numPr>
        <w:rPr>
          <w:rFonts w:ascii="Calibri" w:cs="Calibri" w:eastAsia="Calibri" w:hAnsi="Calibri"/>
          <w:sz w:val="18"/>
          <w:szCs w:val="18"/>
          <w:color w:val="auto"/>
        </w:rPr>
      </w:pPr>
      <w:r>
        <w:rPr>
          <w:rFonts w:ascii="Calibri" w:cs="Calibri" w:eastAsia="Calibri" w:hAnsi="Calibri"/>
          <w:sz w:val="18"/>
          <w:szCs w:val="18"/>
          <w:color w:val="auto"/>
        </w:rPr>
        <w:t>tariffs, trade restrictions and other supply chain constraints; and</w:t>
      </w:r>
    </w:p>
    <w:p>
      <w:pPr>
        <w:spacing w:after="0" w:line="223" w:lineRule="exact"/>
        <w:rPr>
          <w:rFonts w:ascii="Calibri" w:cs="Calibri" w:eastAsia="Calibri" w:hAnsi="Calibri"/>
          <w:sz w:val="18"/>
          <w:szCs w:val="18"/>
          <w:color w:val="auto"/>
        </w:rPr>
      </w:pPr>
    </w:p>
    <w:p>
      <w:pPr>
        <w:ind w:left="700" w:hanging="349"/>
        <w:spacing w:after="0"/>
        <w:tabs>
          <w:tab w:leader="none" w:pos="700" w:val="left"/>
        </w:tabs>
        <w:numPr>
          <w:ilvl w:val="0"/>
          <w:numId w:val="44"/>
        </w:numPr>
        <w:rPr>
          <w:rFonts w:ascii="Calibri" w:cs="Calibri" w:eastAsia="Calibri" w:hAnsi="Calibri"/>
          <w:sz w:val="18"/>
          <w:szCs w:val="18"/>
          <w:color w:val="auto"/>
        </w:rPr>
      </w:pPr>
      <w:r>
        <w:rPr>
          <w:rFonts w:ascii="Calibri" w:cs="Calibri" w:eastAsia="Calibri" w:hAnsi="Calibri"/>
          <w:sz w:val="18"/>
          <w:szCs w:val="18"/>
          <w:color w:val="auto"/>
        </w:rPr>
        <w:t>overall worldwide economic conditions.</w:t>
      </w:r>
    </w:p>
    <w:p>
      <w:pPr>
        <w:spacing w:after="0" w:line="241" w:lineRule="exact"/>
        <w:rPr>
          <w:sz w:val="20"/>
          <w:szCs w:val="20"/>
          <w:color w:val="auto"/>
        </w:rPr>
      </w:pPr>
    </w:p>
    <w:p>
      <w:pPr>
        <w:ind w:right="740" w:firstLine="241"/>
        <w:spacing w:after="0" w:line="283" w:lineRule="auto"/>
        <w:rPr>
          <w:sz w:val="20"/>
          <w:szCs w:val="20"/>
          <w:color w:val="auto"/>
        </w:rPr>
      </w:pPr>
      <w:r>
        <w:rPr>
          <w:rFonts w:ascii="Calibri" w:cs="Calibri" w:eastAsia="Calibri" w:hAnsi="Calibri"/>
          <w:sz w:val="17"/>
          <w:szCs w:val="17"/>
          <w:color w:val="auto"/>
        </w:rPr>
        <w:t>These factors make it difficult to predict future commodity price movements with any certainty. Substantially all of our oil, natural gas and NGL sales are made in the spot market or pursuant to contracts based on spot market prices and are not pursuant to long-term fixed price contracts. Further, oil, natural gas and NGL prices do not necessarily fluctuate in direct relation to each other.</w:t>
      </w:r>
    </w:p>
    <w:p>
      <w:pPr>
        <w:spacing w:after="0" w:line="206" w:lineRule="exact"/>
        <w:rPr>
          <w:sz w:val="20"/>
          <w:szCs w:val="20"/>
          <w:color w:val="auto"/>
        </w:rPr>
      </w:pPr>
    </w:p>
    <w:p>
      <w:pPr>
        <w:ind w:right="880" w:firstLine="241"/>
        <w:spacing w:after="0" w:line="286" w:lineRule="auto"/>
        <w:rPr>
          <w:sz w:val="20"/>
          <w:szCs w:val="20"/>
          <w:color w:val="auto"/>
        </w:rPr>
      </w:pPr>
      <w:r>
        <w:rPr>
          <w:rFonts w:ascii="Calibri" w:cs="Calibri" w:eastAsia="Calibri" w:hAnsi="Calibri"/>
          <w:sz w:val="17"/>
          <w:szCs w:val="17"/>
          <w:color w:val="auto"/>
        </w:rPr>
        <w:t>Declines in oil, natural gas or NGL prices not only reduce our revenue, but could also reduce the amount of oil, natural gas and NGLs that we can produce economically and, as a result, could have a material adverse effect on our financial condition, results of operations, cash flows and reserves and our ability to comply with the financial covenants under our Credit Agreement. Should oil, natural gas or NGL prices decrease to economically unattractive levels and remain there for an extended period of time, we may elect to delay some of our exploration and development plans for our prospects, cease exploration or development activities on certain prospects due to the anticipated unfavorable economics from such activities or cease or delay further expansion of our midstream projects, each of which could have a material adverse effect on our business, financial condition, results of operations and reserves. In addition, such declines in commodity prices could cause a reduction in our borrowing base. If the borrowing base were to be less than the outstanding borrowings under our Credit Agreement at any time, we would be required to provide additional collateral satisfactory in nature and value to the lenders to increase the borrowing base to an amount sufficient to cover such excess or repay the deficit in equal installments over a period of six months.</w:t>
      </w:r>
    </w:p>
    <w:p>
      <w:pPr>
        <w:spacing w:after="0" w:line="203" w:lineRule="exact"/>
        <w:rPr>
          <w:sz w:val="20"/>
          <w:szCs w:val="20"/>
          <w:color w:val="auto"/>
        </w:rPr>
      </w:pPr>
    </w:p>
    <w:p>
      <w:pPr>
        <w:jc w:val="both"/>
        <w:ind w:right="1040"/>
        <w:spacing w:after="0" w:line="283" w:lineRule="auto"/>
        <w:rPr>
          <w:sz w:val="20"/>
          <w:szCs w:val="20"/>
          <w:color w:val="auto"/>
        </w:rPr>
      </w:pPr>
      <w:r>
        <w:rPr>
          <w:rFonts w:ascii="Calibri" w:cs="Calibri" w:eastAsia="Calibri" w:hAnsi="Calibri"/>
          <w:sz w:val="17"/>
          <w:szCs w:val="17"/>
          <w:i w:val="1"/>
          <w:iCs w:val="1"/>
          <w:color w:val="214E93"/>
        </w:rPr>
        <w:t>Our industry and the broader U.S. economy have experienced higher than expected inflationary pressures in recent years. Should these conditions persist, it may impact our ability to procure services, materials and equipment on a cost-effective basis, or at all, and, as a result, our business, financial condition, results of operations and cash flows could be materially and adversely affected.</w:t>
      </w:r>
    </w:p>
    <w:p>
      <w:pPr>
        <w:spacing w:after="0" w:line="206" w:lineRule="exact"/>
        <w:rPr>
          <w:sz w:val="20"/>
          <w:szCs w:val="20"/>
          <w:color w:val="auto"/>
        </w:rPr>
      </w:pPr>
    </w:p>
    <w:p>
      <w:pPr>
        <w:ind w:right="760" w:firstLine="241"/>
        <w:spacing w:after="0" w:line="286" w:lineRule="auto"/>
        <w:rPr>
          <w:sz w:val="20"/>
          <w:szCs w:val="20"/>
          <w:color w:val="auto"/>
        </w:rPr>
      </w:pPr>
      <w:r>
        <w:rPr>
          <w:rFonts w:ascii="Calibri" w:cs="Calibri" w:eastAsia="Calibri" w:hAnsi="Calibri"/>
          <w:sz w:val="17"/>
          <w:szCs w:val="17"/>
          <w:color w:val="auto"/>
        </w:rPr>
        <w:t>Although inflation in the U.S. softened in 2024 and 2025, prices for many services, materials and equipment have remained elevated relative to pre-2022 levels. Since 2022, we have experienced significant increases in the costs of certain oilfield services, materials and equipment, including diesel, steel, labor, trucking, sand, personnel and completion costs, among others. Supply and demand fundamentals have been aggravated by disruptions in global energy supply caused by multiple geopolitical events, including the ongoing military conflicts between Russia and Ukraine and in the Middle East, as well as related actions of the U.S. and other governments and governmental organizations relating to oil, natural gas and NGLs, including through sanctions, embargoes, import restrictions and commodity price caps. Should oil and natural gas prices increase, we expect to be subject to additional supply chain constraints and service cost inflation in future periods, which may increase our costs to drill, complete, equip and operate wells. In addition, supply chain disruptions and other inflationary pressures affecting the U.S. and global economy and the oil and natural gas industry may limit our ability to procure the necessary products and services we need for drilling, completing and producing wells in a timely and cost-effective manner, which could result in reduced margins and delays to our operations and could, in turn, have a material adverse effect on our business, financial condition, results of operations and cash flows.</w:t>
      </w:r>
    </w:p>
    <w:p>
      <w:pPr>
        <w:spacing w:after="0" w:line="204" w:lineRule="exact"/>
        <w:rPr>
          <w:sz w:val="20"/>
          <w:szCs w:val="20"/>
          <w:color w:val="auto"/>
        </w:rPr>
      </w:pPr>
    </w:p>
    <w:p>
      <w:pPr>
        <w:jc w:val="both"/>
        <w:ind w:right="1100"/>
        <w:spacing w:after="0" w:line="281" w:lineRule="auto"/>
        <w:rPr>
          <w:sz w:val="20"/>
          <w:szCs w:val="20"/>
          <w:color w:val="auto"/>
        </w:rPr>
      </w:pPr>
      <w:r>
        <w:rPr>
          <w:rFonts w:ascii="Calibri" w:cs="Calibri" w:eastAsia="Calibri" w:hAnsi="Calibri"/>
          <w:sz w:val="17"/>
          <w:szCs w:val="17"/>
          <w:i w:val="1"/>
          <w:iCs w:val="1"/>
          <w:color w:val="214E93"/>
        </w:rPr>
        <w:t>We cannot predict the impact of armed conflicts, including the ongoing military conflicts between Russia and Ukraine and in the Middle East, and the related humanitarian crises on the global economy, energy markets, geopolitical stability and our business.</w:t>
      </w:r>
    </w:p>
    <w:p>
      <w:pPr>
        <w:spacing w:after="0" w:line="206" w:lineRule="exact"/>
        <w:rPr>
          <w:sz w:val="20"/>
          <w:szCs w:val="20"/>
          <w:color w:val="auto"/>
        </w:rPr>
      </w:pPr>
    </w:p>
    <w:p>
      <w:pPr>
        <w:ind w:right="740" w:firstLine="241"/>
        <w:spacing w:after="0" w:line="284" w:lineRule="auto"/>
        <w:rPr>
          <w:sz w:val="20"/>
          <w:szCs w:val="20"/>
          <w:color w:val="auto"/>
        </w:rPr>
      </w:pPr>
      <w:r>
        <w:rPr>
          <w:rFonts w:ascii="Calibri" w:cs="Calibri" w:eastAsia="Calibri" w:hAnsi="Calibri"/>
          <w:sz w:val="17"/>
          <w:szCs w:val="17"/>
          <w:color w:val="auto"/>
        </w:rPr>
        <w:t>Although our leasehold acreage is located primarily in the Delaware Basin, the occurrence or threat of terrorist attacks in the U.S. or any of the major energy producing regions of the world or elsewhere, anti-terrorist efforts and other armed conflicts involving the U.S. or other countries, including the conflicts between Russia and Ukraine and in the Middle East, which may include further sanctions, embargoes, export controls, supply chain disruptions, regional instability and geopolitical shifts, may have adverse effects</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92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1160" w:top="498" w:right="440" w:bottom="0" w:gutter="0" w:footer="0" w:header="0"/>
          <w:type w:val="continuous"/>
        </w:sectPr>
      </w:pPr>
    </w:p>
    <w:bookmarkStart w:id="57" w:name="page58"/>
    <w:bookmarkEnd w:id="57"/>
    <w:p>
      <w:pPr>
        <w:spacing w:after="0"/>
        <w:tabs>
          <w:tab w:leader="none" w:pos="740" w:val="left"/>
        </w:tabs>
        <w:rPr>
          <w:sz w:val="20"/>
          <w:szCs w:val="20"/>
          <w:color w:val="auto"/>
        </w:rPr>
      </w:pPr>
      <w:r>
        <w:rPr>
          <w:rFonts w:ascii="Calibri" w:cs="Calibri" w:eastAsia="Calibri" w:hAnsi="Calibri"/>
          <w:sz w:val="18"/>
          <w:szCs w:val="18"/>
          <w:color w:val="auto"/>
        </w:rPr>
        <w:t>44</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20" w:right="20"/>
        <w:spacing w:after="0" w:line="286" w:lineRule="auto"/>
        <w:rPr>
          <w:sz w:val="20"/>
          <w:szCs w:val="20"/>
          <w:color w:val="auto"/>
        </w:rPr>
      </w:pPr>
      <w:r>
        <w:rPr>
          <w:rFonts w:ascii="Calibri" w:cs="Calibri" w:eastAsia="Calibri" w:hAnsi="Calibri"/>
          <w:sz w:val="17"/>
          <w:szCs w:val="17"/>
          <w:color w:val="auto"/>
        </w:rPr>
        <w:t>on global macroeconomic conditions, increase volatility in the price and demand for oil and natural gas, increase exposure to cyberattacks (including cyberattacks targeting energy and pipeline infrastructure), cause disruptions in global supply chains, increase transportation and insurance costs, increase foreign currency fluctuations, cause constraints or disruption in the capital markets and limit sources of liquidity. Additionally, destructive forms of protest and opposition by extremists and other disruptions, including acts of sabotage or eco-terrorism, against oil and natural gas activities could potentially result in personal injury to persons, damages to property, natural resources or the environment, or lead to extended interruptions of our or our customers’ operations. If any of these events occur, the resulting political instability and societal disruption could reduce overall demand for oil and gas. Oil and gas related facilities could be direct targets of terrorist attacks, and our operations could be adversely impacted if infrastructure integral to our or our customers’ operations is destroyed or damaged. Expenses related to security and costs for insurance may increase as a result of these threats, and some insurance coverage may become more difficult to obtain, if available at all. We cannot predict the extent of these events’ effects on our business and results of operations as well as on the global economy and energy markets.</w:t>
      </w:r>
    </w:p>
    <w:p>
      <w:pPr>
        <w:spacing w:after="0" w:line="203" w:lineRule="exact"/>
        <w:rPr>
          <w:sz w:val="20"/>
          <w:szCs w:val="20"/>
          <w:color w:val="auto"/>
        </w:rPr>
      </w:pPr>
    </w:p>
    <w:p>
      <w:pPr>
        <w:ind w:left="720" w:right="220"/>
        <w:spacing w:after="0" w:line="261" w:lineRule="auto"/>
        <w:rPr>
          <w:sz w:val="20"/>
          <w:szCs w:val="20"/>
          <w:color w:val="auto"/>
        </w:rPr>
      </w:pPr>
      <w:r>
        <w:rPr>
          <w:rFonts w:ascii="Calibri" w:cs="Calibri" w:eastAsia="Calibri" w:hAnsi="Calibri"/>
          <w:sz w:val="18"/>
          <w:szCs w:val="18"/>
          <w:i w:val="1"/>
          <w:iCs w:val="1"/>
          <w:color w:val="214E93"/>
        </w:rPr>
        <w:t>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w:t>
      </w:r>
    </w:p>
    <w:p>
      <w:pPr>
        <w:spacing w:after="0" w:line="223" w:lineRule="exact"/>
        <w:rPr>
          <w:sz w:val="20"/>
          <w:szCs w:val="20"/>
          <w:color w:val="auto"/>
        </w:rPr>
      </w:pPr>
    </w:p>
    <w:p>
      <w:pPr>
        <w:ind w:left="720" w:right="80" w:firstLine="241"/>
        <w:spacing w:after="0" w:line="264" w:lineRule="auto"/>
        <w:rPr>
          <w:sz w:val="20"/>
          <w:szCs w:val="20"/>
          <w:color w:val="auto"/>
        </w:rPr>
      </w:pPr>
      <w:r>
        <w:rPr>
          <w:rFonts w:ascii="Calibri" w:cs="Calibri" w:eastAsia="Calibri" w:hAnsi="Calibri"/>
          <w:sz w:val="18"/>
          <w:szCs w:val="18"/>
          <w:color w:val="auto"/>
        </w:rPr>
        <w:t>Our exploration, development, exploitation and midstream activities are capital intensive. Our cash, operating cash flows, contributions from our joint venture partners and potential future borrowings under our Credit Agreement, the San Mateo Credit Facility or otherwise may not be sufficient to fund all of our future capital expenditures or future acquisitions. The rate of our future growth is dependent, at least in part, on our ability to access capital at rates and on terms we determine to be acceptable.</w:t>
      </w:r>
    </w:p>
    <w:p>
      <w:pPr>
        <w:spacing w:after="0" w:line="204" w:lineRule="exact"/>
        <w:rPr>
          <w:sz w:val="20"/>
          <w:szCs w:val="20"/>
          <w:color w:val="auto"/>
        </w:rPr>
      </w:pPr>
    </w:p>
    <w:p>
      <w:pPr>
        <w:ind w:left="960"/>
        <w:spacing w:after="0"/>
        <w:rPr>
          <w:sz w:val="20"/>
          <w:szCs w:val="20"/>
          <w:color w:val="auto"/>
        </w:rPr>
      </w:pPr>
      <w:r>
        <w:rPr>
          <w:rFonts w:ascii="Calibri" w:cs="Calibri" w:eastAsia="Calibri" w:hAnsi="Calibri"/>
          <w:sz w:val="18"/>
          <w:szCs w:val="18"/>
          <w:color w:val="auto"/>
        </w:rPr>
        <w:t>Our cash flows from operations and access to capital are subject to a number of variables, including:</w:t>
      </w:r>
    </w:p>
    <w:p>
      <w:pPr>
        <w:spacing w:after="0" w:line="224" w:lineRule="exact"/>
        <w:rPr>
          <w:sz w:val="20"/>
          <w:szCs w:val="20"/>
          <w:color w:val="auto"/>
        </w:rPr>
      </w:pPr>
    </w:p>
    <w:p>
      <w:pPr>
        <w:ind w:left="1420" w:hanging="349"/>
        <w:spacing w:after="0"/>
        <w:tabs>
          <w:tab w:leader="none" w:pos="1420" w:val="left"/>
        </w:tabs>
        <w:numPr>
          <w:ilvl w:val="0"/>
          <w:numId w:val="45"/>
        </w:numPr>
        <w:rPr>
          <w:rFonts w:ascii="Calibri" w:cs="Calibri" w:eastAsia="Calibri" w:hAnsi="Calibri"/>
          <w:sz w:val="18"/>
          <w:szCs w:val="18"/>
          <w:color w:val="auto"/>
        </w:rPr>
      </w:pPr>
      <w:r>
        <w:rPr>
          <w:rFonts w:ascii="Calibri" w:cs="Calibri" w:eastAsia="Calibri" w:hAnsi="Calibri"/>
          <w:sz w:val="18"/>
          <w:szCs w:val="18"/>
          <w:color w:val="auto"/>
        </w:rPr>
        <w:t>our estimated proved oil and natural gas reserves;</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45"/>
        </w:numPr>
        <w:rPr>
          <w:rFonts w:ascii="Calibri" w:cs="Calibri" w:eastAsia="Calibri" w:hAnsi="Calibri"/>
          <w:sz w:val="18"/>
          <w:szCs w:val="18"/>
          <w:color w:val="auto"/>
        </w:rPr>
      </w:pPr>
      <w:r>
        <w:rPr>
          <w:rFonts w:ascii="Calibri" w:cs="Calibri" w:eastAsia="Calibri" w:hAnsi="Calibri"/>
          <w:sz w:val="18"/>
          <w:szCs w:val="18"/>
          <w:color w:val="auto"/>
        </w:rPr>
        <w:t>the amount of oil and natural gas we produce;</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45"/>
        </w:numPr>
        <w:rPr>
          <w:rFonts w:ascii="Calibri" w:cs="Calibri" w:eastAsia="Calibri" w:hAnsi="Calibri"/>
          <w:sz w:val="18"/>
          <w:szCs w:val="18"/>
          <w:color w:val="auto"/>
        </w:rPr>
      </w:pPr>
      <w:r>
        <w:rPr>
          <w:rFonts w:ascii="Calibri" w:cs="Calibri" w:eastAsia="Calibri" w:hAnsi="Calibri"/>
          <w:sz w:val="18"/>
          <w:szCs w:val="18"/>
          <w:color w:val="auto"/>
        </w:rPr>
        <w:t>the prices at which we sell our production and prevailing basis differentials;</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45"/>
        </w:numPr>
        <w:rPr>
          <w:rFonts w:ascii="Calibri" w:cs="Calibri" w:eastAsia="Calibri" w:hAnsi="Calibri"/>
          <w:sz w:val="18"/>
          <w:szCs w:val="18"/>
          <w:color w:val="auto"/>
        </w:rPr>
      </w:pPr>
      <w:r>
        <w:rPr>
          <w:rFonts w:ascii="Calibri" w:cs="Calibri" w:eastAsia="Calibri" w:hAnsi="Calibri"/>
          <w:sz w:val="18"/>
          <w:szCs w:val="18"/>
          <w:color w:val="auto"/>
        </w:rPr>
        <w:t>the costs of developing and producing our oil and natural gas reserves;</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45"/>
        </w:numPr>
        <w:rPr>
          <w:rFonts w:ascii="Calibri" w:cs="Calibri" w:eastAsia="Calibri" w:hAnsi="Calibri"/>
          <w:sz w:val="18"/>
          <w:szCs w:val="18"/>
          <w:color w:val="auto"/>
        </w:rPr>
      </w:pPr>
      <w:r>
        <w:rPr>
          <w:rFonts w:ascii="Calibri" w:cs="Calibri" w:eastAsia="Calibri" w:hAnsi="Calibri"/>
          <w:sz w:val="18"/>
          <w:szCs w:val="18"/>
          <w:color w:val="auto"/>
        </w:rPr>
        <w:t>the costs of constructing, operating and maintaining our midstream facilities;</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45"/>
        </w:numPr>
        <w:rPr>
          <w:rFonts w:ascii="Calibri" w:cs="Calibri" w:eastAsia="Calibri" w:hAnsi="Calibri"/>
          <w:sz w:val="18"/>
          <w:szCs w:val="18"/>
          <w:color w:val="auto"/>
        </w:rPr>
      </w:pPr>
      <w:r>
        <w:rPr>
          <w:rFonts w:ascii="Calibri" w:cs="Calibri" w:eastAsia="Calibri" w:hAnsi="Calibri"/>
          <w:sz w:val="18"/>
          <w:szCs w:val="18"/>
          <w:color w:val="auto"/>
        </w:rPr>
        <w:t>our ability to attract third-party customers for our midstream services;</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45"/>
        </w:numPr>
        <w:rPr>
          <w:rFonts w:ascii="Calibri" w:cs="Calibri" w:eastAsia="Calibri" w:hAnsi="Calibri"/>
          <w:sz w:val="18"/>
          <w:szCs w:val="18"/>
          <w:color w:val="auto"/>
        </w:rPr>
      </w:pPr>
      <w:r>
        <w:rPr>
          <w:rFonts w:ascii="Calibri" w:cs="Calibri" w:eastAsia="Calibri" w:hAnsi="Calibri"/>
          <w:sz w:val="18"/>
          <w:szCs w:val="18"/>
          <w:color w:val="auto"/>
        </w:rPr>
        <w:t>our ability to acquire, locate and produce new reserves;</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45"/>
        </w:numPr>
        <w:rPr>
          <w:rFonts w:ascii="Calibri" w:cs="Calibri" w:eastAsia="Calibri" w:hAnsi="Calibri"/>
          <w:sz w:val="18"/>
          <w:szCs w:val="18"/>
          <w:color w:val="auto"/>
        </w:rPr>
      </w:pPr>
      <w:r>
        <w:rPr>
          <w:rFonts w:ascii="Calibri" w:cs="Calibri" w:eastAsia="Calibri" w:hAnsi="Calibri"/>
          <w:sz w:val="18"/>
          <w:szCs w:val="18"/>
          <w:color w:val="auto"/>
        </w:rPr>
        <w:t>the ability and willingness of banks or other financial institutions to lend to us; and</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45"/>
        </w:numPr>
        <w:rPr>
          <w:rFonts w:ascii="Calibri" w:cs="Calibri" w:eastAsia="Calibri" w:hAnsi="Calibri"/>
          <w:sz w:val="18"/>
          <w:szCs w:val="18"/>
          <w:color w:val="auto"/>
        </w:rPr>
      </w:pPr>
      <w:r>
        <w:rPr>
          <w:rFonts w:ascii="Calibri" w:cs="Calibri" w:eastAsia="Calibri" w:hAnsi="Calibri"/>
          <w:sz w:val="18"/>
          <w:szCs w:val="18"/>
          <w:color w:val="auto"/>
        </w:rPr>
        <w:t>our ability to access the equity and debt capital markets.</w:t>
      </w:r>
    </w:p>
    <w:p>
      <w:pPr>
        <w:spacing w:after="0" w:line="241" w:lineRule="exact"/>
        <w:rPr>
          <w:sz w:val="20"/>
          <w:szCs w:val="20"/>
          <w:color w:val="auto"/>
        </w:rPr>
      </w:pPr>
    </w:p>
    <w:p>
      <w:pPr>
        <w:ind w:left="720" w:firstLine="241"/>
        <w:spacing w:after="0" w:line="285" w:lineRule="auto"/>
        <w:rPr>
          <w:sz w:val="20"/>
          <w:szCs w:val="20"/>
          <w:color w:val="auto"/>
        </w:rPr>
      </w:pPr>
      <w:r>
        <w:rPr>
          <w:rFonts w:ascii="Calibri" w:cs="Calibri" w:eastAsia="Calibri" w:hAnsi="Calibri"/>
          <w:sz w:val="17"/>
          <w:szCs w:val="17"/>
          <w:color w:val="auto"/>
        </w:rPr>
        <w:t>In addition, the possible occurrence of future events, such as decreases in the prices of oil and natural gas, or extended periods of such decreased prices, terrorist attacks, wars or combat peace-keeping missions, financial market disruptions, failures of banks, general economic recessions, oil and natural gas industry recessions, oil and natural gas company bankruptcies, accounting scandals, overstated reserves estimates by public oil companies and disruptions in the financial and capital markets, has caused financial institutions, credit rating agencies and the public to more closely review the financial statements, capital structures and spending and earnings of public companies, including energy companies. Such events have constrained the capital available to the energy industry in the past, and such events or similar events could adversely affect our access to funding for our operations in the future.</w:t>
      </w:r>
    </w:p>
    <w:p>
      <w:pPr>
        <w:spacing w:after="0" w:line="207" w:lineRule="exact"/>
        <w:rPr>
          <w:sz w:val="20"/>
          <w:szCs w:val="20"/>
          <w:color w:val="auto"/>
        </w:rPr>
      </w:pPr>
    </w:p>
    <w:p>
      <w:pPr>
        <w:ind w:left="720" w:right="80" w:firstLine="241"/>
        <w:spacing w:after="0" w:line="285" w:lineRule="auto"/>
        <w:rPr>
          <w:sz w:val="20"/>
          <w:szCs w:val="20"/>
          <w:color w:val="auto"/>
        </w:rPr>
      </w:pPr>
      <w:r>
        <w:rPr>
          <w:rFonts w:ascii="Calibri" w:cs="Calibri" w:eastAsia="Calibri" w:hAnsi="Calibri"/>
          <w:sz w:val="17"/>
          <w:szCs w:val="17"/>
          <w:color w:val="auto"/>
        </w:rPr>
        <w:t>If our revenues decrease as a result of lower oil and natural gas prices, operating difficulties, declines in reserves or the value thereof or for any other reason, we may have limited ability to obtain the capital necessary to sustain our operations at current levels, further develop and exploit our current properties or invest in certain opportunities. Alternatively, to develop our properties, pay for higher service costs, fund acquisitions, increase our rate of growth, or expand our midstream operations, we may decide to alter or increase our capitalization substantially through the issuance of debt or equity securities, the sale of production payments, the sale or joint venture of midstream assets, oil and natural gas producing assets or leasehold interests, the sale or joint venture of</w:t>
      </w:r>
    </w:p>
    <w:p>
      <w:pPr>
        <w:sectPr>
          <w:pgSz w:w="11880" w:h="15480" w:orient="portrait"/>
          <w:cols w:equalWidth="0" w:num="1">
            <w:col w:w="10280"/>
          </w:cols>
          <w:pgMar w:left="44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440" w:top="498" w:right="1160" w:bottom="0" w:gutter="0" w:footer="0" w:header="0"/>
          <w:type w:val="continuous"/>
        </w:sectPr>
      </w:pPr>
    </w:p>
    <w:bookmarkStart w:id="58" w:name="page59"/>
    <w:bookmarkEnd w:id="58"/>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45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720"/>
        <w:spacing w:after="0" w:line="285" w:lineRule="auto"/>
        <w:rPr>
          <w:sz w:val="20"/>
          <w:szCs w:val="20"/>
          <w:color w:val="auto"/>
        </w:rPr>
      </w:pPr>
      <w:r>
        <w:rPr>
          <w:rFonts w:ascii="Calibri" w:cs="Calibri" w:eastAsia="Calibri" w:hAnsi="Calibri"/>
          <w:sz w:val="17"/>
          <w:szCs w:val="17"/>
          <w:color w:val="auto"/>
        </w:rPr>
        <w:t>oil and natural gas mineral interests, the borrowing of funds or otherwise to meet any increase in capital spending. If we succeed in selling additional equity securities or securities convertible into equity securities to raise funds or make acquisitions, the ownership of our existing shareholders would be diluted, and new investors may demand rights, preferences or privileges senior to those of existing shareholders. If we raise additional capital through the issuance of new debt securities or additional indebtedness, we may become subject to additional covenants that restrict our business activities. If we are unable to raise additional capital from available sources at acceptable terms, our business, financial condition and results of operations could be adversely affected.</w:t>
      </w:r>
    </w:p>
    <w:p>
      <w:pPr>
        <w:spacing w:after="0" w:line="205" w:lineRule="exact"/>
        <w:rPr>
          <w:sz w:val="20"/>
          <w:szCs w:val="20"/>
          <w:color w:val="auto"/>
        </w:rPr>
      </w:pPr>
    </w:p>
    <w:p>
      <w:pPr>
        <w:ind w:right="860"/>
        <w:spacing w:after="0" w:line="261" w:lineRule="auto"/>
        <w:rPr>
          <w:sz w:val="20"/>
          <w:szCs w:val="20"/>
          <w:color w:val="auto"/>
        </w:rPr>
      </w:pPr>
      <w:r>
        <w:rPr>
          <w:rFonts w:ascii="Calibri" w:cs="Calibri" w:eastAsia="Calibri" w:hAnsi="Calibri"/>
          <w:sz w:val="18"/>
          <w:szCs w:val="18"/>
          <w:i w:val="1"/>
          <w:iCs w:val="1"/>
          <w:color w:val="214E93"/>
        </w:rPr>
        <w:t>Our oil and natural gas reserves are estimated and may not reflect the actual volumes of oil and natural gas we will recover, and significant inaccuracies in these reserves estimates or underlying assumptions will materially affect the quantities and present value of our reserves.</w:t>
      </w:r>
    </w:p>
    <w:p>
      <w:pPr>
        <w:spacing w:after="0" w:line="223" w:lineRule="exact"/>
        <w:rPr>
          <w:sz w:val="20"/>
          <w:szCs w:val="20"/>
          <w:color w:val="auto"/>
        </w:rPr>
      </w:pPr>
    </w:p>
    <w:p>
      <w:pPr>
        <w:ind w:right="940" w:firstLine="241"/>
        <w:spacing w:after="0" w:line="266" w:lineRule="auto"/>
        <w:rPr>
          <w:sz w:val="20"/>
          <w:szCs w:val="20"/>
          <w:color w:val="auto"/>
        </w:rPr>
      </w:pPr>
      <w:r>
        <w:rPr>
          <w:rFonts w:ascii="Calibri" w:cs="Calibri" w:eastAsia="Calibri" w:hAnsi="Calibri"/>
          <w:sz w:val="18"/>
          <w:szCs w:val="18"/>
          <w:color w:val="auto"/>
        </w:rPr>
        <w:t>The process of estimating accumulations of oil and natural gas is complex and inexact due to numerous inherent uncertainties. This process relies on interpretations of available geological, geophysical, petrophysical, engineering and production data. The extent, quality and reliability of this technical data and the associated interpretations can vary. This process also requires certain economic assumptions related to, among other things, oil and natural gas prices, drilling and operating expenses, capital expenditures, taxes and availability of funds. The accuracy of a reserves estimate is a function of:</w:t>
      </w:r>
    </w:p>
    <w:p>
      <w:pPr>
        <w:spacing w:after="0" w:line="201" w:lineRule="exact"/>
        <w:rPr>
          <w:sz w:val="20"/>
          <w:szCs w:val="20"/>
          <w:color w:val="auto"/>
        </w:rPr>
      </w:pPr>
    </w:p>
    <w:p>
      <w:pPr>
        <w:ind w:left="700" w:hanging="349"/>
        <w:spacing w:after="0"/>
        <w:tabs>
          <w:tab w:leader="none" w:pos="700" w:val="left"/>
        </w:tabs>
        <w:numPr>
          <w:ilvl w:val="0"/>
          <w:numId w:val="46"/>
        </w:numPr>
        <w:rPr>
          <w:rFonts w:ascii="Calibri" w:cs="Calibri" w:eastAsia="Calibri" w:hAnsi="Calibri"/>
          <w:sz w:val="18"/>
          <w:szCs w:val="18"/>
          <w:color w:val="auto"/>
        </w:rPr>
      </w:pPr>
      <w:r>
        <w:rPr>
          <w:rFonts w:ascii="Calibri" w:cs="Calibri" w:eastAsia="Calibri" w:hAnsi="Calibri"/>
          <w:sz w:val="18"/>
          <w:szCs w:val="18"/>
          <w:color w:val="auto"/>
        </w:rPr>
        <w:t>the quality and quantity of available data;</w:t>
      </w:r>
    </w:p>
    <w:p>
      <w:pPr>
        <w:spacing w:after="0" w:line="223" w:lineRule="exact"/>
        <w:rPr>
          <w:rFonts w:ascii="Calibri" w:cs="Calibri" w:eastAsia="Calibri" w:hAnsi="Calibri"/>
          <w:sz w:val="18"/>
          <w:szCs w:val="18"/>
          <w:color w:val="auto"/>
        </w:rPr>
      </w:pPr>
    </w:p>
    <w:p>
      <w:pPr>
        <w:ind w:left="700" w:hanging="349"/>
        <w:spacing w:after="0"/>
        <w:tabs>
          <w:tab w:leader="none" w:pos="700" w:val="left"/>
        </w:tabs>
        <w:numPr>
          <w:ilvl w:val="0"/>
          <w:numId w:val="46"/>
        </w:numPr>
        <w:rPr>
          <w:rFonts w:ascii="Calibri" w:cs="Calibri" w:eastAsia="Calibri" w:hAnsi="Calibri"/>
          <w:sz w:val="18"/>
          <w:szCs w:val="18"/>
          <w:color w:val="auto"/>
        </w:rPr>
      </w:pPr>
      <w:r>
        <w:rPr>
          <w:rFonts w:ascii="Calibri" w:cs="Calibri" w:eastAsia="Calibri" w:hAnsi="Calibri"/>
          <w:sz w:val="18"/>
          <w:szCs w:val="18"/>
          <w:color w:val="auto"/>
        </w:rPr>
        <w:t>the interpretation of that data;</w:t>
      </w:r>
    </w:p>
    <w:p>
      <w:pPr>
        <w:spacing w:after="0" w:line="223" w:lineRule="exact"/>
        <w:rPr>
          <w:rFonts w:ascii="Calibri" w:cs="Calibri" w:eastAsia="Calibri" w:hAnsi="Calibri"/>
          <w:sz w:val="18"/>
          <w:szCs w:val="18"/>
          <w:color w:val="auto"/>
        </w:rPr>
      </w:pPr>
    </w:p>
    <w:p>
      <w:pPr>
        <w:ind w:left="700" w:hanging="349"/>
        <w:spacing w:after="0"/>
        <w:tabs>
          <w:tab w:leader="none" w:pos="700" w:val="left"/>
        </w:tabs>
        <w:numPr>
          <w:ilvl w:val="0"/>
          <w:numId w:val="46"/>
        </w:numPr>
        <w:rPr>
          <w:rFonts w:ascii="Calibri" w:cs="Calibri" w:eastAsia="Calibri" w:hAnsi="Calibri"/>
          <w:sz w:val="18"/>
          <w:szCs w:val="18"/>
          <w:color w:val="auto"/>
        </w:rPr>
      </w:pPr>
      <w:r>
        <w:rPr>
          <w:rFonts w:ascii="Calibri" w:cs="Calibri" w:eastAsia="Calibri" w:hAnsi="Calibri"/>
          <w:sz w:val="18"/>
          <w:szCs w:val="18"/>
          <w:color w:val="auto"/>
        </w:rPr>
        <w:t>the judgment of the persons preparing the estimate; and</w:t>
      </w:r>
    </w:p>
    <w:p>
      <w:pPr>
        <w:spacing w:after="0" w:line="223" w:lineRule="exact"/>
        <w:rPr>
          <w:rFonts w:ascii="Calibri" w:cs="Calibri" w:eastAsia="Calibri" w:hAnsi="Calibri"/>
          <w:sz w:val="18"/>
          <w:szCs w:val="18"/>
          <w:color w:val="auto"/>
        </w:rPr>
      </w:pPr>
    </w:p>
    <w:p>
      <w:pPr>
        <w:ind w:left="700" w:hanging="349"/>
        <w:spacing w:after="0"/>
        <w:tabs>
          <w:tab w:leader="none" w:pos="700" w:val="left"/>
        </w:tabs>
        <w:numPr>
          <w:ilvl w:val="0"/>
          <w:numId w:val="46"/>
        </w:numPr>
        <w:rPr>
          <w:rFonts w:ascii="Calibri" w:cs="Calibri" w:eastAsia="Calibri" w:hAnsi="Calibri"/>
          <w:sz w:val="18"/>
          <w:szCs w:val="18"/>
          <w:color w:val="auto"/>
        </w:rPr>
      </w:pPr>
      <w:r>
        <w:rPr>
          <w:rFonts w:ascii="Calibri" w:cs="Calibri" w:eastAsia="Calibri" w:hAnsi="Calibri"/>
          <w:sz w:val="18"/>
          <w:szCs w:val="18"/>
          <w:color w:val="auto"/>
        </w:rPr>
        <w:t>the accuracy of the assumptions used.</w:t>
      </w:r>
    </w:p>
    <w:p>
      <w:pPr>
        <w:spacing w:after="0" w:line="241" w:lineRule="exact"/>
        <w:rPr>
          <w:sz w:val="20"/>
          <w:szCs w:val="20"/>
          <w:color w:val="auto"/>
        </w:rPr>
      </w:pPr>
    </w:p>
    <w:p>
      <w:pPr>
        <w:ind w:right="800" w:firstLine="241"/>
        <w:spacing w:after="0" w:line="267" w:lineRule="auto"/>
        <w:rPr>
          <w:sz w:val="20"/>
          <w:szCs w:val="20"/>
          <w:color w:val="auto"/>
        </w:rPr>
      </w:pPr>
      <w:r>
        <w:rPr>
          <w:rFonts w:ascii="Calibri" w:cs="Calibri" w:eastAsia="Calibri" w:hAnsi="Calibri"/>
          <w:sz w:val="18"/>
          <w:szCs w:val="18"/>
          <w:color w:val="auto"/>
        </w:rPr>
        <w:t>The accuracy of any estimates of proved oil and natural gas reserves generally increases with the length of production history. Due to the limited production history of certain of our properties, the estimates of future production associated with these properties may be subject to greater variance to actual production than would be the case with properties having a longer production history. As our wells produce over time and more data becomes available, the estimated proved reserves will be redetermined on at least an annual basis and may be adjusted to reflect new information based upon our actual production history, results of exploration and development, prevailing oil and natural gas prices and other factors.</w:t>
      </w:r>
    </w:p>
    <w:p>
      <w:pPr>
        <w:spacing w:after="0" w:line="217" w:lineRule="exact"/>
        <w:rPr>
          <w:sz w:val="20"/>
          <w:szCs w:val="20"/>
          <w:color w:val="auto"/>
        </w:rPr>
      </w:pPr>
    </w:p>
    <w:p>
      <w:pPr>
        <w:ind w:right="820" w:firstLine="241"/>
        <w:spacing w:after="0" w:line="264" w:lineRule="auto"/>
        <w:rPr>
          <w:sz w:val="20"/>
          <w:szCs w:val="20"/>
          <w:color w:val="auto"/>
        </w:rPr>
      </w:pPr>
      <w:r>
        <w:rPr>
          <w:rFonts w:ascii="Calibri" w:cs="Calibri" w:eastAsia="Calibri" w:hAnsi="Calibri"/>
          <w:sz w:val="18"/>
          <w:szCs w:val="18"/>
          <w:color w:val="auto"/>
        </w:rPr>
        <w:t>Actual future production, oil and natural gas prices, revenues, taxes, development expenditures, operating expenses and quantities of recoverable oil and natural gas most likely will vary from our estimates. It is possible that future production declines in our wells may be greater than we have estimated. Any significant variance from our estimates could materially affect the quantities and present value of our reserves.</w:t>
      </w:r>
    </w:p>
    <w:p>
      <w:pPr>
        <w:spacing w:after="0" w:line="221" w:lineRule="exact"/>
        <w:rPr>
          <w:sz w:val="20"/>
          <w:szCs w:val="20"/>
          <w:color w:val="auto"/>
        </w:rPr>
      </w:pPr>
    </w:p>
    <w:p>
      <w:pPr>
        <w:ind w:right="880"/>
        <w:spacing w:after="0" w:line="252" w:lineRule="auto"/>
        <w:rPr>
          <w:sz w:val="20"/>
          <w:szCs w:val="20"/>
          <w:color w:val="auto"/>
        </w:rPr>
      </w:pPr>
      <w:r>
        <w:rPr>
          <w:rFonts w:ascii="Calibri" w:cs="Calibri" w:eastAsia="Calibri" w:hAnsi="Calibri"/>
          <w:sz w:val="18"/>
          <w:szCs w:val="18"/>
          <w:i w:val="1"/>
          <w:iCs w:val="1"/>
          <w:color w:val="214E93"/>
        </w:rPr>
        <w:t>The calculated present value of future net revenues from our proved oil and natural gas reserves will not necessarily be the same as the current market value of our estimated oil and natural gas reserves.</w:t>
      </w:r>
    </w:p>
    <w:p>
      <w:pPr>
        <w:spacing w:after="0" w:line="230" w:lineRule="exact"/>
        <w:rPr>
          <w:sz w:val="20"/>
          <w:szCs w:val="20"/>
          <w:color w:val="auto"/>
        </w:rPr>
      </w:pPr>
    </w:p>
    <w:p>
      <w:pPr>
        <w:ind w:right="740" w:firstLine="241"/>
        <w:spacing w:after="0" w:line="267" w:lineRule="auto"/>
        <w:rPr>
          <w:sz w:val="20"/>
          <w:szCs w:val="20"/>
          <w:color w:val="auto"/>
        </w:rPr>
      </w:pPr>
      <w:r>
        <w:rPr>
          <w:rFonts w:ascii="Calibri" w:cs="Calibri" w:eastAsia="Calibri" w:hAnsi="Calibri"/>
          <w:sz w:val="18"/>
          <w:szCs w:val="18"/>
          <w:color w:val="auto"/>
        </w:rPr>
        <w:t>It should not be assumed that the present value of future net cash flows included in this Annual Report is the current market value of our estimated proved oil and natural gas reserves. As required by SEC rules and regulations, the estimated discounted future net cash flows from proved oil and natural gas reserves are based on current costs held constant over time without escalation and on commodity prices using an unweighted arithmetic average of first-day-of-the-month index prices, appropriately adjusted, for the 12-month period immediately preceding the date of the estimate. Actual future prices and costs may be materially higher or lower than the prices and costs used for these estimates and will be affected by factors such as:</w:t>
      </w:r>
    </w:p>
    <w:p>
      <w:pPr>
        <w:spacing w:after="0" w:line="200" w:lineRule="exact"/>
        <w:rPr>
          <w:sz w:val="20"/>
          <w:szCs w:val="20"/>
          <w:color w:val="auto"/>
        </w:rPr>
      </w:pPr>
    </w:p>
    <w:p>
      <w:pPr>
        <w:ind w:left="700" w:hanging="349"/>
        <w:spacing w:after="0"/>
        <w:tabs>
          <w:tab w:leader="none" w:pos="700" w:val="left"/>
        </w:tabs>
        <w:numPr>
          <w:ilvl w:val="0"/>
          <w:numId w:val="47"/>
        </w:numPr>
        <w:rPr>
          <w:rFonts w:ascii="Calibri" w:cs="Calibri" w:eastAsia="Calibri" w:hAnsi="Calibri"/>
          <w:sz w:val="18"/>
          <w:szCs w:val="18"/>
          <w:color w:val="auto"/>
        </w:rPr>
      </w:pPr>
      <w:r>
        <w:rPr>
          <w:rFonts w:ascii="Calibri" w:cs="Calibri" w:eastAsia="Calibri" w:hAnsi="Calibri"/>
          <w:sz w:val="18"/>
          <w:szCs w:val="18"/>
          <w:color w:val="auto"/>
        </w:rPr>
        <w:t>actual prices we receive for oil and natural gas;</w:t>
      </w:r>
    </w:p>
    <w:p>
      <w:pPr>
        <w:spacing w:after="0" w:line="223" w:lineRule="exact"/>
        <w:rPr>
          <w:rFonts w:ascii="Calibri" w:cs="Calibri" w:eastAsia="Calibri" w:hAnsi="Calibri"/>
          <w:sz w:val="18"/>
          <w:szCs w:val="18"/>
          <w:color w:val="auto"/>
        </w:rPr>
      </w:pPr>
    </w:p>
    <w:p>
      <w:pPr>
        <w:ind w:left="700" w:hanging="349"/>
        <w:spacing w:after="0"/>
        <w:tabs>
          <w:tab w:leader="none" w:pos="700" w:val="left"/>
        </w:tabs>
        <w:numPr>
          <w:ilvl w:val="0"/>
          <w:numId w:val="47"/>
        </w:numPr>
        <w:rPr>
          <w:rFonts w:ascii="Calibri" w:cs="Calibri" w:eastAsia="Calibri" w:hAnsi="Calibri"/>
          <w:sz w:val="18"/>
          <w:szCs w:val="18"/>
          <w:color w:val="auto"/>
        </w:rPr>
      </w:pPr>
      <w:r>
        <w:rPr>
          <w:rFonts w:ascii="Calibri" w:cs="Calibri" w:eastAsia="Calibri" w:hAnsi="Calibri"/>
          <w:sz w:val="18"/>
          <w:szCs w:val="18"/>
          <w:color w:val="auto"/>
        </w:rPr>
        <w:t>actual costs and timing of development and production expenditures;</w:t>
      </w:r>
    </w:p>
    <w:p>
      <w:pPr>
        <w:spacing w:after="0" w:line="223" w:lineRule="exact"/>
        <w:rPr>
          <w:rFonts w:ascii="Calibri" w:cs="Calibri" w:eastAsia="Calibri" w:hAnsi="Calibri"/>
          <w:sz w:val="18"/>
          <w:szCs w:val="18"/>
          <w:color w:val="auto"/>
        </w:rPr>
      </w:pPr>
    </w:p>
    <w:p>
      <w:pPr>
        <w:ind w:left="700" w:hanging="349"/>
        <w:spacing w:after="0"/>
        <w:tabs>
          <w:tab w:leader="none" w:pos="700" w:val="left"/>
        </w:tabs>
        <w:numPr>
          <w:ilvl w:val="0"/>
          <w:numId w:val="47"/>
        </w:numPr>
        <w:rPr>
          <w:rFonts w:ascii="Calibri" w:cs="Calibri" w:eastAsia="Calibri" w:hAnsi="Calibri"/>
          <w:sz w:val="18"/>
          <w:szCs w:val="18"/>
          <w:color w:val="auto"/>
        </w:rPr>
      </w:pPr>
      <w:r>
        <w:rPr>
          <w:rFonts w:ascii="Calibri" w:cs="Calibri" w:eastAsia="Calibri" w:hAnsi="Calibri"/>
          <w:sz w:val="18"/>
          <w:szCs w:val="18"/>
          <w:color w:val="auto"/>
        </w:rPr>
        <w:t>the amount and timing of actual production; and</w:t>
      </w:r>
    </w:p>
    <w:p>
      <w:pPr>
        <w:spacing w:after="0" w:line="223" w:lineRule="exact"/>
        <w:rPr>
          <w:rFonts w:ascii="Calibri" w:cs="Calibri" w:eastAsia="Calibri" w:hAnsi="Calibri"/>
          <w:sz w:val="18"/>
          <w:szCs w:val="18"/>
          <w:color w:val="auto"/>
        </w:rPr>
      </w:pPr>
    </w:p>
    <w:p>
      <w:pPr>
        <w:ind w:left="700" w:hanging="349"/>
        <w:spacing w:after="0"/>
        <w:tabs>
          <w:tab w:leader="none" w:pos="700" w:val="left"/>
        </w:tabs>
        <w:numPr>
          <w:ilvl w:val="0"/>
          <w:numId w:val="47"/>
        </w:numPr>
        <w:rPr>
          <w:rFonts w:ascii="Calibri" w:cs="Calibri" w:eastAsia="Calibri" w:hAnsi="Calibri"/>
          <w:sz w:val="18"/>
          <w:szCs w:val="18"/>
          <w:color w:val="auto"/>
        </w:rPr>
      </w:pPr>
      <w:r>
        <w:rPr>
          <w:rFonts w:ascii="Calibri" w:cs="Calibri" w:eastAsia="Calibri" w:hAnsi="Calibri"/>
          <w:sz w:val="18"/>
          <w:szCs w:val="18"/>
          <w:color w:val="auto"/>
        </w:rPr>
        <w:t>changes in governmental regulations or taxation.</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892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1160" w:top="498" w:right="440" w:bottom="0" w:gutter="0" w:footer="0" w:header="0"/>
          <w:type w:val="continuous"/>
        </w:sectPr>
      </w:pPr>
    </w:p>
    <w:bookmarkStart w:id="59" w:name="page60"/>
    <w:bookmarkEnd w:id="59"/>
    <w:p>
      <w:pPr>
        <w:spacing w:after="0"/>
        <w:tabs>
          <w:tab w:leader="none" w:pos="740" w:val="left"/>
        </w:tabs>
        <w:rPr>
          <w:sz w:val="20"/>
          <w:szCs w:val="20"/>
          <w:color w:val="auto"/>
        </w:rPr>
      </w:pPr>
      <w:r>
        <w:rPr>
          <w:rFonts w:ascii="Calibri" w:cs="Calibri" w:eastAsia="Calibri" w:hAnsi="Calibri"/>
          <w:sz w:val="18"/>
          <w:szCs w:val="18"/>
          <w:color w:val="auto"/>
        </w:rPr>
        <w:t>46</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20" w:right="40" w:firstLine="241"/>
        <w:spacing w:after="0" w:line="261" w:lineRule="auto"/>
        <w:rPr>
          <w:sz w:val="20"/>
          <w:szCs w:val="20"/>
          <w:color w:val="auto"/>
        </w:rPr>
      </w:pPr>
      <w:r>
        <w:rPr>
          <w:rFonts w:ascii="Calibri" w:cs="Calibri" w:eastAsia="Calibri" w:hAnsi="Calibri"/>
          <w:sz w:val="18"/>
          <w:szCs w:val="18"/>
          <w:color w:val="auto"/>
        </w:rPr>
        <w:t>In addition, the 10% discount factor that is required to be used to calculate discounted future net revenues for reporting purposes under GAAP is not necessarily the most appropriate discount factor based on the cost of capital in effect from time to time and risks associated with our business and the oil and natural gas industry in general.</w:t>
      </w:r>
    </w:p>
    <w:p>
      <w:pPr>
        <w:spacing w:after="0" w:line="223" w:lineRule="exact"/>
        <w:rPr>
          <w:sz w:val="20"/>
          <w:szCs w:val="20"/>
          <w:color w:val="auto"/>
        </w:rPr>
      </w:pPr>
    </w:p>
    <w:p>
      <w:pPr>
        <w:ind w:left="720" w:right="500"/>
        <w:spacing w:after="0" w:line="252" w:lineRule="auto"/>
        <w:rPr>
          <w:sz w:val="20"/>
          <w:szCs w:val="20"/>
          <w:color w:val="auto"/>
        </w:rPr>
      </w:pPr>
      <w:r>
        <w:rPr>
          <w:rFonts w:ascii="Calibri" w:cs="Calibri" w:eastAsia="Calibri" w:hAnsi="Calibri"/>
          <w:sz w:val="18"/>
          <w:szCs w:val="18"/>
          <w:i w:val="1"/>
          <w:iCs w:val="1"/>
          <w:color w:val="214E93"/>
        </w:rPr>
        <w:t>Approximately 39% of our total proved reserves at December 31, 2025 consisted of undeveloped and developed non-producing reserves, and those reserves may not ultimately be developed or produced.</w:t>
      </w:r>
    </w:p>
    <w:p>
      <w:pPr>
        <w:spacing w:after="0" w:line="230" w:lineRule="exact"/>
        <w:rPr>
          <w:sz w:val="20"/>
          <w:szCs w:val="20"/>
          <w:color w:val="auto"/>
        </w:rPr>
      </w:pPr>
    </w:p>
    <w:p>
      <w:pPr>
        <w:ind w:left="720" w:firstLine="241"/>
        <w:spacing w:after="0" w:line="269" w:lineRule="auto"/>
        <w:rPr>
          <w:sz w:val="20"/>
          <w:szCs w:val="20"/>
          <w:color w:val="auto"/>
        </w:rPr>
      </w:pPr>
      <w:r>
        <w:rPr>
          <w:rFonts w:ascii="Calibri" w:cs="Calibri" w:eastAsia="Calibri" w:hAnsi="Calibri"/>
          <w:sz w:val="18"/>
          <w:szCs w:val="18"/>
          <w:color w:val="auto"/>
        </w:rPr>
        <w:t>At December 31, 2025, approximately 39% of our total proved reserves were undeveloped and less than 1% of our total proved reserves were developed non-producing. Our undeveloped and/or developed non-producing reserves may never be developed or produced, or such reserves may not be developed or produced within the time periods we have projected or at the costs we have estimated. SEC rules require that, subject to limited exceptions, proved undeveloped reserves may only be booked if they are related to wells scheduled to be drilled within five years after the date of booking. Delays in the development of our reserves or increases in costs to drill and develop such reserves would reduce the present value of our estimated proved undeveloped reserves and future net revenues estimated for such reserves, resulting in some projects becoming uneconomical and reducing our total proved reserves. In addition, delays in the development of reserves or declines in the oil and/or natural gas prices used to estimate proved reserves in the future could cause us to have to reclassify a portion of our proved reserves as unproved reserves. Any reduction in our proved reserves caused by the reclassification of undeveloped or developed non-producing reserves could materially affect our business, financial condition, results of operations and cash flows.</w:t>
      </w:r>
    </w:p>
    <w:p>
      <w:pPr>
        <w:spacing w:after="0" w:line="218" w:lineRule="exact"/>
        <w:rPr>
          <w:sz w:val="20"/>
          <w:szCs w:val="20"/>
          <w:color w:val="auto"/>
        </w:rPr>
      </w:pPr>
    </w:p>
    <w:p>
      <w:pPr>
        <w:ind w:left="720" w:right="120"/>
        <w:spacing w:after="0" w:line="226" w:lineRule="auto"/>
        <w:rPr>
          <w:sz w:val="20"/>
          <w:szCs w:val="20"/>
          <w:color w:val="auto"/>
        </w:rPr>
      </w:pPr>
      <w:r>
        <w:rPr>
          <w:rFonts w:ascii="Calibri" w:cs="Calibri" w:eastAsia="Calibri" w:hAnsi="Calibri"/>
          <w:sz w:val="19"/>
          <w:szCs w:val="19"/>
          <w:i w:val="1"/>
          <w:iCs w:val="1"/>
          <w:color w:val="214E93"/>
        </w:rPr>
        <w:t>Unless we replace our oil and natural gas reserves, our reserves and production will decline, which would adversely affect our business, financial condition, results of operations and cash flows.</w:t>
      </w:r>
    </w:p>
    <w:p>
      <w:pPr>
        <w:spacing w:after="0" w:line="210" w:lineRule="exact"/>
        <w:rPr>
          <w:sz w:val="20"/>
          <w:szCs w:val="20"/>
          <w:color w:val="auto"/>
        </w:rPr>
      </w:pPr>
    </w:p>
    <w:p>
      <w:pPr>
        <w:ind w:left="720" w:right="20" w:firstLine="241"/>
        <w:spacing w:after="0" w:line="268" w:lineRule="auto"/>
        <w:rPr>
          <w:sz w:val="20"/>
          <w:szCs w:val="20"/>
          <w:color w:val="auto"/>
        </w:rPr>
      </w:pPr>
      <w:r>
        <w:rPr>
          <w:rFonts w:ascii="Calibri" w:cs="Calibri" w:eastAsia="Calibri" w:hAnsi="Calibri"/>
          <w:sz w:val="18"/>
          <w:szCs w:val="18"/>
          <w:color w:val="auto"/>
        </w:rPr>
        <w:t>The rate of production from our oil and natural gas properties declines as our reserves are depleted. Our future oil and natural gas reserves and production and, therefore, our income and cash flow are highly dependent on our success in efficiently developing and exploiting our current reserves and economically finding or acquiring additional oil and natural gas producing properties. We are currently focusing on developing our assets in the Delaware Basin, an area with intense competition and industry activity. As a result of this activity, we may have difficulty growing our current production, acquiring new properties or securing necessary services and labor in this area and may experience such difficulty in other areas in the future. During periods of low oil and/or natural gas prices, existing reserves may no longer be economic, and it will become more difficult to raise the capital necessary to finance expansion activities. If we are unable to replace our current and future production, our reserves will decrease, and our business, financial condition, results of operations and cash flows would be adversely affected.</w:t>
      </w:r>
    </w:p>
    <w:p>
      <w:pPr>
        <w:spacing w:after="0" w:line="219" w:lineRule="exact"/>
        <w:rPr>
          <w:sz w:val="20"/>
          <w:szCs w:val="20"/>
          <w:color w:val="auto"/>
        </w:rPr>
      </w:pPr>
    </w:p>
    <w:p>
      <w:pPr>
        <w:ind w:left="720" w:right="140"/>
        <w:spacing w:after="0" w:line="252" w:lineRule="auto"/>
        <w:rPr>
          <w:sz w:val="20"/>
          <w:szCs w:val="20"/>
          <w:color w:val="auto"/>
        </w:rPr>
      </w:pPr>
      <w:r>
        <w:rPr>
          <w:rFonts w:ascii="Calibri" w:cs="Calibri" w:eastAsia="Calibri" w:hAnsi="Calibri"/>
          <w:sz w:val="18"/>
          <w:szCs w:val="18"/>
          <w:i w:val="1"/>
          <w:iCs w:val="1"/>
          <w:color w:val="214E93"/>
        </w:rPr>
        <w:t>We may be required to write down the carrying value of our proved properties under accounting rules, and these write-downs could adversely affect our financial condition.</w:t>
      </w:r>
    </w:p>
    <w:p>
      <w:pPr>
        <w:spacing w:after="0" w:line="230" w:lineRule="exact"/>
        <w:rPr>
          <w:sz w:val="20"/>
          <w:szCs w:val="20"/>
          <w:color w:val="auto"/>
        </w:rPr>
      </w:pPr>
    </w:p>
    <w:p>
      <w:pPr>
        <w:ind w:left="720" w:right="160" w:firstLine="241"/>
        <w:spacing w:after="0" w:line="252" w:lineRule="auto"/>
        <w:rPr>
          <w:sz w:val="20"/>
          <w:szCs w:val="20"/>
          <w:color w:val="auto"/>
        </w:rPr>
      </w:pPr>
      <w:r>
        <w:rPr>
          <w:rFonts w:ascii="Calibri" w:cs="Calibri" w:eastAsia="Calibri" w:hAnsi="Calibri"/>
          <w:sz w:val="18"/>
          <w:szCs w:val="18"/>
          <w:color w:val="auto"/>
        </w:rPr>
        <w:t>There is a risk that we will be required to write down the carrying value of our oil and natural gas properties when oil or natural gas prices are low or are declining, as occurred in 2020. In addition, non-cash write-downs may occur if we have:</w:t>
      </w:r>
    </w:p>
    <w:p>
      <w:pPr>
        <w:spacing w:after="0" w:line="213" w:lineRule="exact"/>
        <w:rPr>
          <w:sz w:val="20"/>
          <w:szCs w:val="20"/>
          <w:color w:val="auto"/>
        </w:rPr>
      </w:pPr>
    </w:p>
    <w:p>
      <w:pPr>
        <w:ind w:left="1420" w:hanging="349"/>
        <w:spacing w:after="0"/>
        <w:tabs>
          <w:tab w:leader="none" w:pos="1420" w:val="left"/>
        </w:tabs>
        <w:numPr>
          <w:ilvl w:val="0"/>
          <w:numId w:val="48"/>
        </w:numPr>
        <w:rPr>
          <w:rFonts w:ascii="Calibri" w:cs="Calibri" w:eastAsia="Calibri" w:hAnsi="Calibri"/>
          <w:sz w:val="18"/>
          <w:szCs w:val="18"/>
          <w:color w:val="auto"/>
        </w:rPr>
      </w:pPr>
      <w:r>
        <w:rPr>
          <w:rFonts w:ascii="Calibri" w:cs="Calibri" w:eastAsia="Calibri" w:hAnsi="Calibri"/>
          <w:sz w:val="18"/>
          <w:szCs w:val="18"/>
          <w:color w:val="auto"/>
        </w:rPr>
        <w:t>downward adjustments to our estimated proved reserves;</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48"/>
        </w:numPr>
        <w:rPr>
          <w:rFonts w:ascii="Calibri" w:cs="Calibri" w:eastAsia="Calibri" w:hAnsi="Calibri"/>
          <w:sz w:val="18"/>
          <w:szCs w:val="18"/>
          <w:color w:val="auto"/>
        </w:rPr>
      </w:pPr>
      <w:r>
        <w:rPr>
          <w:rFonts w:ascii="Calibri" w:cs="Calibri" w:eastAsia="Calibri" w:hAnsi="Calibri"/>
          <w:sz w:val="18"/>
          <w:szCs w:val="18"/>
          <w:color w:val="auto"/>
        </w:rPr>
        <w:t>increases in our estimates of development costs; or</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48"/>
        </w:numPr>
        <w:rPr>
          <w:rFonts w:ascii="Calibri" w:cs="Calibri" w:eastAsia="Calibri" w:hAnsi="Calibri"/>
          <w:sz w:val="18"/>
          <w:szCs w:val="18"/>
          <w:color w:val="auto"/>
        </w:rPr>
      </w:pPr>
      <w:r>
        <w:rPr>
          <w:rFonts w:ascii="Calibri" w:cs="Calibri" w:eastAsia="Calibri" w:hAnsi="Calibri"/>
          <w:sz w:val="18"/>
          <w:szCs w:val="18"/>
          <w:color w:val="auto"/>
        </w:rPr>
        <w:t>deterioration in our exploration and development results.</w:t>
      </w:r>
    </w:p>
    <w:p>
      <w:pPr>
        <w:spacing w:after="0" w:line="241" w:lineRule="exact"/>
        <w:rPr>
          <w:sz w:val="20"/>
          <w:szCs w:val="20"/>
          <w:color w:val="auto"/>
        </w:rPr>
      </w:pPr>
    </w:p>
    <w:p>
      <w:pPr>
        <w:ind w:left="720" w:firstLine="241"/>
        <w:spacing w:after="0" w:line="286" w:lineRule="auto"/>
        <w:rPr>
          <w:sz w:val="20"/>
          <w:szCs w:val="20"/>
          <w:color w:val="auto"/>
        </w:rPr>
      </w:pPr>
      <w:r>
        <w:rPr>
          <w:rFonts w:ascii="Calibri" w:cs="Calibri" w:eastAsia="Calibri" w:hAnsi="Calibri"/>
          <w:sz w:val="17"/>
          <w:szCs w:val="17"/>
          <w:color w:val="auto"/>
        </w:rPr>
        <w:t>We periodically review the carrying value of our oil and natural gas properties under full-cost accounting rules. Under these rules, the net capitalized costs of oil and natural gas properties less related deferred income taxes may not exceed a cost center ceiling that is calculated by determining the present value, based on constant prices and costs projected forward from a single point in time, of estimated future after-tax net cash flows from proved reserves, discounted at 10%. If the net capitalized costs of our oil and natural gas properties less related deferred income taxes exceed the cost center ceiling, we must charge the amount of this excess to operations in the period in which the excess occurs. We may not reverse write-downs even if prices increase in subsequent periods. A write-down does not affect net cash flows from operating activities, liquidity or capital resources, but it does reduce the book value of our net tangible assets, retained earnings and shareholders’ equity, and could lower the value of our common stock.</w:t>
      </w:r>
    </w:p>
    <w:p>
      <w:pPr>
        <w:sectPr>
          <w:pgSz w:w="11880" w:h="15480" w:orient="portrait"/>
          <w:cols w:equalWidth="0" w:num="1">
            <w:col w:w="10280"/>
          </w:cols>
          <w:pgMar w:left="44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440" w:top="498" w:right="1160" w:bottom="0" w:gutter="0" w:footer="0" w:header="0"/>
          <w:type w:val="continuous"/>
        </w:sectPr>
      </w:pPr>
    </w:p>
    <w:bookmarkStart w:id="60" w:name="page61"/>
    <w:bookmarkEnd w:id="60"/>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47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214E93"/>
        </w:rPr>
        <w:t>Hedging transactions, or the lack thereof, may limit our potential gains and could result in financial losses.</w:t>
      </w:r>
    </w:p>
    <w:p>
      <w:pPr>
        <w:spacing w:after="0" w:line="241" w:lineRule="exact"/>
        <w:rPr>
          <w:sz w:val="20"/>
          <w:szCs w:val="20"/>
          <w:color w:val="auto"/>
        </w:rPr>
      </w:pPr>
    </w:p>
    <w:p>
      <w:pPr>
        <w:ind w:right="760" w:firstLine="241"/>
        <w:spacing w:after="0" w:line="269" w:lineRule="auto"/>
        <w:rPr>
          <w:sz w:val="20"/>
          <w:szCs w:val="20"/>
          <w:color w:val="auto"/>
        </w:rPr>
      </w:pPr>
      <w:r>
        <w:rPr>
          <w:rFonts w:ascii="Calibri" w:cs="Calibri" w:eastAsia="Calibri" w:hAnsi="Calibri"/>
          <w:sz w:val="18"/>
          <w:szCs w:val="18"/>
          <w:color w:val="auto"/>
        </w:rPr>
        <w:t>To manage our exposure to price risk, including price differential risk, we, from time to time, enter into hedging arrangements, using primarily “costless collars” or “swaps” with respect to a portion of our future production. Costless collars provide us with downside price protection through the purchase of a put option, which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 In the case of a costless collar, the put option and the call option or options have different fixed price components. In a swap contract, a floating price is exchanged for a fixed price over the specified period, providing downside price protection. The goal of these and other hedges is to lock in a range of prices in the case of collars or a fixed price in the case of swaps so as to mitigate price volatility and increase the predictability of cash flows. These transactions limit our potential gains if oil, natural gas or NGL prices rise above the maximum price established by the call option or swap, as applicable, and may offer protection if prices fall below the minimum price established by the put option or swap, as applicable, only to the extent of the volumes then hedged.</w:t>
      </w:r>
    </w:p>
    <w:p>
      <w:pPr>
        <w:spacing w:after="0" w:line="220" w:lineRule="exact"/>
        <w:rPr>
          <w:sz w:val="20"/>
          <w:szCs w:val="20"/>
          <w:color w:val="auto"/>
        </w:rPr>
      </w:pPr>
    </w:p>
    <w:p>
      <w:pPr>
        <w:ind w:right="720" w:firstLine="241"/>
        <w:spacing w:after="0" w:line="267" w:lineRule="auto"/>
        <w:rPr>
          <w:sz w:val="20"/>
          <w:szCs w:val="20"/>
          <w:color w:val="auto"/>
        </w:rPr>
      </w:pPr>
      <w:r>
        <w:rPr>
          <w:rFonts w:ascii="Calibri" w:cs="Calibri" w:eastAsia="Calibri" w:hAnsi="Calibri"/>
          <w:sz w:val="18"/>
          <w:szCs w:val="18"/>
          <w:color w:val="auto"/>
        </w:rPr>
        <w:t>In addition, hedging transactions may expose us to the risk of financial loss in certain other circumstances, including instances in which our production is less than expected or the counterparties to our put and call option or swap contracts fail to perform under the contracts. Disruptions in the financial markets could lead to sudden changes in a counterparty’s liquidity, which could impair its ability to perform under the terms of the contracts. We are unable to predict sudden changes in a counterparty’s creditworthiness or ability to perform under contracts with us. Even if we do accurately predict sudden changes, our ability to mitigate that risk may be limited depending upon market conditions.</w:t>
      </w:r>
    </w:p>
    <w:p>
      <w:pPr>
        <w:spacing w:after="0" w:line="217" w:lineRule="exact"/>
        <w:rPr>
          <w:sz w:val="20"/>
          <w:szCs w:val="20"/>
          <w:color w:val="auto"/>
        </w:rPr>
      </w:pPr>
    </w:p>
    <w:p>
      <w:pPr>
        <w:ind w:right="760" w:firstLine="241"/>
        <w:spacing w:after="0" w:line="267" w:lineRule="auto"/>
        <w:rPr>
          <w:sz w:val="20"/>
          <w:szCs w:val="20"/>
          <w:color w:val="auto"/>
        </w:rPr>
      </w:pPr>
      <w:r>
        <w:rPr>
          <w:rFonts w:ascii="Calibri" w:cs="Calibri" w:eastAsia="Calibri" w:hAnsi="Calibri"/>
          <w:sz w:val="18"/>
          <w:szCs w:val="18"/>
          <w:color w:val="auto"/>
        </w:rPr>
        <w:t>Furthermore, there may be times when we have not hedged our production when, in retrospect, it would have been advisable to do so. Decisions as to whether, at what price and what production volumes to hedge are difficult and depend on market conditions and our forecast of future production and oil, natural gas and NGL prices, and we may not always employ the optimal hedging strategy. We may employ hedging strategies in the future that differ from those that we have used in the past, and neither the continued application of our current strategies nor our use of different hedging strategies may be successful. See Note 12 to the consolidated financial statements in this Annual Report for a summary of our open derivative financial instruments at December 31, 2025.</w:t>
      </w:r>
    </w:p>
    <w:p>
      <w:pPr>
        <w:spacing w:after="0" w:line="220" w:lineRule="exact"/>
        <w:rPr>
          <w:sz w:val="20"/>
          <w:szCs w:val="20"/>
          <w:color w:val="auto"/>
        </w:rPr>
      </w:pPr>
    </w:p>
    <w:p>
      <w:pPr>
        <w:ind w:right="880"/>
        <w:spacing w:after="0" w:line="252" w:lineRule="auto"/>
        <w:rPr>
          <w:sz w:val="20"/>
          <w:szCs w:val="20"/>
          <w:color w:val="auto"/>
        </w:rPr>
      </w:pPr>
      <w:r>
        <w:rPr>
          <w:rFonts w:ascii="Calibri" w:cs="Calibri" w:eastAsia="Calibri" w:hAnsi="Calibri"/>
          <w:sz w:val="18"/>
          <w:szCs w:val="18"/>
          <w:i w:val="1"/>
          <w:iCs w:val="1"/>
          <w:color w:val="214E93"/>
        </w:rPr>
        <w:t>A change in the differential between the NYMEX or other benchmark prices of oil and natural gas and the wellhead price we receive for our production could adversely affect our business, financial condition, results of operations and cash flows.</w:t>
      </w:r>
    </w:p>
    <w:p>
      <w:pPr>
        <w:spacing w:after="0" w:line="230" w:lineRule="exact"/>
        <w:rPr>
          <w:sz w:val="20"/>
          <w:szCs w:val="20"/>
          <w:color w:val="auto"/>
        </w:rPr>
      </w:pPr>
    </w:p>
    <w:p>
      <w:pPr>
        <w:ind w:right="720" w:firstLine="241"/>
        <w:spacing w:after="0" w:line="264" w:lineRule="auto"/>
        <w:rPr>
          <w:sz w:val="20"/>
          <w:szCs w:val="20"/>
          <w:color w:val="auto"/>
        </w:rPr>
      </w:pPr>
      <w:r>
        <w:rPr>
          <w:rFonts w:ascii="Calibri" w:cs="Calibri" w:eastAsia="Calibri" w:hAnsi="Calibri"/>
          <w:sz w:val="18"/>
          <w:szCs w:val="18"/>
          <w:color w:val="auto"/>
        </w:rPr>
        <w:t>The prices we receive for our oil and natural gas production often reflect a discount to the relevant benchmark prices, such as the WTI oil price or the NYMEX Henry Hub natural gas price. The difference between the benchmark price and the price we receive is called a differential. Increases in the differential between the benchmark price for oil and natural gas and the wellhead price we receive could adversely affect our business, financial condition, results of operations and cash flows.</w:t>
      </w:r>
    </w:p>
    <w:p>
      <w:pPr>
        <w:spacing w:after="0" w:line="221" w:lineRule="exact"/>
        <w:rPr>
          <w:sz w:val="20"/>
          <w:szCs w:val="20"/>
          <w:color w:val="auto"/>
        </w:rPr>
      </w:pPr>
    </w:p>
    <w:p>
      <w:pPr>
        <w:ind w:right="720" w:firstLine="241"/>
        <w:spacing w:after="0" w:line="267" w:lineRule="auto"/>
        <w:rPr>
          <w:sz w:val="20"/>
          <w:szCs w:val="20"/>
          <w:color w:val="auto"/>
        </w:rPr>
      </w:pPr>
      <w:r>
        <w:rPr>
          <w:rFonts w:ascii="Calibri" w:cs="Calibri" w:eastAsia="Calibri" w:hAnsi="Calibri"/>
          <w:sz w:val="18"/>
          <w:szCs w:val="18"/>
          <w:color w:val="auto"/>
        </w:rPr>
        <w:t>Over the past several years, these oil and natural gas basis differentials were volatile and widened at various times. See “Management’s Discussion and Analysis of Financial Condition and Results of Operations—General Outlook and Trends” for additional information regarding the differentials. These wider oil and natural gas basis differentials were largely attributable to industry concerns regarding the near-term sufficiency of pipeline takeaway capacity for oil, natural gas and NGL production in the Delaware Basin. If we do experience any interruptions with takeaway capacity or NGL fractionation, our oil and natural gas revenues, business, financial condition, results of operations and cash flows could be adversely affected.</w:t>
      </w:r>
    </w:p>
    <w:p>
      <w:pPr>
        <w:spacing w:after="0" w:line="217" w:lineRule="exact"/>
        <w:rPr>
          <w:sz w:val="20"/>
          <w:szCs w:val="20"/>
          <w:color w:val="auto"/>
        </w:rPr>
      </w:pPr>
    </w:p>
    <w:p>
      <w:pPr>
        <w:ind w:right="720" w:firstLine="241"/>
        <w:spacing w:after="0" w:line="266" w:lineRule="auto"/>
        <w:rPr>
          <w:sz w:val="20"/>
          <w:szCs w:val="20"/>
          <w:color w:val="auto"/>
        </w:rPr>
      </w:pPr>
      <w:r>
        <w:rPr>
          <w:rFonts w:ascii="Calibri" w:cs="Calibri" w:eastAsia="Calibri" w:hAnsi="Calibri"/>
          <w:sz w:val="18"/>
          <w:szCs w:val="18"/>
          <w:color w:val="auto"/>
        </w:rPr>
        <w:t>Although the completion of additional oil and natural gas pipeline capacity from West Texas to the Texas Gulf Coast and other end markets improved these price differentials in the latter part of 2024 and early in 2025, these price differentials for natural gas remain wide and could widen further in future periods. Should we experience future periods of negative pricing for natural gas as we have experienced historically, including in 2024 and 2025, we may again temporarily shut in certain high gas-oil ratio wells and take other actions to mitigate the impact on our realized natural gas prices and results.</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92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1160" w:top="498" w:right="440" w:bottom="0" w:gutter="0" w:footer="0" w:header="0"/>
          <w:type w:val="continuous"/>
        </w:sectPr>
      </w:pPr>
    </w:p>
    <w:bookmarkStart w:id="61" w:name="page62"/>
    <w:bookmarkEnd w:id="61"/>
    <w:p>
      <w:pPr>
        <w:spacing w:after="0"/>
        <w:tabs>
          <w:tab w:leader="none" w:pos="740" w:val="left"/>
        </w:tabs>
        <w:rPr>
          <w:sz w:val="20"/>
          <w:szCs w:val="20"/>
          <w:color w:val="auto"/>
        </w:rPr>
      </w:pPr>
      <w:r>
        <w:rPr>
          <w:rFonts w:ascii="Calibri" w:cs="Calibri" w:eastAsia="Calibri" w:hAnsi="Calibri"/>
          <w:sz w:val="18"/>
          <w:szCs w:val="18"/>
          <w:color w:val="auto"/>
        </w:rPr>
        <w:t>48</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20" w:right="480"/>
        <w:spacing w:after="0" w:line="252" w:lineRule="auto"/>
        <w:rPr>
          <w:sz w:val="20"/>
          <w:szCs w:val="20"/>
          <w:color w:val="auto"/>
        </w:rPr>
      </w:pPr>
      <w:r>
        <w:rPr>
          <w:rFonts w:ascii="Calibri" w:cs="Calibri" w:eastAsia="Calibri" w:hAnsi="Calibri"/>
          <w:sz w:val="18"/>
          <w:szCs w:val="18"/>
          <w:i w:val="1"/>
          <w:iCs w:val="1"/>
          <w:color w:val="214E93"/>
        </w:rPr>
        <w:t>A component of our growth has come, and may continue to come, through acquisitions, and our failure to identify, complete or integrate future acquisitions successfully could reduce our earnings and hamper our growth.</w:t>
      </w:r>
    </w:p>
    <w:p>
      <w:pPr>
        <w:spacing w:after="0" w:line="230" w:lineRule="exact"/>
        <w:rPr>
          <w:sz w:val="20"/>
          <w:szCs w:val="20"/>
          <w:color w:val="auto"/>
        </w:rPr>
      </w:pPr>
    </w:p>
    <w:p>
      <w:pPr>
        <w:ind w:left="720" w:right="80" w:firstLine="241"/>
        <w:spacing w:after="0" w:line="267" w:lineRule="auto"/>
        <w:rPr>
          <w:sz w:val="20"/>
          <w:szCs w:val="20"/>
          <w:color w:val="auto"/>
        </w:rPr>
      </w:pPr>
      <w:r>
        <w:rPr>
          <w:rFonts w:ascii="Calibri" w:cs="Calibri" w:eastAsia="Calibri" w:hAnsi="Calibri"/>
          <w:sz w:val="18"/>
          <w:szCs w:val="18"/>
          <w:color w:val="auto"/>
        </w:rPr>
        <w:t>We may be unable to identify properties for acquisition or to make acquisitions on terms that we consider economically acceptable. There is intense competition for acquisition opportunities in our industry. Competition for acquisitions may increase the cost of, or cause us to refrain from, completing acquisitions. The pursuit and completion of acquisitions may be dependent upon, among other things, our ability to obtain debt and equity financing and, in some cases, regulatory approvals. Our ability to grow through acquisitions will require us to continue to invest in operations and financial and management information systems and to attract, retain, motivate and effectively manage our employees. In addition, if we are not successful in identifying and acquiring properties, our earnings could be reduced and our growth could be restricted.</w:t>
      </w:r>
    </w:p>
    <w:p>
      <w:pPr>
        <w:spacing w:after="0" w:line="220" w:lineRule="exact"/>
        <w:rPr>
          <w:sz w:val="20"/>
          <w:szCs w:val="20"/>
          <w:color w:val="auto"/>
        </w:rPr>
      </w:pPr>
    </w:p>
    <w:p>
      <w:pPr>
        <w:ind w:left="720" w:right="80" w:firstLine="241"/>
        <w:spacing w:after="0" w:line="268" w:lineRule="auto"/>
        <w:rPr>
          <w:sz w:val="20"/>
          <w:szCs w:val="20"/>
          <w:color w:val="auto"/>
        </w:rPr>
      </w:pPr>
      <w:r>
        <w:rPr>
          <w:rFonts w:ascii="Calibri" w:cs="Calibri" w:eastAsia="Calibri" w:hAnsi="Calibri"/>
          <w:sz w:val="18"/>
          <w:szCs w:val="18"/>
          <w:color w:val="auto"/>
        </w:rPr>
        <w:t>In addition, the success of our acquisitions will depend, in part, on our ability to realize the anticipated benefits and cost savings from integrating the acquired assets and operations into our business, and there can be no assurance that we will be able to successfully integrate or otherwise realize the anticipated benefits of our acquisitions. The inability to manage the integration of acquisitions effectively could reduce our focus on subsequent acquisitions and current operations and could negatively impact our results of operations and growth potential. Members of our management team may be required to devote considerable amounts of time to the integration process, which will decrease the time they will have to manage our business. Difficulties in integrating our acquisitions into our company may result in us performing differently than expected, in operational challenges or in the delay or failure to realize anticipated expense-related efficiencies, and could have a material adverse effect on our business, financial condition, results of operations and cash flows. Potential difficulties that may be encountered in the integration process include, among others:</w:t>
      </w:r>
    </w:p>
    <w:p>
      <w:pPr>
        <w:spacing w:after="0" w:line="222" w:lineRule="exact"/>
        <w:rPr>
          <w:sz w:val="20"/>
          <w:szCs w:val="20"/>
          <w:color w:val="auto"/>
        </w:rPr>
      </w:pPr>
    </w:p>
    <w:p>
      <w:pPr>
        <w:ind w:left="1420" w:right="640" w:hanging="349"/>
        <w:spacing w:after="0" w:line="252" w:lineRule="auto"/>
        <w:tabs>
          <w:tab w:leader="none" w:pos="1420" w:val="left"/>
        </w:tabs>
        <w:numPr>
          <w:ilvl w:val="0"/>
          <w:numId w:val="49"/>
        </w:numPr>
        <w:rPr>
          <w:rFonts w:ascii="Calibri" w:cs="Calibri" w:eastAsia="Calibri" w:hAnsi="Calibri"/>
          <w:sz w:val="18"/>
          <w:szCs w:val="18"/>
          <w:color w:val="auto"/>
        </w:rPr>
      </w:pPr>
      <w:r>
        <w:rPr>
          <w:rFonts w:ascii="Calibri" w:cs="Calibri" w:eastAsia="Calibri" w:hAnsi="Calibri"/>
          <w:sz w:val="18"/>
          <w:szCs w:val="18"/>
          <w:color w:val="auto"/>
        </w:rPr>
        <w:t>the inability to successfully integrate our acquisitions operationally, in a manner that permits us to achieve the full revenue, expected cash flows and cost savings anticipated from such acquisitions;</w:t>
      </w:r>
    </w:p>
    <w:p>
      <w:pPr>
        <w:spacing w:after="0" w:line="213" w:lineRule="exact"/>
        <w:rPr>
          <w:rFonts w:ascii="Calibri" w:cs="Calibri" w:eastAsia="Calibri" w:hAnsi="Calibri"/>
          <w:sz w:val="18"/>
          <w:szCs w:val="18"/>
          <w:color w:val="auto"/>
        </w:rPr>
      </w:pPr>
    </w:p>
    <w:p>
      <w:pPr>
        <w:ind w:left="1420" w:hanging="349"/>
        <w:spacing w:after="0"/>
        <w:tabs>
          <w:tab w:leader="none" w:pos="1420" w:val="left"/>
        </w:tabs>
        <w:numPr>
          <w:ilvl w:val="0"/>
          <w:numId w:val="49"/>
        </w:numPr>
        <w:rPr>
          <w:rFonts w:ascii="Calibri" w:cs="Calibri" w:eastAsia="Calibri" w:hAnsi="Calibri"/>
          <w:sz w:val="18"/>
          <w:szCs w:val="18"/>
          <w:color w:val="auto"/>
        </w:rPr>
      </w:pPr>
      <w:r>
        <w:rPr>
          <w:rFonts w:ascii="Calibri" w:cs="Calibri" w:eastAsia="Calibri" w:hAnsi="Calibri"/>
          <w:sz w:val="18"/>
          <w:szCs w:val="18"/>
          <w:color w:val="auto"/>
        </w:rPr>
        <w:t>not realizing anticipated operating synergies; and</w:t>
      </w:r>
    </w:p>
    <w:p>
      <w:pPr>
        <w:spacing w:after="0" w:line="240" w:lineRule="exact"/>
        <w:rPr>
          <w:rFonts w:ascii="Calibri" w:cs="Calibri" w:eastAsia="Calibri" w:hAnsi="Calibri"/>
          <w:sz w:val="18"/>
          <w:szCs w:val="18"/>
          <w:color w:val="auto"/>
        </w:rPr>
      </w:pPr>
    </w:p>
    <w:p>
      <w:pPr>
        <w:ind w:left="1420" w:right="220" w:hanging="349"/>
        <w:spacing w:after="0" w:line="252" w:lineRule="auto"/>
        <w:tabs>
          <w:tab w:leader="none" w:pos="1420" w:val="left"/>
        </w:tabs>
        <w:numPr>
          <w:ilvl w:val="0"/>
          <w:numId w:val="49"/>
        </w:numPr>
        <w:rPr>
          <w:rFonts w:ascii="Calibri" w:cs="Calibri" w:eastAsia="Calibri" w:hAnsi="Calibri"/>
          <w:sz w:val="18"/>
          <w:szCs w:val="18"/>
          <w:color w:val="auto"/>
        </w:rPr>
      </w:pPr>
      <w:r>
        <w:rPr>
          <w:rFonts w:ascii="Calibri" w:cs="Calibri" w:eastAsia="Calibri" w:hAnsi="Calibri"/>
          <w:sz w:val="18"/>
          <w:szCs w:val="18"/>
          <w:color w:val="auto"/>
        </w:rPr>
        <w:t>potential environmental issues, unknown liabilities and unforeseen expenses, delays or regulatory conditions associated with such acquisitions.</w:t>
      </w:r>
    </w:p>
    <w:p>
      <w:pPr>
        <w:spacing w:after="0" w:line="230" w:lineRule="exact"/>
        <w:rPr>
          <w:sz w:val="20"/>
          <w:szCs w:val="20"/>
          <w:color w:val="auto"/>
        </w:rPr>
      </w:pPr>
    </w:p>
    <w:p>
      <w:pPr>
        <w:ind w:left="720" w:firstLine="241"/>
        <w:spacing w:after="0" w:line="264" w:lineRule="auto"/>
        <w:rPr>
          <w:sz w:val="20"/>
          <w:szCs w:val="20"/>
          <w:color w:val="auto"/>
        </w:rPr>
      </w:pPr>
      <w:r>
        <w:rPr>
          <w:rFonts w:ascii="Calibri" w:cs="Calibri" w:eastAsia="Calibri" w:hAnsi="Calibri"/>
          <w:sz w:val="18"/>
          <w:szCs w:val="18"/>
          <w:color w:val="auto"/>
        </w:rPr>
        <w:t>Furthermore, our decision to acquire properties that are substantially different in operating or geologic characteristics or geographic locations from areas with which our staff is familiar may impact our productivity in such areas and may require additional investments in personnel and infrastructure. Our financial condition, results of operations and cash flows may fluctuate significantly from period to period as a result of the completion of significant acquisitions during particular periods.</w:t>
      </w:r>
    </w:p>
    <w:p>
      <w:pPr>
        <w:spacing w:after="0" w:line="221" w:lineRule="exact"/>
        <w:rPr>
          <w:sz w:val="20"/>
          <w:szCs w:val="20"/>
          <w:color w:val="auto"/>
        </w:rPr>
      </w:pPr>
    </w:p>
    <w:p>
      <w:pPr>
        <w:ind w:left="720" w:firstLine="241"/>
        <w:spacing w:after="0" w:line="267" w:lineRule="auto"/>
        <w:rPr>
          <w:sz w:val="20"/>
          <w:szCs w:val="20"/>
          <w:color w:val="auto"/>
        </w:rPr>
      </w:pPr>
      <w:r>
        <w:rPr>
          <w:rFonts w:ascii="Calibri" w:cs="Calibri" w:eastAsia="Calibri" w:hAnsi="Calibri"/>
          <w:sz w:val="18"/>
          <w:szCs w:val="18"/>
          <w:color w:val="auto"/>
        </w:rPr>
        <w:t>We may engage in bidding and negotiation to complete successful acquisitions. We may be required to alter or increase substantially our capitalization to finance these acquisitions through the use of cash on hand, the borrowing of funds, the issuance of debt or equity securities, the sale of production payments, the sale or joint venture of midstream assets or oil and natural gas producing assets or acreage or otherwise. Our Credit Agreement, the San Mateo Credit Facility and the indentures governing our outstanding senior notes include covenants limiting our ability to incur additional debt. If we were to proceed with one or more acquisitions involving the issuance of our common stock, our shareholders would suffer dilution of their interests.</w:t>
      </w:r>
    </w:p>
    <w:p>
      <w:pPr>
        <w:spacing w:after="0" w:line="217" w:lineRule="exact"/>
        <w:rPr>
          <w:sz w:val="20"/>
          <w:szCs w:val="20"/>
          <w:color w:val="auto"/>
        </w:rPr>
      </w:pPr>
    </w:p>
    <w:p>
      <w:pPr>
        <w:ind w:left="720" w:right="240"/>
        <w:spacing w:after="0" w:line="281" w:lineRule="auto"/>
        <w:rPr>
          <w:sz w:val="20"/>
          <w:szCs w:val="20"/>
          <w:color w:val="auto"/>
        </w:rPr>
      </w:pPr>
      <w:r>
        <w:rPr>
          <w:rFonts w:ascii="Calibri" w:cs="Calibri" w:eastAsia="Calibri" w:hAnsi="Calibri"/>
          <w:sz w:val="17"/>
          <w:szCs w:val="17"/>
          <w:i w:val="1"/>
          <w:iCs w:val="1"/>
          <w:color w:val="214E93"/>
        </w:rPr>
        <w:t>We may purchase oil and natural gas properties or midstream assets with liabilities or risks that we did not know about or that we did not assess correctly, and, as a result, we could be subject to liabilities that could adversely affect our results of operations.</w:t>
      </w:r>
    </w:p>
    <w:p>
      <w:pPr>
        <w:spacing w:after="0" w:line="206" w:lineRule="exact"/>
        <w:rPr>
          <w:sz w:val="20"/>
          <w:szCs w:val="20"/>
          <w:color w:val="auto"/>
        </w:rPr>
      </w:pPr>
    </w:p>
    <w:p>
      <w:pPr>
        <w:ind w:left="720" w:right="80" w:firstLine="241"/>
        <w:spacing w:after="0" w:line="286" w:lineRule="auto"/>
        <w:rPr>
          <w:sz w:val="20"/>
          <w:szCs w:val="20"/>
          <w:color w:val="auto"/>
        </w:rPr>
      </w:pPr>
      <w:r>
        <w:rPr>
          <w:rFonts w:ascii="Calibri" w:cs="Calibri" w:eastAsia="Calibri" w:hAnsi="Calibri"/>
          <w:sz w:val="17"/>
          <w:szCs w:val="17"/>
          <w:color w:val="auto"/>
        </w:rPr>
        <w:t>Before acquiring oil and natural gas properties or midstream assets, we assess the potential reserves, future oil and natural gas prices, operating costs, potential environmental liabilities, condition of the assets, customer contracts and other factors relating to the properties or assets, as applicable. However, our review process is complex and involves many assumptions and estimates, and their accuracy is inherently uncertain. As a result, we may not discover all existing or potential problems associated with the properties or assets we buy. We may not become sufficiently familiar with the properties or assets to assess fully their deficiencies and capabilities. We may not perform inspections on every well, property or asset, and we may not be able to observe mechanical and environmental problems even when we conduct an inspection. Even when problems with a property or asset are identified, the seller may not be willing or financially able to give us contractual protection against any identified problems, and we may decide to assume environmental and other risks and liabilities in connection with properties or assets we acquire. If we acquire properties or</w:t>
      </w:r>
    </w:p>
    <w:p>
      <w:pPr>
        <w:sectPr>
          <w:pgSz w:w="11880" w:h="15480" w:orient="portrait"/>
          <w:cols w:equalWidth="0" w:num="1">
            <w:col w:w="10280"/>
          </w:cols>
          <w:pgMar w:left="44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440" w:top="498" w:right="1160" w:bottom="0" w:gutter="0" w:footer="0" w:header="0"/>
          <w:type w:val="continuous"/>
        </w:sectPr>
      </w:pPr>
    </w:p>
    <w:bookmarkStart w:id="62" w:name="page63"/>
    <w:bookmarkEnd w:id="62"/>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49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780"/>
        <w:spacing w:after="0" w:line="252" w:lineRule="auto"/>
        <w:rPr>
          <w:sz w:val="20"/>
          <w:szCs w:val="20"/>
          <w:color w:val="auto"/>
        </w:rPr>
      </w:pPr>
      <w:r>
        <w:rPr>
          <w:rFonts w:ascii="Calibri" w:cs="Calibri" w:eastAsia="Calibri" w:hAnsi="Calibri"/>
          <w:sz w:val="18"/>
          <w:szCs w:val="18"/>
          <w:color w:val="auto"/>
        </w:rPr>
        <w:t>assets with risks or liabilities we did not know about or that we did not assess correctly, our financial condition, results of operations and cash flows could be adversely affected as we settle claims and incur cleanup costs related to these liabilities.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214E93"/>
        </w:rPr>
        <w:t>We may incur losses or costs as a result of title deficiencies in the properties in which we invest.</w:t>
      </w:r>
    </w:p>
    <w:p>
      <w:pPr>
        <w:spacing w:after="0" w:line="241" w:lineRule="exact"/>
        <w:rPr>
          <w:sz w:val="20"/>
          <w:szCs w:val="20"/>
          <w:color w:val="auto"/>
        </w:rPr>
      </w:pPr>
    </w:p>
    <w:p>
      <w:pPr>
        <w:ind w:right="720" w:firstLine="241"/>
        <w:spacing w:after="0" w:line="266" w:lineRule="auto"/>
        <w:rPr>
          <w:sz w:val="20"/>
          <w:szCs w:val="20"/>
          <w:color w:val="auto"/>
        </w:rPr>
      </w:pPr>
      <w:r>
        <w:rPr>
          <w:rFonts w:ascii="Calibri" w:cs="Calibri" w:eastAsia="Calibri" w:hAnsi="Calibri"/>
          <w:sz w:val="18"/>
          <w:szCs w:val="18"/>
          <w:color w:val="auto"/>
        </w:rPr>
        <w:t>If an examination of the title history of a property that we have purchased reveals oil and natural gas leases or mineral interests were purchased in error from a person who is not the owner of such interests or if the property has other title deficiencies, our interest would likely be worth less than what we paid or may be worthless. In such an instance, all or part of the amount paid for such oil and natural gas lease or mineral interest, as well as all or part of any royalties paid pursuant to the terms of the lease prior to the discovery of the title defect, would be lost.</w:t>
      </w:r>
    </w:p>
    <w:p>
      <w:pPr>
        <w:spacing w:after="0" w:line="218" w:lineRule="exact"/>
        <w:rPr>
          <w:sz w:val="20"/>
          <w:szCs w:val="20"/>
          <w:color w:val="auto"/>
        </w:rPr>
      </w:pPr>
    </w:p>
    <w:p>
      <w:pPr>
        <w:ind w:right="740" w:firstLine="241"/>
        <w:spacing w:after="0" w:line="264" w:lineRule="auto"/>
        <w:rPr>
          <w:sz w:val="20"/>
          <w:szCs w:val="20"/>
          <w:color w:val="auto"/>
        </w:rPr>
      </w:pPr>
      <w:r>
        <w:rPr>
          <w:rFonts w:ascii="Calibri" w:cs="Calibri" w:eastAsia="Calibri" w:hAnsi="Calibri"/>
          <w:sz w:val="18"/>
          <w:szCs w:val="18"/>
          <w:color w:val="auto"/>
        </w:rPr>
        <w:t>It is not our practice in all acquisitions of oil and natural gas leases or mineral interests, or undivided interests in such interests, to undergo the expense of retaining lawyers to examine the title to the interest. Rather, in certain acquisitions we rely upon the judgment of oil and natural gas brokers and landmen who perform the field work by examining records in the appropriate governmental office before attempting to acquire a lease or mineral interest.</w:t>
      </w:r>
    </w:p>
    <w:p>
      <w:pPr>
        <w:spacing w:after="0" w:line="221" w:lineRule="exact"/>
        <w:rPr>
          <w:sz w:val="20"/>
          <w:szCs w:val="20"/>
          <w:color w:val="auto"/>
        </w:rPr>
      </w:pPr>
    </w:p>
    <w:p>
      <w:pPr>
        <w:ind w:right="720" w:firstLine="241"/>
        <w:spacing w:after="0" w:line="286" w:lineRule="auto"/>
        <w:rPr>
          <w:sz w:val="20"/>
          <w:szCs w:val="20"/>
          <w:color w:val="auto"/>
        </w:rPr>
      </w:pPr>
      <w:r>
        <w:rPr>
          <w:rFonts w:ascii="Calibri" w:cs="Calibri" w:eastAsia="Calibri" w:hAnsi="Calibri"/>
          <w:sz w:val="17"/>
          <w:szCs w:val="17"/>
          <w:color w:val="auto"/>
        </w:rPr>
        <w:t>Prior to the drilling of an oil and natural gas well, however, it is standard industry practice for the operator of the well to obtain a preliminary title review of the spacing unit within which the proposed well is to be drilled to ensure there are no obvious deficiencies in title to the well. Frequently, as a result of such examinations, certain curative work must be done to correct deficiencies in the marketability of the title, and such title review and curative work entails expense, which may be significant and difficult to accurately predict. A failure to cure any title defects may delay or prevent us from utilizing the associated leasehold right or mineral interest, which may adversely impact our ability to increase production and reserves. In the future, we may suffer a monetary loss from title defects or title failure. Additionally, unproved and unevaluated acreage has greater risk of title defects than developed acreage. If there are any title defects or defects in assignment of leasehold rights or mineral interests in properties in which we hold an interest, we will suffer a financial loss that could adversely affect our financial condition, results of operations and cash flows.</w:t>
      </w:r>
    </w:p>
    <w:p>
      <w:pPr>
        <w:spacing w:after="0" w:line="202" w:lineRule="exact"/>
        <w:rPr>
          <w:sz w:val="20"/>
          <w:szCs w:val="20"/>
          <w:color w:val="auto"/>
        </w:rPr>
      </w:pPr>
    </w:p>
    <w:p>
      <w:pPr>
        <w:ind w:right="760"/>
        <w:spacing w:after="0" w:line="252" w:lineRule="auto"/>
        <w:rPr>
          <w:sz w:val="20"/>
          <w:szCs w:val="20"/>
          <w:color w:val="auto"/>
        </w:rPr>
      </w:pPr>
      <w:r>
        <w:rPr>
          <w:rFonts w:ascii="Calibri" w:cs="Calibri" w:eastAsia="Calibri" w:hAnsi="Calibri"/>
          <w:sz w:val="18"/>
          <w:szCs w:val="18"/>
          <w:i w:val="1"/>
          <w:iCs w:val="1"/>
          <w:color w:val="214E93"/>
        </w:rPr>
        <w:t>Our ability to complete dispositions of assets, or interests in assets, may be subject to factors beyond our control, and in certain cases we may be required to retain liabilities for certain matters.</w:t>
      </w:r>
    </w:p>
    <w:p>
      <w:pPr>
        <w:spacing w:after="0" w:line="230" w:lineRule="exact"/>
        <w:rPr>
          <w:sz w:val="20"/>
          <w:szCs w:val="20"/>
          <w:color w:val="auto"/>
        </w:rPr>
      </w:pPr>
    </w:p>
    <w:p>
      <w:pPr>
        <w:ind w:right="720" w:firstLine="241"/>
        <w:spacing w:after="0" w:line="267" w:lineRule="auto"/>
        <w:rPr>
          <w:sz w:val="20"/>
          <w:szCs w:val="20"/>
          <w:color w:val="auto"/>
        </w:rPr>
      </w:pPr>
      <w:r>
        <w:rPr>
          <w:rFonts w:ascii="Calibri" w:cs="Calibri" w:eastAsia="Calibri" w:hAnsi="Calibri"/>
          <w:sz w:val="18"/>
          <w:szCs w:val="18"/>
          <w:color w:val="auto"/>
        </w:rPr>
        <w:t>From time to time, we may sell a portion of an interest in a strategic asset for the purpose of assisting or accelerating the asset’s development. In addition, we regularly review our property base for the purpose of identifying nonstrategic assets, the disposition of which would increase capital resources available for other activities and create organizational and operational efficiencies. Various factors could materially affect our ability to dispose of such interests or nonstrategic assets or complete announced dispositions, including the receipt of approvals of governmental agencies or third parties and the identification of purchasers willing to acquire the interests or purchase the nonstrategic assets on terms and at prices acceptable to us.</w:t>
      </w:r>
    </w:p>
    <w:p>
      <w:pPr>
        <w:spacing w:after="0" w:line="217" w:lineRule="exact"/>
        <w:rPr>
          <w:sz w:val="20"/>
          <w:szCs w:val="20"/>
          <w:color w:val="auto"/>
        </w:rPr>
      </w:pPr>
    </w:p>
    <w:p>
      <w:pPr>
        <w:ind w:right="820" w:firstLine="241"/>
        <w:spacing w:after="0" w:line="267" w:lineRule="auto"/>
        <w:rPr>
          <w:sz w:val="20"/>
          <w:szCs w:val="20"/>
          <w:color w:val="auto"/>
        </w:rPr>
      </w:pPr>
      <w:r>
        <w:rPr>
          <w:rFonts w:ascii="Calibri" w:cs="Calibri" w:eastAsia="Calibri" w:hAnsi="Calibri"/>
          <w:sz w:val="18"/>
          <w:szCs w:val="18"/>
          <w:color w:val="auto"/>
        </w:rPr>
        <w:t>Sellers typically retain certain liabilities or indemnify buyers for certain pre-closing matters, such as matters of litigation, environmental contingencies, royalty obligations and income taxes. The magnitude of any such retained liability or indemnification obligation may be difficult to quantify at the time of the transaction and ultimately may be material. Also, as is typical in divestiture transactions, third parties may be unwilling to release us from guarantees or other credit support provided prior to the sale of the divested assets. As a result, after a divestiture, we may remain secondarily liable for the obligations guaranteed or supported to the extent that the buyer of the assets fails to perform these obligations.</w:t>
      </w:r>
    </w:p>
    <w:p>
      <w:pPr>
        <w:spacing w:after="0" w:line="215" w:lineRule="exact"/>
        <w:rPr>
          <w:sz w:val="20"/>
          <w:szCs w:val="20"/>
          <w:color w:val="auto"/>
        </w:rPr>
      </w:pPr>
    </w:p>
    <w:p>
      <w:pPr>
        <w:spacing w:after="0"/>
        <w:rPr>
          <w:sz w:val="20"/>
          <w:szCs w:val="20"/>
          <w:color w:val="auto"/>
        </w:rPr>
      </w:pPr>
      <w:r>
        <w:rPr>
          <w:rFonts w:ascii="Verdana" w:cs="Verdana" w:eastAsia="Verdana" w:hAnsi="Verdana"/>
          <w:sz w:val="20"/>
          <w:szCs w:val="20"/>
          <w:color w:val="214E93"/>
        </w:rPr>
        <w:t>RISKS RELATED TO OUR LIQUIDITY</w:t>
      </w:r>
    </w:p>
    <w:p>
      <w:pPr>
        <w:spacing w:after="0" w:line="209" w:lineRule="exact"/>
        <w:rPr>
          <w:sz w:val="20"/>
          <w:szCs w:val="20"/>
          <w:color w:val="auto"/>
        </w:rPr>
      </w:pPr>
    </w:p>
    <w:p>
      <w:pPr>
        <w:ind w:right="720"/>
        <w:spacing w:after="0" w:line="261" w:lineRule="auto"/>
        <w:rPr>
          <w:sz w:val="20"/>
          <w:szCs w:val="20"/>
          <w:color w:val="auto"/>
        </w:rPr>
      </w:pPr>
      <w:r>
        <w:rPr>
          <w:rFonts w:ascii="Calibri" w:cs="Calibri" w:eastAsia="Calibri" w:hAnsi="Calibri"/>
          <w:sz w:val="18"/>
          <w:szCs w:val="18"/>
          <w:i w:val="1"/>
          <w:iCs w:val="1"/>
          <w:color w:val="214E93"/>
        </w:rPr>
        <w:t>We may not be able to generate sufficient cash to fund our capital expenditures, service all of our indebtedness and pay dividends to our shareholders, and we may be forced to take other actions to satisfy our obligations under applicable debt instruments, which may not be successful.</w:t>
      </w:r>
    </w:p>
    <w:p>
      <w:pPr>
        <w:spacing w:after="0" w:line="223" w:lineRule="exact"/>
        <w:rPr>
          <w:sz w:val="20"/>
          <w:szCs w:val="20"/>
          <w:color w:val="auto"/>
        </w:rPr>
      </w:pPr>
    </w:p>
    <w:p>
      <w:pPr>
        <w:ind w:right="820" w:firstLine="241"/>
        <w:spacing w:after="0" w:line="264" w:lineRule="auto"/>
        <w:rPr>
          <w:sz w:val="20"/>
          <w:szCs w:val="20"/>
          <w:color w:val="auto"/>
        </w:rPr>
      </w:pPr>
      <w:r>
        <w:rPr>
          <w:rFonts w:ascii="Calibri" w:cs="Calibri" w:eastAsia="Calibri" w:hAnsi="Calibri"/>
          <w:sz w:val="18"/>
          <w:szCs w:val="18"/>
          <w:color w:val="auto"/>
        </w:rPr>
        <w:t>Our ability to make scheduled payments on or to refinance our indebtedness obligations depends on our financial condition and operating performance, which are subject to prevailing economic and competitive conditions and certain financial, business and other factors beyond our control. We may not be able to maintain a level of cash flows from operating activities sufficient to permit us to pay the principal, premium, if any, and interest on our indebtedness.</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892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1160" w:top="498" w:right="440" w:bottom="0" w:gutter="0" w:footer="0" w:header="0"/>
          <w:type w:val="continuous"/>
        </w:sectPr>
      </w:pPr>
    </w:p>
    <w:bookmarkStart w:id="63" w:name="page64"/>
    <w:bookmarkEnd w:id="63"/>
    <w:p>
      <w:pPr>
        <w:spacing w:after="0"/>
        <w:tabs>
          <w:tab w:leader="none" w:pos="740" w:val="left"/>
        </w:tabs>
        <w:rPr>
          <w:sz w:val="20"/>
          <w:szCs w:val="20"/>
          <w:color w:val="auto"/>
        </w:rPr>
      </w:pPr>
      <w:r>
        <w:rPr>
          <w:rFonts w:ascii="Calibri" w:cs="Calibri" w:eastAsia="Calibri" w:hAnsi="Calibri"/>
          <w:sz w:val="18"/>
          <w:szCs w:val="18"/>
          <w:color w:val="auto"/>
        </w:rPr>
        <w:t>50</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20" w:firstLine="241"/>
        <w:spacing w:after="0" w:line="269" w:lineRule="auto"/>
        <w:rPr>
          <w:sz w:val="20"/>
          <w:szCs w:val="20"/>
          <w:color w:val="auto"/>
        </w:rPr>
      </w:pPr>
      <w:r>
        <w:rPr>
          <w:rFonts w:ascii="Calibri" w:cs="Calibri" w:eastAsia="Calibri" w:hAnsi="Calibri"/>
          <w:sz w:val="18"/>
          <w:szCs w:val="18"/>
          <w:color w:val="auto"/>
        </w:rPr>
        <w:t>If our cash flows and capital resources are insufficient to fund debt service obligations, we may be forced to reduce or delay investments and capital expenditures, sell assets, cease the payment of any dividends to our shareholders, seek additional capital or restructure or refinance indebtedness. Our ability to restructure or refinance indebtedness will depend on the condition of the capital markets, the syndicated bank market and our financial condition at such time. Any refinancing of indebtedness could be at higher interest rates and may require us to comply with more onerous covenants, which could further restrict business operations. The terms of existing or future debt instruments may restrict us from adopting some of these alternatives. In addition, any failure to make payments of interest and principal on outstanding indebtedness on a timely basis would likely result in a reduction of our credit rating, which could harm our ability to incur additional indebtedness. In the absence of sufficient cash flows and capital resources, we could face substantial liquidity problems and might be required to dispose of material assets or operations to meet debt service and other obligations. Our Credit Agreement, the San Mateo Credit Facility and the indentures governing our outstanding senior notes currently restrict our ability to dispose of assets and our use of the proceeds from such disposition. We may not be able to consummate those dispositions, and the proceeds of any such disposition may not be adequate to meet any debt service obligations then due. These alternative measures may not be successful and may not permit us to meet scheduled debt service obligations, which could have a material adverse effect on our financial condition and results of operations.</w:t>
      </w:r>
    </w:p>
    <w:p>
      <w:pPr>
        <w:spacing w:after="0" w:line="220" w:lineRule="exact"/>
        <w:rPr>
          <w:sz w:val="20"/>
          <w:szCs w:val="20"/>
          <w:color w:val="auto"/>
        </w:rPr>
      </w:pPr>
    </w:p>
    <w:p>
      <w:pPr>
        <w:ind w:left="720" w:right="20"/>
        <w:spacing w:after="0" w:line="252" w:lineRule="auto"/>
        <w:rPr>
          <w:sz w:val="20"/>
          <w:szCs w:val="20"/>
          <w:color w:val="auto"/>
        </w:rPr>
      </w:pPr>
      <w:r>
        <w:rPr>
          <w:rFonts w:ascii="Calibri" w:cs="Calibri" w:eastAsia="Calibri" w:hAnsi="Calibri"/>
          <w:sz w:val="18"/>
          <w:szCs w:val="18"/>
          <w:i w:val="1"/>
          <w:iCs w:val="1"/>
          <w:color w:val="214E93"/>
        </w:rPr>
        <w:t>We may incur additional indebtedness, which could reduce our financial flexibility, increase interest expense and adversely impact our operations and our unit costs.</w:t>
      </w:r>
    </w:p>
    <w:p>
      <w:pPr>
        <w:spacing w:after="0" w:line="230" w:lineRule="exact"/>
        <w:rPr>
          <w:sz w:val="20"/>
          <w:szCs w:val="20"/>
          <w:color w:val="auto"/>
        </w:rPr>
      </w:pPr>
    </w:p>
    <w:p>
      <w:pPr>
        <w:ind w:left="720" w:right="20" w:firstLine="241"/>
        <w:spacing w:after="0" w:line="285" w:lineRule="auto"/>
        <w:rPr>
          <w:sz w:val="20"/>
          <w:szCs w:val="20"/>
          <w:color w:val="auto"/>
        </w:rPr>
      </w:pPr>
      <w:r>
        <w:rPr>
          <w:rFonts w:ascii="Calibri" w:cs="Calibri" w:eastAsia="Calibri" w:hAnsi="Calibri"/>
          <w:sz w:val="17"/>
          <w:szCs w:val="17"/>
          <w:color w:val="auto"/>
        </w:rPr>
        <w:t>As of February 24, 2026, the maximum facility amount under the Credit Agreement was $3.50 billion, the borrowing base was $3.25 billion and our elected borrowing commitment was $2.25 billion. Borrowings under the Credit Agreement are limited to the lowest of the borrowing base, the maximum facility amount and the elected borrowing commitment (subject to compliance with the covenants noted below). As of February 24, 2026, we had available borrowing capacity of approximately $1.88 billion under our Credit Agreement (after giving effect to outstanding letters of credit and subject to our compliance with the covenants noted below).</w:t>
      </w:r>
    </w:p>
    <w:p>
      <w:pPr>
        <w:spacing w:after="0" w:line="203" w:lineRule="exact"/>
        <w:rPr>
          <w:sz w:val="20"/>
          <w:szCs w:val="20"/>
          <w:color w:val="auto"/>
        </w:rPr>
      </w:pPr>
    </w:p>
    <w:p>
      <w:pPr>
        <w:ind w:left="720" w:right="200" w:firstLine="241"/>
        <w:spacing w:after="0" w:line="264" w:lineRule="auto"/>
        <w:rPr>
          <w:sz w:val="20"/>
          <w:szCs w:val="20"/>
          <w:color w:val="auto"/>
        </w:rPr>
      </w:pPr>
      <w:r>
        <w:rPr>
          <w:rFonts w:ascii="Calibri" w:cs="Calibri" w:eastAsia="Calibri" w:hAnsi="Calibri"/>
          <w:sz w:val="18"/>
          <w:szCs w:val="18"/>
          <w:color w:val="auto"/>
        </w:rPr>
        <w:t>As of February 24, 2026, the facility amount under the San Mateo Credit Facility was $1.10 billion, and San Mateo had available borrowing capacity of approximately $296.6 million (after giving effect to outstanding letters of credit and subject to San Mateo’s compliance with the covenants noted below). The San Mateo Credit Facility includes an accordion feature, which provides for potential increases in the commitments of the lenders to up to $1.35 billion.</w:t>
      </w:r>
    </w:p>
    <w:p>
      <w:pPr>
        <w:spacing w:after="0" w:line="221" w:lineRule="exact"/>
        <w:rPr>
          <w:sz w:val="20"/>
          <w:szCs w:val="20"/>
          <w:color w:val="auto"/>
        </w:rPr>
      </w:pPr>
    </w:p>
    <w:p>
      <w:pPr>
        <w:ind w:left="720" w:right="40" w:firstLine="241"/>
        <w:spacing w:after="0" w:line="285" w:lineRule="auto"/>
        <w:rPr>
          <w:sz w:val="20"/>
          <w:szCs w:val="20"/>
          <w:color w:val="auto"/>
        </w:rPr>
      </w:pPr>
      <w:r>
        <w:rPr>
          <w:rFonts w:ascii="Calibri" w:cs="Calibri" w:eastAsia="Calibri" w:hAnsi="Calibri"/>
          <w:sz w:val="17"/>
          <w:szCs w:val="17"/>
          <w:color w:val="auto"/>
        </w:rPr>
        <w:t>In the future, subject to the restrictions in the indentures governing our outstanding senior notes and in other instruments governing our other outstanding indebtedness (including our Credit Agreement and the San Mateo Credit Facility), we may incur significant amounts of additional indebtedness, including under our Credit Agreement and the San Mateo Credit Facility, through the issuance of additional notes or otherwise, in order to develop our properties, fund acquisitions or invest in certain opportunities. Interest rates on such future indebtedness may be higher than current levels, causing our financing costs to increase accordingly.</w:t>
      </w:r>
    </w:p>
    <w:p>
      <w:pPr>
        <w:spacing w:after="0" w:line="186" w:lineRule="exact"/>
        <w:rPr>
          <w:sz w:val="20"/>
          <w:szCs w:val="20"/>
          <w:color w:val="auto"/>
        </w:rPr>
      </w:pPr>
    </w:p>
    <w:p>
      <w:pPr>
        <w:ind w:left="960"/>
        <w:spacing w:after="0"/>
        <w:rPr>
          <w:sz w:val="20"/>
          <w:szCs w:val="20"/>
          <w:color w:val="auto"/>
        </w:rPr>
      </w:pPr>
      <w:r>
        <w:rPr>
          <w:rFonts w:ascii="Calibri" w:cs="Calibri" w:eastAsia="Calibri" w:hAnsi="Calibri"/>
          <w:sz w:val="18"/>
          <w:szCs w:val="18"/>
          <w:color w:val="auto"/>
        </w:rPr>
        <w:t>A high level of indebtedness could affect our operations in several ways, including:</w:t>
      </w:r>
    </w:p>
    <w:p>
      <w:pPr>
        <w:spacing w:after="0" w:line="224" w:lineRule="exact"/>
        <w:rPr>
          <w:sz w:val="20"/>
          <w:szCs w:val="20"/>
          <w:color w:val="auto"/>
        </w:rPr>
      </w:pPr>
    </w:p>
    <w:p>
      <w:pPr>
        <w:ind w:left="1420" w:hanging="349"/>
        <w:spacing w:after="0"/>
        <w:tabs>
          <w:tab w:leader="none" w:pos="1420" w:val="left"/>
        </w:tabs>
        <w:numPr>
          <w:ilvl w:val="0"/>
          <w:numId w:val="50"/>
        </w:numPr>
        <w:rPr>
          <w:rFonts w:ascii="Calibri" w:cs="Calibri" w:eastAsia="Calibri" w:hAnsi="Calibri"/>
          <w:sz w:val="18"/>
          <w:szCs w:val="18"/>
          <w:color w:val="auto"/>
        </w:rPr>
      </w:pPr>
      <w:r>
        <w:rPr>
          <w:rFonts w:ascii="Calibri" w:cs="Calibri" w:eastAsia="Calibri" w:hAnsi="Calibri"/>
          <w:sz w:val="18"/>
          <w:szCs w:val="18"/>
          <w:color w:val="auto"/>
        </w:rPr>
        <w:t>requiring a significant portion of our cash flows to be used for servicing our indebtedness;</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50"/>
        </w:numPr>
        <w:rPr>
          <w:rFonts w:ascii="Calibri" w:cs="Calibri" w:eastAsia="Calibri" w:hAnsi="Calibri"/>
          <w:sz w:val="18"/>
          <w:szCs w:val="18"/>
          <w:color w:val="auto"/>
        </w:rPr>
      </w:pPr>
      <w:r>
        <w:rPr>
          <w:rFonts w:ascii="Calibri" w:cs="Calibri" w:eastAsia="Calibri" w:hAnsi="Calibri"/>
          <w:sz w:val="18"/>
          <w:szCs w:val="18"/>
          <w:color w:val="auto"/>
        </w:rPr>
        <w:t>increasing our vulnerability to general adverse economic and industry conditions;</w:t>
      </w:r>
    </w:p>
    <w:p>
      <w:pPr>
        <w:spacing w:after="0" w:line="240" w:lineRule="exact"/>
        <w:rPr>
          <w:rFonts w:ascii="Calibri" w:cs="Calibri" w:eastAsia="Calibri" w:hAnsi="Calibri"/>
          <w:sz w:val="18"/>
          <w:szCs w:val="18"/>
          <w:color w:val="auto"/>
        </w:rPr>
      </w:pPr>
    </w:p>
    <w:p>
      <w:pPr>
        <w:ind w:left="1420" w:right="80" w:hanging="349"/>
        <w:spacing w:after="0" w:line="252" w:lineRule="auto"/>
        <w:tabs>
          <w:tab w:leader="none" w:pos="1420" w:val="left"/>
        </w:tabs>
        <w:numPr>
          <w:ilvl w:val="0"/>
          <w:numId w:val="50"/>
        </w:numPr>
        <w:rPr>
          <w:rFonts w:ascii="Calibri" w:cs="Calibri" w:eastAsia="Calibri" w:hAnsi="Calibri"/>
          <w:sz w:val="18"/>
          <w:szCs w:val="18"/>
          <w:color w:val="auto"/>
        </w:rPr>
      </w:pPr>
      <w:r>
        <w:rPr>
          <w:rFonts w:ascii="Calibri" w:cs="Calibri" w:eastAsia="Calibri" w:hAnsi="Calibri"/>
          <w:sz w:val="18"/>
          <w:szCs w:val="18"/>
          <w:color w:val="auto"/>
        </w:rPr>
        <w:t>placing us at a competitive disadvantage compared to our competitors that are less leveraged and, therefore, may be able to take advantage of opportunities that our level of indebtedness may prevent us from pursuing;</w:t>
      </w:r>
    </w:p>
    <w:p>
      <w:pPr>
        <w:spacing w:after="0" w:line="230" w:lineRule="exact"/>
        <w:rPr>
          <w:rFonts w:ascii="Calibri" w:cs="Calibri" w:eastAsia="Calibri" w:hAnsi="Calibri"/>
          <w:sz w:val="18"/>
          <w:szCs w:val="18"/>
          <w:color w:val="auto"/>
        </w:rPr>
      </w:pPr>
    </w:p>
    <w:p>
      <w:pPr>
        <w:ind w:left="1420" w:right="100" w:hanging="349"/>
        <w:spacing w:after="0" w:line="252" w:lineRule="auto"/>
        <w:tabs>
          <w:tab w:leader="none" w:pos="1420" w:val="left"/>
        </w:tabs>
        <w:numPr>
          <w:ilvl w:val="0"/>
          <w:numId w:val="50"/>
        </w:numPr>
        <w:rPr>
          <w:rFonts w:ascii="Calibri" w:cs="Calibri" w:eastAsia="Calibri" w:hAnsi="Calibri"/>
          <w:sz w:val="18"/>
          <w:szCs w:val="18"/>
          <w:color w:val="auto"/>
        </w:rPr>
      </w:pPr>
      <w:r>
        <w:rPr>
          <w:rFonts w:ascii="Calibri" w:cs="Calibri" w:eastAsia="Calibri" w:hAnsi="Calibri"/>
          <w:sz w:val="18"/>
          <w:szCs w:val="18"/>
          <w:color w:val="auto"/>
        </w:rPr>
        <w:t>restricting our ability to obtain additional financing in the future for working capital, capital expenditures, acquisitions and general corporate or other purposes; and</w:t>
      </w:r>
    </w:p>
    <w:p>
      <w:pPr>
        <w:spacing w:after="0" w:line="213" w:lineRule="exact"/>
        <w:rPr>
          <w:rFonts w:ascii="Calibri" w:cs="Calibri" w:eastAsia="Calibri" w:hAnsi="Calibri"/>
          <w:sz w:val="18"/>
          <w:szCs w:val="18"/>
          <w:color w:val="auto"/>
        </w:rPr>
      </w:pPr>
    </w:p>
    <w:p>
      <w:pPr>
        <w:ind w:left="1420" w:hanging="348"/>
        <w:spacing w:after="0"/>
        <w:tabs>
          <w:tab w:leader="none" w:pos="1420" w:val="left"/>
        </w:tabs>
        <w:numPr>
          <w:ilvl w:val="0"/>
          <w:numId w:val="50"/>
        </w:numPr>
        <w:rPr>
          <w:rFonts w:ascii="Calibri" w:cs="Calibri" w:eastAsia="Calibri" w:hAnsi="Calibri"/>
          <w:sz w:val="18"/>
          <w:szCs w:val="18"/>
          <w:color w:val="auto"/>
        </w:rPr>
      </w:pPr>
      <w:r>
        <w:rPr>
          <w:rFonts w:ascii="Calibri" w:cs="Calibri" w:eastAsia="Calibri" w:hAnsi="Calibri"/>
          <w:sz w:val="18"/>
          <w:szCs w:val="18"/>
          <w:color w:val="auto"/>
        </w:rPr>
        <w:t>increasing the risk that we may default on our debt obligations.</w:t>
      </w:r>
    </w:p>
    <w:p>
      <w:pPr>
        <w:spacing w:after="0" w:line="233" w:lineRule="exact"/>
        <w:rPr>
          <w:sz w:val="20"/>
          <w:szCs w:val="20"/>
          <w:color w:val="auto"/>
        </w:rPr>
      </w:pPr>
    </w:p>
    <w:p>
      <w:pPr>
        <w:ind w:left="720"/>
        <w:spacing w:after="0"/>
        <w:rPr>
          <w:sz w:val="20"/>
          <w:szCs w:val="20"/>
          <w:color w:val="auto"/>
        </w:rPr>
      </w:pPr>
      <w:r>
        <w:rPr>
          <w:rFonts w:ascii="Calibri" w:cs="Calibri" w:eastAsia="Calibri" w:hAnsi="Calibri"/>
          <w:sz w:val="18"/>
          <w:szCs w:val="18"/>
          <w:i w:val="1"/>
          <w:iCs w:val="1"/>
          <w:color w:val="214E93"/>
        </w:rPr>
        <w:t>The borrowing base under our Credit Agreement is subject to periodic redetermination.</w:t>
      </w:r>
    </w:p>
    <w:p>
      <w:pPr>
        <w:spacing w:after="0" w:line="245" w:lineRule="exact"/>
        <w:rPr>
          <w:sz w:val="20"/>
          <w:szCs w:val="20"/>
          <w:color w:val="auto"/>
        </w:rPr>
      </w:pPr>
    </w:p>
    <w:p>
      <w:pPr>
        <w:ind w:left="720" w:right="120" w:firstLine="241"/>
        <w:spacing w:after="0" w:line="283" w:lineRule="auto"/>
        <w:rPr>
          <w:sz w:val="20"/>
          <w:szCs w:val="20"/>
          <w:color w:val="auto"/>
        </w:rPr>
      </w:pPr>
      <w:r>
        <w:rPr>
          <w:rFonts w:ascii="Calibri" w:cs="Calibri" w:eastAsia="Calibri" w:hAnsi="Calibri"/>
          <w:sz w:val="17"/>
          <w:szCs w:val="17"/>
          <w:color w:val="auto"/>
        </w:rPr>
        <w:t>The borrowing base under the Credit Agreement is determined semi-annually as of May 1 and November 1 by the lenders based primarily on the estimated value of our proved oil and natural gas reserves at December 31 and June 30 of each year, respectively. We and the lenders may each request an unscheduled redetermination of the borrowing base once between scheduled</w:t>
      </w:r>
    </w:p>
    <w:p>
      <w:pPr>
        <w:sectPr>
          <w:pgSz w:w="11880" w:h="15480" w:orient="portrait"/>
          <w:cols w:equalWidth="0" w:num="1">
            <w:col w:w="10300"/>
          </w:cols>
          <w:pgMar w:left="440" w:top="498"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300"/>
          </w:cols>
          <w:pgMar w:left="440" w:top="498" w:right="1140" w:bottom="0" w:gutter="0" w:footer="0" w:header="0"/>
          <w:type w:val="continuous"/>
        </w:sectPr>
      </w:pPr>
    </w:p>
    <w:bookmarkStart w:id="64" w:name="page65"/>
    <w:bookmarkEnd w:id="64"/>
    <w:tbl>
      <w:tblPr>
        <w:tblLayout w:type="fixed"/>
        <w:tblInd w:w="7883"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51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-734695</wp:posOffset>
                </wp:positionH>
                <wp:positionV relativeFrom="paragraph">
                  <wp:posOffset>320675</wp:posOffset>
                </wp:positionV>
                <wp:extent cx="6811645"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8499pt,25.25pt" to="478.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-734695</wp:posOffset>
                </wp:positionH>
                <wp:positionV relativeFrom="paragraph">
                  <wp:posOffset>320675</wp:posOffset>
                </wp:positionV>
                <wp:extent cx="6811645"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8499pt,25.25pt" to="478.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 w:right="720"/>
        <w:spacing w:after="0" w:line="268" w:lineRule="auto"/>
        <w:rPr>
          <w:sz w:val="20"/>
          <w:szCs w:val="20"/>
          <w:color w:val="auto"/>
        </w:rPr>
      </w:pPr>
      <w:r>
        <w:rPr>
          <w:rFonts w:ascii="Calibri" w:cs="Calibri" w:eastAsia="Calibri" w:hAnsi="Calibri"/>
          <w:sz w:val="18"/>
          <w:szCs w:val="18"/>
          <w:color w:val="auto"/>
        </w:rPr>
        <w:t>redetermination dates. In addition, our lenders have the flexibility to reduce our borrowing base due to a variety of factors, some of which may be beyond our control. Since the borrowing base is subject to periodic redeterminations, if a redetermination resulted in a borrowing base that was less than our borrowings under the Credit Agreement, we could be required to provide additional collateral satisfactory in nature and value to the lenders to increase the borrowing base to an amount sufficient to cover such excess or repay the deficit in equal installments over a period of six months. If we are required to do so, we may not have sufficient funds to fully make such repayments, which could result in a default under the terms of the Credit Agreement and an acceleration of the loans thereunder, requiring us to negotiate renewals, arrange new financing or sell significant assets, all of which could have a material adverse effect on our business and financial results.</w:t>
      </w:r>
    </w:p>
    <w:p>
      <w:pPr>
        <w:spacing w:after="0" w:line="200" w:lineRule="exact"/>
        <w:rPr>
          <w:sz w:val="20"/>
          <w:szCs w:val="20"/>
          <w:color w:val="auto"/>
        </w:rPr>
      </w:pPr>
    </w:p>
    <w:p>
      <w:pPr>
        <w:ind w:left="3"/>
        <w:spacing w:after="0"/>
        <w:rPr>
          <w:sz w:val="20"/>
          <w:szCs w:val="20"/>
          <w:color w:val="auto"/>
        </w:rPr>
      </w:pPr>
      <w:r>
        <w:rPr>
          <w:rFonts w:ascii="Calibri" w:cs="Calibri" w:eastAsia="Calibri" w:hAnsi="Calibri"/>
          <w:sz w:val="18"/>
          <w:szCs w:val="18"/>
          <w:i w:val="1"/>
          <w:iCs w:val="1"/>
          <w:color w:val="214E93"/>
        </w:rPr>
        <w:t>We are subject to interest rate risk under our Credit Agreement and the San Mateo Credit Facility.</w:t>
      </w:r>
    </w:p>
    <w:p>
      <w:pPr>
        <w:spacing w:after="0" w:line="241" w:lineRule="exact"/>
        <w:rPr>
          <w:sz w:val="20"/>
          <w:szCs w:val="20"/>
          <w:color w:val="auto"/>
        </w:rPr>
      </w:pPr>
    </w:p>
    <w:p>
      <w:pPr>
        <w:ind w:left="3" w:right="720" w:firstLine="241"/>
        <w:spacing w:after="0" w:line="286" w:lineRule="auto"/>
        <w:rPr>
          <w:sz w:val="20"/>
          <w:szCs w:val="20"/>
          <w:color w:val="auto"/>
        </w:rPr>
      </w:pPr>
      <w:r>
        <w:rPr>
          <w:rFonts w:ascii="Calibri" w:cs="Calibri" w:eastAsia="Calibri" w:hAnsi="Calibri"/>
          <w:sz w:val="17"/>
          <w:szCs w:val="17"/>
          <w:color w:val="auto"/>
        </w:rPr>
        <w:t>Our earnings are exposed to interest rate risk associated with borrowings under our Credit Agreement and the San Mateo Credit Facility. Borrowings under the Credit Agreement may be in the form of a base rate loan or a loan based on the secured overnight financing rate administered by the Federal Reserve Bank of New York (“SOFR”). If we borrow funds as a base rate loan, such borrowings will bear interest at a rate equal to the greatest of (i) the prime rate for such day, (ii) the Overnight Bank Funding Rate (as defined in the Credit Agreement) on such day, plus 0.50%, and (iii) the Daily Simple SOFR (as defined in the Credit Agreement) on such day, plus 1.00%, plus, in each case, an amount ranging from 0.75% to 1.75% depending on the level of borrowings under the Credit Agreement. If we borrow funds as a SOFR loan, such borrowings will bear interest at a rate equal to (x) Term SOFR (as defined in the Credit Agreement) for the chosen interest period plus (y) an amount ranging from 1.75% to 2.75% depending on the level of borrowings under the Credit Agreement. If we have outstanding borrowings under our Credit Agreement and interest rates increase, so will our interest costs, which may have a material adverse effect on our results of operations and financial condition.</w:t>
      </w:r>
    </w:p>
    <w:p>
      <w:pPr>
        <w:spacing w:after="0" w:line="203" w:lineRule="exact"/>
        <w:rPr>
          <w:sz w:val="20"/>
          <w:szCs w:val="20"/>
          <w:color w:val="auto"/>
        </w:rPr>
      </w:pPr>
    </w:p>
    <w:p>
      <w:pPr>
        <w:ind w:left="3" w:right="740" w:firstLine="241"/>
        <w:spacing w:after="0" w:line="281" w:lineRule="auto"/>
        <w:rPr>
          <w:sz w:val="20"/>
          <w:szCs w:val="20"/>
          <w:color w:val="auto"/>
        </w:rPr>
      </w:pPr>
      <w:r>
        <w:rPr>
          <w:rFonts w:ascii="Calibri" w:cs="Calibri" w:eastAsia="Calibri" w:hAnsi="Calibri"/>
          <w:sz w:val="17"/>
          <w:szCs w:val="17"/>
          <w:color w:val="auto"/>
        </w:rPr>
        <w:t>Similarly, borrowings under the San Mateo Credit Facility may be in the form of a base rate loan or a SOFR loan. If San Mateo borrows funds as a base rate loan, such borrowings will bear interest at a rate equal to the greatest of (i) the prime rate for such day,</w:t>
      </w:r>
    </w:p>
    <w:p>
      <w:pPr>
        <w:spacing w:after="0" w:line="10" w:lineRule="exact"/>
        <w:rPr>
          <w:sz w:val="20"/>
          <w:szCs w:val="20"/>
          <w:color w:val="auto"/>
        </w:rPr>
      </w:pPr>
    </w:p>
    <w:p>
      <w:pPr>
        <w:ind w:left="3" w:right="780" w:hanging="3"/>
        <w:spacing w:after="0" w:line="284" w:lineRule="auto"/>
        <w:tabs>
          <w:tab w:leader="none" w:pos="231" w:val="left"/>
        </w:tabs>
        <w:numPr>
          <w:ilvl w:val="0"/>
          <w:numId w:val="51"/>
        </w:numPr>
        <w:rPr>
          <w:rFonts w:ascii="Calibri" w:cs="Calibri" w:eastAsia="Calibri" w:hAnsi="Calibri"/>
          <w:sz w:val="17"/>
          <w:szCs w:val="17"/>
          <w:color w:val="auto"/>
        </w:rPr>
      </w:pPr>
      <w:r>
        <w:rPr>
          <w:rFonts w:ascii="Calibri" w:cs="Calibri" w:eastAsia="Calibri" w:hAnsi="Calibri"/>
          <w:sz w:val="17"/>
          <w:szCs w:val="17"/>
          <w:color w:val="auto"/>
        </w:rPr>
        <w:t>the Federal Funds Effective Rate (as defined in the San Mateo Credit Facility) on such day, plus 0.50% and (iii) Term SOFR (as defined in the San Mateo Credit Facility) for a one month tenor, plus 1.00% plus, in each case, an amount ranging from 1.00% to 2.00% depending on San Mateo’s Consolidated Total Leverage Ratio (as defined in the San Mateo Credit Facility). If San Mateo borrows funds as a SOFR loan, such borrowings will bear interest at a rate equal to (x) Term SOFR for the chosen interest period plus</w:t>
      </w:r>
    </w:p>
    <w:p>
      <w:pPr>
        <w:spacing w:after="0" w:line="9" w:lineRule="exact"/>
        <w:rPr>
          <w:rFonts w:ascii="Calibri" w:cs="Calibri" w:eastAsia="Calibri" w:hAnsi="Calibri"/>
          <w:sz w:val="17"/>
          <w:szCs w:val="17"/>
          <w:color w:val="auto"/>
        </w:rPr>
      </w:pPr>
    </w:p>
    <w:p>
      <w:pPr>
        <w:ind w:left="3" w:right="720" w:hanging="3"/>
        <w:spacing w:after="0" w:line="266" w:lineRule="auto"/>
        <w:tabs>
          <w:tab w:leader="none" w:pos="230" w:val="left"/>
        </w:tabs>
        <w:numPr>
          <w:ilvl w:val="0"/>
          <w:numId w:val="52"/>
        </w:numPr>
        <w:rPr>
          <w:rFonts w:ascii="Calibri" w:cs="Calibri" w:eastAsia="Calibri" w:hAnsi="Calibri"/>
          <w:sz w:val="18"/>
          <w:szCs w:val="18"/>
          <w:color w:val="auto"/>
        </w:rPr>
      </w:pPr>
      <w:r>
        <w:rPr>
          <w:rFonts w:ascii="Calibri" w:cs="Calibri" w:eastAsia="Calibri" w:hAnsi="Calibri"/>
          <w:sz w:val="18"/>
          <w:szCs w:val="18"/>
          <w:color w:val="auto"/>
        </w:rPr>
        <w:t>an amount ranging from 2.00% to 3.00% depending on San Mateo’s Consolidated Total Leverage Ratio. The applicable margin for base rate loans and SOFR loans under the San Mateo Credit Facility will be decreased by 0.25% in the event of a Notes Offering (as defined in the San Mateo Credit Facility) or a Qualified IPO (as defined in the San Mateo Credit Facility). If San Mateo has outstanding borrowings under the San Mateo Credit Facility and interest rates increase, so will San Mateo’s interest costs, which may have a material adverse effect on San Mateo’s results of operations and financial condition.</w:t>
      </w:r>
    </w:p>
    <w:p>
      <w:pPr>
        <w:spacing w:after="0" w:line="218" w:lineRule="exact"/>
        <w:rPr>
          <w:sz w:val="20"/>
          <w:szCs w:val="20"/>
          <w:color w:val="auto"/>
        </w:rPr>
      </w:pPr>
    </w:p>
    <w:p>
      <w:pPr>
        <w:ind w:left="3" w:right="760" w:firstLine="241"/>
        <w:spacing w:after="0" w:line="267" w:lineRule="auto"/>
        <w:rPr>
          <w:sz w:val="20"/>
          <w:szCs w:val="20"/>
          <w:color w:val="auto"/>
        </w:rPr>
      </w:pPr>
      <w:r>
        <w:rPr>
          <w:rFonts w:ascii="Calibri" w:cs="Calibri" w:eastAsia="Calibri" w:hAnsi="Calibri"/>
          <w:sz w:val="18"/>
          <w:szCs w:val="18"/>
          <w:color w:val="auto"/>
        </w:rPr>
        <w:t>Our Credit Agreement and the San Mateo Credit Facility have floating rates tied to SOFR or other interest rate benchmarks that generally increase or decrease alongside changes in the federal funds rates. As a result, interest expense on our existing floating rate debt rose during 2022 and 2023 as the Federal Reserve increased interest rates, and our interest expense remained high during 2024. In 2025, the Federal Reserve lowered interest rates three times, resulting in decreased interest expense on our existing floating rate debt in 2025. In addition, interest rates on future credit facilities and debt offerings could be higher than current levels, causing our financing costs to increase accordingly.</w:t>
      </w:r>
    </w:p>
    <w:p>
      <w:pPr>
        <w:spacing w:after="0" w:line="217" w:lineRule="exact"/>
        <w:rPr>
          <w:sz w:val="20"/>
          <w:szCs w:val="20"/>
          <w:color w:val="auto"/>
        </w:rPr>
      </w:pPr>
    </w:p>
    <w:p>
      <w:pPr>
        <w:ind w:left="3" w:right="740"/>
        <w:spacing w:after="0" w:line="252" w:lineRule="auto"/>
        <w:rPr>
          <w:sz w:val="20"/>
          <w:szCs w:val="20"/>
          <w:color w:val="auto"/>
        </w:rPr>
      </w:pPr>
      <w:r>
        <w:rPr>
          <w:rFonts w:ascii="Calibri" w:cs="Calibri" w:eastAsia="Calibri" w:hAnsi="Calibri"/>
          <w:sz w:val="18"/>
          <w:szCs w:val="18"/>
          <w:i w:val="1"/>
          <w:iCs w:val="1"/>
          <w:color w:val="214E93"/>
        </w:rPr>
        <w:t>The terms of the agreements governing our outstanding indebtedness may restrict our current and future operations, particularly our ability to respond to changes in business or to take certain actions.</w:t>
      </w:r>
    </w:p>
    <w:p>
      <w:pPr>
        <w:spacing w:after="0" w:line="230" w:lineRule="exact"/>
        <w:rPr>
          <w:sz w:val="20"/>
          <w:szCs w:val="20"/>
          <w:color w:val="auto"/>
        </w:rPr>
      </w:pPr>
    </w:p>
    <w:p>
      <w:pPr>
        <w:ind w:left="3" w:right="1140" w:firstLine="241"/>
        <w:spacing w:after="0" w:line="284" w:lineRule="auto"/>
        <w:rPr>
          <w:sz w:val="20"/>
          <w:szCs w:val="20"/>
          <w:color w:val="auto"/>
        </w:rPr>
      </w:pPr>
      <w:r>
        <w:rPr>
          <w:rFonts w:ascii="Calibri" w:cs="Calibri" w:eastAsia="Calibri" w:hAnsi="Calibri"/>
          <w:sz w:val="17"/>
          <w:szCs w:val="17"/>
          <w:color w:val="auto"/>
        </w:rPr>
        <w:t>Our Credit Agreement, the San Mateo Credit Facility and the indentures governing our senior notes contain, and any future indebtedness we or San Mateo incur will likely contain, a number of restrictive covenants that impose significant operating and financial restrictions, including restrictions on our and San Mateo’s ability to engage in acts that may be in our best long-term interest. One or more of these agreements include covenants that restrict our or San Mateo’s ability to, among other things:</w:t>
      </w:r>
    </w:p>
    <w:p>
      <w:pPr>
        <w:spacing w:after="0" w:line="188" w:lineRule="exact"/>
        <w:rPr>
          <w:sz w:val="20"/>
          <w:szCs w:val="20"/>
          <w:color w:val="auto"/>
        </w:rPr>
      </w:pPr>
    </w:p>
    <w:p>
      <w:pPr>
        <w:ind w:left="703" w:hanging="349"/>
        <w:spacing w:after="0"/>
        <w:tabs>
          <w:tab w:leader="none" w:pos="703"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incur or guarantee additional debt or issue certain types of preferred stock;</w:t>
      </w:r>
    </w:p>
    <w:p>
      <w:pPr>
        <w:spacing w:after="0" w:line="223" w:lineRule="exact"/>
        <w:rPr>
          <w:rFonts w:ascii="Calibri" w:cs="Calibri" w:eastAsia="Calibri" w:hAnsi="Calibri"/>
          <w:sz w:val="18"/>
          <w:szCs w:val="18"/>
          <w:color w:val="auto"/>
        </w:rPr>
      </w:pPr>
    </w:p>
    <w:p>
      <w:pPr>
        <w:ind w:left="703" w:hanging="349"/>
        <w:spacing w:after="0"/>
        <w:tabs>
          <w:tab w:leader="none" w:pos="703"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declare or pay dividends or distributions or redeem, repurchase or retire our capital stock or subordinated indebtedness;</w:t>
      </w:r>
    </w:p>
    <w:p>
      <w:pPr>
        <w:spacing w:after="0" w:line="223" w:lineRule="exact"/>
        <w:rPr>
          <w:rFonts w:ascii="Calibri" w:cs="Calibri" w:eastAsia="Calibri" w:hAnsi="Calibri"/>
          <w:sz w:val="18"/>
          <w:szCs w:val="18"/>
          <w:color w:val="auto"/>
        </w:rPr>
      </w:pPr>
    </w:p>
    <w:p>
      <w:pPr>
        <w:ind w:left="703" w:hanging="349"/>
        <w:spacing w:after="0"/>
        <w:tabs>
          <w:tab w:leader="none" w:pos="703"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transfer or sell assets;</w:t>
      </w:r>
    </w:p>
    <w:p>
      <w:pPr>
        <w:sectPr>
          <w:pgSz w:w="11880" w:h="15480" w:orient="portrait"/>
          <w:cols w:equalWidth="0" w:num="1">
            <w:col w:w="10283"/>
          </w:cols>
          <w:pgMar w:left="1157"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923"/>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3"/>
          </w:cols>
          <w:pgMar w:left="1157" w:top="498" w:right="440" w:bottom="0" w:gutter="0" w:footer="0" w:header="0"/>
          <w:type w:val="continuous"/>
        </w:sectPr>
      </w:pPr>
    </w:p>
    <w:bookmarkStart w:id="65" w:name="page66"/>
    <w:bookmarkEnd w:id="65"/>
    <w:p>
      <w:pPr>
        <w:ind w:left="753" w:hanging="753"/>
        <w:spacing w:after="0"/>
        <w:tabs>
          <w:tab w:leader="none" w:pos="753" w:val="left"/>
        </w:tabs>
        <w:numPr>
          <w:ilvl w:val="0"/>
          <w:numId w:val="54"/>
        </w:numPr>
        <w:rPr>
          <w:rFonts w:ascii="Calibri" w:cs="Calibri" w:eastAsia="Calibri" w:hAnsi="Calibri"/>
          <w:sz w:val="18"/>
          <w:szCs w:val="18"/>
          <w:color w:val="auto"/>
        </w:rPr>
      </w:pPr>
      <w:r>
        <w:rPr>
          <w:rFonts w:ascii="Calibri" w:cs="Calibri" w:eastAsia="Calibri" w:hAnsi="Calibri"/>
          <w:sz w:val="18"/>
          <w:szCs w:val="18"/>
          <w:color w:val="auto"/>
        </w:rPr>
        <w:t>MATADOR RESOURCES COMPANY</w:t>
      </w:r>
    </w:p>
    <w:p>
      <w:pPr>
        <w:spacing w:after="0" w:line="200" w:lineRule="exact"/>
        <w:rPr>
          <w:rFonts w:ascii="Calibri" w:cs="Calibri" w:eastAsia="Calibri" w:hAnsi="Calibri"/>
          <w:sz w:val="18"/>
          <w:szCs w:val="18"/>
          <w:color w:val="auto"/>
        </w:rPr>
      </w:pPr>
    </w:p>
    <w:p>
      <w:pPr>
        <w:spacing w:after="0" w:line="200" w:lineRule="exact"/>
        <w:rPr>
          <w:rFonts w:ascii="Calibri" w:cs="Calibri" w:eastAsia="Calibri" w:hAnsi="Calibri"/>
          <w:sz w:val="18"/>
          <w:szCs w:val="18"/>
          <w:color w:val="auto"/>
        </w:rPr>
      </w:pPr>
    </w:p>
    <w:p>
      <w:pPr>
        <w:spacing w:after="0" w:line="243" w:lineRule="exact"/>
        <w:rPr>
          <w:rFonts w:ascii="Calibri" w:cs="Calibri" w:eastAsia="Calibri" w:hAnsi="Calibri"/>
          <w:sz w:val="18"/>
          <w:szCs w:val="18"/>
          <w:color w:val="auto"/>
        </w:rPr>
      </w:pPr>
    </w:p>
    <w:p>
      <w:pPr>
        <w:ind w:left="1413" w:hanging="349"/>
        <w:spacing w:after="0"/>
        <w:tabs>
          <w:tab w:leader="none" w:pos="1413" w:val="left"/>
        </w:tabs>
        <w:numPr>
          <w:ilvl w:val="1"/>
          <w:numId w:val="54"/>
        </w:numPr>
        <w:rPr>
          <w:rFonts w:ascii="Calibri" w:cs="Calibri" w:eastAsia="Calibri" w:hAnsi="Calibri"/>
          <w:sz w:val="18"/>
          <w:szCs w:val="18"/>
          <w:color w:val="auto"/>
        </w:rPr>
      </w:pPr>
      <w:r>
        <w:rPr>
          <w:rFonts w:ascii="Calibri" w:cs="Calibri" w:eastAsia="Calibri" w:hAnsi="Calibri"/>
          <w:sz w:val="18"/>
          <w:szCs w:val="18"/>
          <w:color w:val="auto"/>
        </w:rPr>
        <w:t>make certain investments, loans and acquisitions;</w:t>
      </w:r>
    </w:p>
    <w:p>
      <w:pPr>
        <w:spacing w:after="0" w:line="223" w:lineRule="exact"/>
        <w:rPr>
          <w:rFonts w:ascii="Calibri" w:cs="Calibri" w:eastAsia="Calibri" w:hAnsi="Calibri"/>
          <w:sz w:val="18"/>
          <w:szCs w:val="18"/>
          <w:color w:val="auto"/>
        </w:rPr>
      </w:pPr>
    </w:p>
    <w:p>
      <w:pPr>
        <w:ind w:left="1413" w:hanging="349"/>
        <w:spacing w:after="0"/>
        <w:tabs>
          <w:tab w:leader="none" w:pos="1413" w:val="left"/>
        </w:tabs>
        <w:numPr>
          <w:ilvl w:val="1"/>
          <w:numId w:val="54"/>
        </w:numPr>
        <w:rPr>
          <w:rFonts w:ascii="Calibri" w:cs="Calibri" w:eastAsia="Calibri" w:hAnsi="Calibri"/>
          <w:sz w:val="18"/>
          <w:szCs w:val="18"/>
          <w:color w:val="auto"/>
        </w:rPr>
      </w:pPr>
      <w:r>
        <w:rPr>
          <w:rFonts w:ascii="Calibri" w:cs="Calibri" w:eastAsia="Calibri" w:hAnsi="Calibri"/>
          <w:sz w:val="18"/>
          <w:szCs w:val="18"/>
          <w:color w:val="auto"/>
        </w:rPr>
        <w:t>create or incur certain liens;</w:t>
      </w:r>
    </w:p>
    <w:p>
      <w:pPr>
        <w:spacing w:after="0" w:line="223" w:lineRule="exact"/>
        <w:rPr>
          <w:rFonts w:ascii="Calibri" w:cs="Calibri" w:eastAsia="Calibri" w:hAnsi="Calibri"/>
          <w:sz w:val="18"/>
          <w:szCs w:val="18"/>
          <w:color w:val="auto"/>
        </w:rPr>
      </w:pPr>
    </w:p>
    <w:p>
      <w:pPr>
        <w:ind w:left="1413" w:hanging="349"/>
        <w:spacing w:after="0"/>
        <w:tabs>
          <w:tab w:leader="none" w:pos="1413" w:val="left"/>
        </w:tabs>
        <w:numPr>
          <w:ilvl w:val="1"/>
          <w:numId w:val="54"/>
        </w:numPr>
        <w:rPr>
          <w:rFonts w:ascii="Calibri" w:cs="Calibri" w:eastAsia="Calibri" w:hAnsi="Calibri"/>
          <w:sz w:val="18"/>
          <w:szCs w:val="18"/>
          <w:color w:val="auto"/>
        </w:rPr>
      </w:pPr>
      <w:r>
        <w:rPr>
          <w:rFonts w:ascii="Calibri" w:cs="Calibri" w:eastAsia="Calibri" w:hAnsi="Calibri"/>
          <w:sz w:val="18"/>
          <w:szCs w:val="18"/>
          <w:color w:val="auto"/>
        </w:rPr>
        <w:t>change the nature of our business;</w:t>
      </w:r>
    </w:p>
    <w:p>
      <w:pPr>
        <w:spacing w:after="0" w:line="223" w:lineRule="exact"/>
        <w:rPr>
          <w:rFonts w:ascii="Calibri" w:cs="Calibri" w:eastAsia="Calibri" w:hAnsi="Calibri"/>
          <w:sz w:val="18"/>
          <w:szCs w:val="18"/>
          <w:color w:val="auto"/>
        </w:rPr>
      </w:pPr>
    </w:p>
    <w:p>
      <w:pPr>
        <w:ind w:left="1413" w:hanging="349"/>
        <w:spacing w:after="0"/>
        <w:tabs>
          <w:tab w:leader="none" w:pos="1413" w:val="left"/>
        </w:tabs>
        <w:numPr>
          <w:ilvl w:val="1"/>
          <w:numId w:val="54"/>
        </w:numPr>
        <w:rPr>
          <w:rFonts w:ascii="Calibri" w:cs="Calibri" w:eastAsia="Calibri" w:hAnsi="Calibri"/>
          <w:sz w:val="18"/>
          <w:szCs w:val="18"/>
          <w:color w:val="auto"/>
        </w:rPr>
      </w:pPr>
      <w:r>
        <w:rPr>
          <w:rFonts w:ascii="Calibri" w:cs="Calibri" w:eastAsia="Calibri" w:hAnsi="Calibri"/>
          <w:sz w:val="18"/>
          <w:szCs w:val="18"/>
          <w:color w:val="auto"/>
        </w:rPr>
        <w:t>become subject to FERC regulatory authority;</w:t>
      </w:r>
    </w:p>
    <w:p>
      <w:pPr>
        <w:spacing w:after="0" w:line="240" w:lineRule="exact"/>
        <w:rPr>
          <w:rFonts w:ascii="Calibri" w:cs="Calibri" w:eastAsia="Calibri" w:hAnsi="Calibri"/>
          <w:sz w:val="18"/>
          <w:szCs w:val="18"/>
          <w:color w:val="auto"/>
        </w:rPr>
      </w:pPr>
    </w:p>
    <w:p>
      <w:pPr>
        <w:ind w:left="1413" w:right="580" w:hanging="349"/>
        <w:spacing w:after="0" w:line="252" w:lineRule="auto"/>
        <w:tabs>
          <w:tab w:leader="none" w:pos="1413" w:val="left"/>
        </w:tabs>
        <w:numPr>
          <w:ilvl w:val="1"/>
          <w:numId w:val="54"/>
        </w:numPr>
        <w:rPr>
          <w:rFonts w:ascii="Calibri" w:cs="Calibri" w:eastAsia="Calibri" w:hAnsi="Calibri"/>
          <w:sz w:val="18"/>
          <w:szCs w:val="18"/>
          <w:color w:val="auto"/>
        </w:rPr>
      </w:pPr>
      <w:r>
        <w:rPr>
          <w:rFonts w:ascii="Calibri" w:cs="Calibri" w:eastAsia="Calibri" w:hAnsi="Calibri"/>
          <w:sz w:val="18"/>
          <w:szCs w:val="18"/>
          <w:color w:val="auto"/>
        </w:rPr>
        <w:t>enter into agreements that restrict dividends or other payments from our Restricted Subsidiaries (as defined in the indentures governing our outstanding senior notes) to us;</w:t>
      </w:r>
    </w:p>
    <w:p>
      <w:pPr>
        <w:spacing w:after="0" w:line="213" w:lineRule="exact"/>
        <w:rPr>
          <w:rFonts w:ascii="Calibri" w:cs="Calibri" w:eastAsia="Calibri" w:hAnsi="Calibri"/>
          <w:sz w:val="18"/>
          <w:szCs w:val="18"/>
          <w:color w:val="auto"/>
        </w:rPr>
      </w:pPr>
    </w:p>
    <w:p>
      <w:pPr>
        <w:ind w:left="1413" w:hanging="349"/>
        <w:spacing w:after="0"/>
        <w:tabs>
          <w:tab w:leader="none" w:pos="1413" w:val="left"/>
        </w:tabs>
        <w:numPr>
          <w:ilvl w:val="1"/>
          <w:numId w:val="54"/>
        </w:numPr>
        <w:rPr>
          <w:rFonts w:ascii="Calibri" w:cs="Calibri" w:eastAsia="Calibri" w:hAnsi="Calibri"/>
          <w:sz w:val="18"/>
          <w:szCs w:val="18"/>
          <w:color w:val="auto"/>
        </w:rPr>
      </w:pPr>
      <w:r>
        <w:rPr>
          <w:rFonts w:ascii="Calibri" w:cs="Calibri" w:eastAsia="Calibri" w:hAnsi="Calibri"/>
          <w:sz w:val="18"/>
          <w:szCs w:val="18"/>
          <w:color w:val="auto"/>
        </w:rPr>
        <w:t>consolidate, merge or transfer all or substantially all of our assets;</w:t>
      </w:r>
    </w:p>
    <w:p>
      <w:pPr>
        <w:spacing w:after="0" w:line="223" w:lineRule="exact"/>
        <w:rPr>
          <w:rFonts w:ascii="Calibri" w:cs="Calibri" w:eastAsia="Calibri" w:hAnsi="Calibri"/>
          <w:sz w:val="18"/>
          <w:szCs w:val="18"/>
          <w:color w:val="auto"/>
        </w:rPr>
      </w:pPr>
    </w:p>
    <w:p>
      <w:pPr>
        <w:ind w:left="1413" w:hanging="349"/>
        <w:spacing w:after="0"/>
        <w:tabs>
          <w:tab w:leader="none" w:pos="1413" w:val="left"/>
        </w:tabs>
        <w:numPr>
          <w:ilvl w:val="1"/>
          <w:numId w:val="54"/>
        </w:numPr>
        <w:rPr>
          <w:rFonts w:ascii="Calibri" w:cs="Calibri" w:eastAsia="Calibri" w:hAnsi="Calibri"/>
          <w:sz w:val="18"/>
          <w:szCs w:val="18"/>
          <w:color w:val="auto"/>
        </w:rPr>
      </w:pPr>
      <w:r>
        <w:rPr>
          <w:rFonts w:ascii="Calibri" w:cs="Calibri" w:eastAsia="Calibri" w:hAnsi="Calibri"/>
          <w:sz w:val="18"/>
          <w:szCs w:val="18"/>
          <w:color w:val="auto"/>
        </w:rPr>
        <w:t>engage in transactions with affiliates;</w:t>
      </w:r>
    </w:p>
    <w:p>
      <w:pPr>
        <w:spacing w:after="0" w:line="223" w:lineRule="exact"/>
        <w:rPr>
          <w:rFonts w:ascii="Calibri" w:cs="Calibri" w:eastAsia="Calibri" w:hAnsi="Calibri"/>
          <w:sz w:val="18"/>
          <w:szCs w:val="18"/>
          <w:color w:val="auto"/>
        </w:rPr>
      </w:pPr>
    </w:p>
    <w:p>
      <w:pPr>
        <w:ind w:left="1413" w:hanging="349"/>
        <w:spacing w:after="0"/>
        <w:tabs>
          <w:tab w:leader="none" w:pos="1413" w:val="left"/>
        </w:tabs>
        <w:numPr>
          <w:ilvl w:val="1"/>
          <w:numId w:val="54"/>
        </w:numPr>
        <w:rPr>
          <w:rFonts w:ascii="Calibri" w:cs="Calibri" w:eastAsia="Calibri" w:hAnsi="Calibri"/>
          <w:sz w:val="18"/>
          <w:szCs w:val="18"/>
          <w:color w:val="auto"/>
        </w:rPr>
      </w:pPr>
      <w:r>
        <w:rPr>
          <w:rFonts w:ascii="Calibri" w:cs="Calibri" w:eastAsia="Calibri" w:hAnsi="Calibri"/>
          <w:sz w:val="18"/>
          <w:szCs w:val="18"/>
          <w:color w:val="auto"/>
        </w:rPr>
        <w:t>enter into certain hedging agreements; and</w:t>
      </w:r>
    </w:p>
    <w:p>
      <w:pPr>
        <w:spacing w:after="0" w:line="223" w:lineRule="exact"/>
        <w:rPr>
          <w:rFonts w:ascii="Calibri" w:cs="Calibri" w:eastAsia="Calibri" w:hAnsi="Calibri"/>
          <w:sz w:val="18"/>
          <w:szCs w:val="18"/>
          <w:color w:val="auto"/>
        </w:rPr>
      </w:pPr>
    </w:p>
    <w:p>
      <w:pPr>
        <w:ind w:left="1413" w:hanging="349"/>
        <w:spacing w:after="0"/>
        <w:tabs>
          <w:tab w:leader="none" w:pos="1413" w:val="left"/>
        </w:tabs>
        <w:numPr>
          <w:ilvl w:val="1"/>
          <w:numId w:val="54"/>
        </w:numPr>
        <w:rPr>
          <w:rFonts w:ascii="Calibri" w:cs="Calibri" w:eastAsia="Calibri" w:hAnsi="Calibri"/>
          <w:sz w:val="18"/>
          <w:szCs w:val="18"/>
          <w:color w:val="auto"/>
        </w:rPr>
      </w:pPr>
      <w:r>
        <w:rPr>
          <w:rFonts w:ascii="Calibri" w:cs="Calibri" w:eastAsia="Calibri" w:hAnsi="Calibri"/>
          <w:sz w:val="18"/>
          <w:szCs w:val="18"/>
          <w:color w:val="auto"/>
        </w:rPr>
        <w:t>create unrestricted subsidiaries.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447675</wp:posOffset>
                </wp:positionH>
                <wp:positionV relativeFrom="paragraph">
                  <wp:posOffset>-2637790</wp:posOffset>
                </wp:positionV>
                <wp:extent cx="6811645"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25pt,-207.6999pt" to="571.6pt,-207.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447675</wp:posOffset>
                </wp:positionH>
                <wp:positionV relativeFrom="paragraph">
                  <wp:posOffset>-2637790</wp:posOffset>
                </wp:positionV>
                <wp:extent cx="6811645"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25pt,-207.6999pt" to="571.6pt,-207.6999pt" o:allowincell="f" strokecolor="#214E93" strokeweight="1pt"/>
            </w:pict>
          </mc:Fallback>
        </mc:AlternateContent>
      </w:r>
    </w:p>
    <w:p>
      <w:pPr>
        <w:spacing w:after="0" w:line="221" w:lineRule="exact"/>
        <w:rPr>
          <w:sz w:val="20"/>
          <w:szCs w:val="20"/>
          <w:color w:val="auto"/>
        </w:rPr>
      </w:pPr>
    </w:p>
    <w:p>
      <w:pPr>
        <w:ind w:left="713" w:right="20" w:firstLine="241"/>
        <w:spacing w:after="0" w:line="266" w:lineRule="auto"/>
        <w:rPr>
          <w:sz w:val="20"/>
          <w:szCs w:val="20"/>
          <w:color w:val="auto"/>
        </w:rPr>
      </w:pPr>
      <w:r>
        <w:rPr>
          <w:rFonts w:ascii="Calibri" w:cs="Calibri" w:eastAsia="Calibri" w:hAnsi="Calibri"/>
          <w:sz w:val="18"/>
          <w:szCs w:val="18"/>
          <w:color w:val="auto"/>
        </w:rPr>
        <w:t>A breach of any of these covenants could result in an event of default under our Credit Agreement, the San Mateo Credit Facility and the indentures governing our outstanding senior notes. For example, our Credit Agreement requires us to comply with certain financial covenants, including maintaining a specified debt to EBITDA ratio and current ratio. Low oil and natural gas prices or a decline in our oil or natural gas production may adversely impact our EBITDA, cash flows and debt levels, and therefore our ability to comply with these covenants.</w:t>
      </w:r>
    </w:p>
    <w:p>
      <w:pPr>
        <w:spacing w:after="0" w:line="218" w:lineRule="exact"/>
        <w:rPr>
          <w:sz w:val="20"/>
          <w:szCs w:val="20"/>
          <w:color w:val="auto"/>
        </w:rPr>
      </w:pPr>
    </w:p>
    <w:p>
      <w:pPr>
        <w:ind w:left="713" w:firstLine="241"/>
        <w:spacing w:after="0" w:line="267" w:lineRule="auto"/>
        <w:rPr>
          <w:sz w:val="20"/>
          <w:szCs w:val="20"/>
          <w:color w:val="auto"/>
        </w:rPr>
      </w:pPr>
      <w:r>
        <w:rPr>
          <w:rFonts w:ascii="Calibri" w:cs="Calibri" w:eastAsia="Calibri" w:hAnsi="Calibri"/>
          <w:sz w:val="18"/>
          <w:szCs w:val="18"/>
          <w:color w:val="auto"/>
        </w:rPr>
        <w:t>Similarly, the San Mateo Credit Facility requires San Mateo to comply with certain financial covenants, including maintaining a specified debt to EBITDA ratio and interest coverage ratio. Lower revenues as a result of less volumes than anticipated, or otherwise, or an increase in interest rates may adversely impact San Mateo’s EBITDA and interest expense, and therefore San Mateo’s ability to comply with these covenants. For a summary of these financial restrictions and other covenants in our Credit Agreement, the San Mateo Credit Facility and the indentures governing our senior notes, see Note 7 to the consolidated financial statements in this Annual Report.</w:t>
      </w:r>
    </w:p>
    <w:p>
      <w:pPr>
        <w:spacing w:after="0" w:line="217" w:lineRule="exact"/>
        <w:rPr>
          <w:sz w:val="20"/>
          <w:szCs w:val="20"/>
          <w:color w:val="auto"/>
        </w:rPr>
      </w:pPr>
    </w:p>
    <w:p>
      <w:pPr>
        <w:ind w:left="713" w:firstLine="241"/>
        <w:spacing w:after="0" w:line="283" w:lineRule="auto"/>
        <w:rPr>
          <w:sz w:val="20"/>
          <w:szCs w:val="20"/>
          <w:color w:val="auto"/>
        </w:rPr>
      </w:pPr>
      <w:r>
        <w:rPr>
          <w:rFonts w:ascii="Calibri" w:cs="Calibri" w:eastAsia="Calibri" w:hAnsi="Calibri"/>
          <w:sz w:val="17"/>
          <w:szCs w:val="17"/>
          <w:color w:val="auto"/>
        </w:rPr>
        <w:t>In addition, a change in control (as defined in the Credit Agreement, the San Mateo Credit Facility and the indentures governing our senior notes) could result in an event of default or prepayment event under the applicable debt instrument, which could have an adverse effect on our business by limiting our ability to take advantage of financing, merger and acquisition, or other opportunities.</w:t>
      </w:r>
    </w:p>
    <w:p>
      <w:pPr>
        <w:spacing w:after="0" w:line="206" w:lineRule="exact"/>
        <w:rPr>
          <w:sz w:val="20"/>
          <w:szCs w:val="20"/>
          <w:color w:val="auto"/>
        </w:rPr>
      </w:pPr>
    </w:p>
    <w:p>
      <w:pPr>
        <w:ind w:left="713" w:firstLine="241"/>
        <w:spacing w:after="0" w:line="267" w:lineRule="auto"/>
        <w:rPr>
          <w:sz w:val="20"/>
          <w:szCs w:val="20"/>
          <w:color w:val="auto"/>
        </w:rPr>
      </w:pPr>
      <w:r>
        <w:rPr>
          <w:rFonts w:ascii="Calibri" w:cs="Calibri" w:eastAsia="Calibri" w:hAnsi="Calibri"/>
          <w:sz w:val="18"/>
          <w:szCs w:val="18"/>
          <w:color w:val="auto"/>
        </w:rPr>
        <w:t>Upon the occurrence of an event of default, all amounts outstanding under the applicable debt agreements could be declared to be immediately due and payable, all applicable commitments to extend further credit could be terminated and the lenders under such debt agreements could seek to foreclose on any liens securing such debt. If indebtedness under our Credit Agreement, the San Mateo Credit Facility or the indentures governing our outstanding senior notes is accelerated, there can be no assurance that we will have sufficient assets to repay such indebtedness. The operating and financial restrictions and covenants in these debt agreements and any future debt agreements could materially adversely affect our ability to finance future operations or capital needs or to engage in other business activities.</w:t>
      </w:r>
    </w:p>
    <w:p>
      <w:pPr>
        <w:spacing w:after="0" w:line="220" w:lineRule="exact"/>
        <w:rPr>
          <w:sz w:val="20"/>
          <w:szCs w:val="20"/>
          <w:color w:val="auto"/>
        </w:rPr>
      </w:pPr>
    </w:p>
    <w:p>
      <w:pPr>
        <w:ind w:left="713" w:right="20"/>
        <w:spacing w:after="0" w:line="252" w:lineRule="auto"/>
        <w:rPr>
          <w:sz w:val="20"/>
          <w:szCs w:val="20"/>
          <w:color w:val="auto"/>
        </w:rPr>
      </w:pPr>
      <w:r>
        <w:rPr>
          <w:rFonts w:ascii="Calibri" w:cs="Calibri" w:eastAsia="Calibri" w:hAnsi="Calibri"/>
          <w:sz w:val="18"/>
          <w:szCs w:val="18"/>
          <w:i w:val="1"/>
          <w:iCs w:val="1"/>
          <w:color w:val="214E93"/>
        </w:rPr>
        <w:t>Our credit rating may be downgraded, which could reduce our financial flexibility, increase interest expense and adversely impact our operations.</w:t>
      </w:r>
    </w:p>
    <w:p>
      <w:pPr>
        <w:spacing w:after="0" w:line="230" w:lineRule="exact"/>
        <w:rPr>
          <w:sz w:val="20"/>
          <w:szCs w:val="20"/>
          <w:color w:val="auto"/>
        </w:rPr>
      </w:pPr>
    </w:p>
    <w:p>
      <w:pPr>
        <w:ind w:left="713" w:right="100" w:firstLine="241"/>
        <w:spacing w:after="0" w:line="267" w:lineRule="auto"/>
        <w:rPr>
          <w:sz w:val="20"/>
          <w:szCs w:val="20"/>
          <w:color w:val="auto"/>
        </w:rPr>
      </w:pPr>
      <w:r>
        <w:rPr>
          <w:rFonts w:ascii="Calibri" w:cs="Calibri" w:eastAsia="Calibri" w:hAnsi="Calibri"/>
          <w:sz w:val="18"/>
          <w:szCs w:val="18"/>
          <w:color w:val="auto"/>
        </w:rPr>
        <w:t>As of February 24, 2026, our corporate credit ratings from S&amp;P Global Ratings, Moody’s Investors Service and Fitch Ratings were “BB-,” “Ba3” and “BB,” respectively. We cannot guarantee you that our credit ratings will remain in effect for any given period of time or that a rating will not be lowered or withdrawn entirely by a rating agency if, in its judgment, circumstances so warrant. For example, in March 2020, our corporate credit ratings from S&amp;P Global Ratings and Moody’s Investors Services were downgraded in connection with a sudden decline in oil prices in early 2020, although those ratings were subsequently upgraded. Any future downgrade could increase the cost of any indebtedness incurred in the future.</w:t>
      </w:r>
    </w:p>
    <w:p>
      <w:pPr>
        <w:sectPr>
          <w:pgSz w:w="11880" w:h="15480" w:orient="portrait"/>
          <w:cols w:equalWidth="0" w:num="1">
            <w:col w:w="10253"/>
          </w:cols>
          <w:pgMar w:left="447" w:top="49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3"/>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53"/>
          </w:cols>
          <w:pgMar w:left="447" w:top="498" w:right="1180" w:bottom="0" w:gutter="0" w:footer="0" w:header="0"/>
          <w:type w:val="continuous"/>
        </w:sectPr>
      </w:pPr>
    </w:p>
    <w:bookmarkStart w:id="66" w:name="page67"/>
    <w:bookmarkEnd w:id="66"/>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53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760" w:firstLine="241"/>
        <w:spacing w:after="0" w:line="266" w:lineRule="auto"/>
        <w:rPr>
          <w:sz w:val="20"/>
          <w:szCs w:val="20"/>
          <w:color w:val="auto"/>
        </w:rPr>
      </w:pPr>
      <w:r>
        <w:rPr>
          <w:rFonts w:ascii="Calibri" w:cs="Calibri" w:eastAsia="Calibri" w:hAnsi="Calibri"/>
          <w:sz w:val="18"/>
          <w:szCs w:val="18"/>
          <w:color w:val="auto"/>
        </w:rPr>
        <w:t>Any increase in our financing costs resulting from a credit rating downgrade could adversely affect our ability to obtain additional financing in the future for working capital, capital expenditures, additional letters of credit or other credit support we may be required to provide to counterparties, acquisitions and general corporate or other purposes. If a credit rating downgrade were to occur at a time when we were experiencing significant working capital requirements or otherwise lacked liquidity, our results of operations could be materially adversely affected.</w:t>
      </w:r>
    </w:p>
    <w:p>
      <w:pPr>
        <w:spacing w:after="0" w:line="218" w:lineRule="exact"/>
        <w:rPr>
          <w:sz w:val="20"/>
          <w:szCs w:val="20"/>
          <w:color w:val="auto"/>
        </w:rPr>
      </w:pPr>
    </w:p>
    <w:p>
      <w:pPr>
        <w:ind w:right="940"/>
        <w:spacing w:after="0" w:line="252" w:lineRule="auto"/>
        <w:rPr>
          <w:sz w:val="20"/>
          <w:szCs w:val="20"/>
          <w:color w:val="auto"/>
        </w:rPr>
      </w:pPr>
      <w:r>
        <w:rPr>
          <w:rFonts w:ascii="Calibri" w:cs="Calibri" w:eastAsia="Calibri" w:hAnsi="Calibri"/>
          <w:sz w:val="18"/>
          <w:szCs w:val="18"/>
          <w:i w:val="1"/>
          <w:iCs w:val="1"/>
          <w:color w:val="214E93"/>
        </w:rPr>
        <w:t>The payment of dividends and the repurchase of shares of our common stock will be at the discretion of our Board of Directors and subject to numerous factors.</w:t>
      </w:r>
    </w:p>
    <w:p>
      <w:pPr>
        <w:spacing w:after="0" w:line="230" w:lineRule="exact"/>
        <w:rPr>
          <w:sz w:val="20"/>
          <w:szCs w:val="20"/>
          <w:color w:val="auto"/>
        </w:rPr>
      </w:pPr>
    </w:p>
    <w:p>
      <w:pPr>
        <w:ind w:right="840" w:firstLine="241"/>
        <w:spacing w:after="0" w:line="268" w:lineRule="auto"/>
        <w:rPr>
          <w:sz w:val="20"/>
          <w:szCs w:val="20"/>
          <w:color w:val="auto"/>
        </w:rPr>
      </w:pPr>
      <w:r>
        <w:rPr>
          <w:rFonts w:ascii="Calibri" w:cs="Calibri" w:eastAsia="Calibri" w:hAnsi="Calibri"/>
          <w:sz w:val="18"/>
          <w:szCs w:val="18"/>
          <w:color w:val="auto"/>
        </w:rPr>
        <w:t>In each of the first, second and third quarters of 2025, our Board declared quarterly cash dividends of $0.3125 per share of common stock. In October 2025, the Board amended our dividend policy to increase the quarterly dividend to $0.375 per share of common stock and also declared a quarterly cash dividend of $0.375 per share of common stock. In February 2026, the Board declared a quarterly cash dividend of $0.375 per share of common stock payable on March 10, 2026 to shareholders of record as of February 27, 2026. We intend to continue to pay a quarterly dividend in the future pursuant to the dividend policy adopted by our Board. However, the payment and amount of future dividend payments, if any, are subject to declaration by our Board. Such payments will depend on, among other things, our available cash, earnings, financial condition, capital requirements, level of indebtedness, stock price, statutory and contractual restrictions applicable to the payment of dividends and other considerations that our Board deems relevant. Cash dividend payments in the future may only be made out of legally available funds, and, if we experience substantial losses, such funds may not be available.</w:t>
      </w:r>
    </w:p>
    <w:p>
      <w:pPr>
        <w:spacing w:after="0" w:line="222" w:lineRule="exact"/>
        <w:rPr>
          <w:sz w:val="20"/>
          <w:szCs w:val="20"/>
          <w:color w:val="auto"/>
        </w:rPr>
      </w:pPr>
    </w:p>
    <w:p>
      <w:pPr>
        <w:ind w:right="720" w:firstLine="241"/>
        <w:spacing w:after="0" w:line="267" w:lineRule="auto"/>
        <w:rPr>
          <w:sz w:val="20"/>
          <w:szCs w:val="20"/>
          <w:color w:val="auto"/>
        </w:rPr>
      </w:pPr>
      <w:r>
        <w:rPr>
          <w:rFonts w:ascii="Calibri" w:cs="Calibri" w:eastAsia="Calibri" w:hAnsi="Calibri"/>
          <w:sz w:val="18"/>
          <w:szCs w:val="18"/>
          <w:color w:val="auto"/>
        </w:rPr>
        <w:t>In April 2025, the Board approved the Share Repurchase Program authorizing the repurchase of up to $400.0 million of common stock. However, the timing and number of shares that we may repurchase under the Share Repurchase Program is subject to a variety of factors, including our stock price, market conditions, trading volume and other uses for our free cash flow. There can be no assurance regarding the exact number of shares to be repurchased by us, if any. Depending on market conditions and other factors, these repurchases may be commenced or suspended at any time or periodically without prior notice, and the Share Repurchase Program does not obligate us to acquire any amount of common stock.</w:t>
      </w:r>
    </w:p>
    <w:p>
      <w:pPr>
        <w:spacing w:after="0" w:line="217" w:lineRule="exact"/>
        <w:rPr>
          <w:sz w:val="20"/>
          <w:szCs w:val="20"/>
          <w:color w:val="auto"/>
        </w:rPr>
      </w:pPr>
    </w:p>
    <w:p>
      <w:pPr>
        <w:ind w:right="720" w:firstLine="241"/>
        <w:spacing w:after="0" w:line="267" w:lineRule="auto"/>
        <w:rPr>
          <w:sz w:val="20"/>
          <w:szCs w:val="20"/>
          <w:color w:val="auto"/>
        </w:rPr>
      </w:pPr>
      <w:r>
        <w:rPr>
          <w:rFonts w:ascii="Calibri" w:cs="Calibri" w:eastAsia="Calibri" w:hAnsi="Calibri"/>
          <w:sz w:val="18"/>
          <w:szCs w:val="18"/>
          <w:color w:val="auto"/>
        </w:rPr>
        <w:t>In addition, certain covenants in our Credit Agreement and the indentures governing our outstanding senior notes may limit our ability to pay dividends or repurchase shares of our common stock. Accordingly, you may have to sell some or all of your common stock in order to generate cash flow from your investment, and there is no guarantee that the price of our common stock will exceed the price you paid. We are under no obligation to make dividend payments on, or repurchase shares of, our common stock and may cease such payments or repurchases at any time in the future. Any elimination of or downward revision in our dividend payout or Share Repurchase Program could have a material adverse effect on our stock price.</w:t>
      </w:r>
    </w:p>
    <w:p>
      <w:pPr>
        <w:spacing w:after="0" w:line="215" w:lineRule="exact"/>
        <w:rPr>
          <w:sz w:val="20"/>
          <w:szCs w:val="20"/>
          <w:color w:val="auto"/>
        </w:rPr>
      </w:pPr>
    </w:p>
    <w:p>
      <w:pPr>
        <w:spacing w:after="0"/>
        <w:rPr>
          <w:sz w:val="20"/>
          <w:szCs w:val="20"/>
          <w:color w:val="auto"/>
        </w:rPr>
      </w:pPr>
      <w:r>
        <w:rPr>
          <w:rFonts w:ascii="Verdana" w:cs="Verdana" w:eastAsia="Verdana" w:hAnsi="Verdana"/>
          <w:sz w:val="20"/>
          <w:szCs w:val="20"/>
          <w:color w:val="214E93"/>
        </w:rPr>
        <w:t>RISKS RELATED TO OUR OPERATIONS</w:t>
      </w:r>
    </w:p>
    <w:p>
      <w:pPr>
        <w:spacing w:after="0" w:line="209" w:lineRule="exact"/>
        <w:rPr>
          <w:sz w:val="20"/>
          <w:szCs w:val="20"/>
          <w:color w:val="auto"/>
        </w:rPr>
      </w:pPr>
    </w:p>
    <w:p>
      <w:pPr>
        <w:ind w:right="840"/>
        <w:spacing w:after="0" w:line="252" w:lineRule="auto"/>
        <w:rPr>
          <w:sz w:val="20"/>
          <w:szCs w:val="20"/>
          <w:color w:val="auto"/>
        </w:rPr>
      </w:pPr>
      <w:r>
        <w:rPr>
          <w:rFonts w:ascii="Calibri" w:cs="Calibri" w:eastAsia="Calibri" w:hAnsi="Calibri"/>
          <w:sz w:val="18"/>
          <w:szCs w:val="18"/>
          <w:i w:val="1"/>
          <w:iCs w:val="1"/>
          <w:color w:val="214E93"/>
        </w:rPr>
        <w:t>Drilling for and producing oil, natural gas and NGLs is highly speculative and involves a high degree of operational and financial risk, with many uncertainties that could adversely affect our business.</w:t>
      </w:r>
    </w:p>
    <w:p>
      <w:pPr>
        <w:spacing w:after="0" w:line="230" w:lineRule="exact"/>
        <w:rPr>
          <w:sz w:val="20"/>
          <w:szCs w:val="20"/>
          <w:color w:val="auto"/>
        </w:rPr>
      </w:pPr>
    </w:p>
    <w:p>
      <w:pPr>
        <w:ind w:right="820" w:firstLine="241"/>
        <w:spacing w:after="0" w:line="269" w:lineRule="auto"/>
        <w:rPr>
          <w:sz w:val="20"/>
          <w:szCs w:val="20"/>
          <w:color w:val="auto"/>
        </w:rPr>
      </w:pPr>
      <w:r>
        <w:rPr>
          <w:rFonts w:ascii="Calibri" w:cs="Calibri" w:eastAsia="Calibri" w:hAnsi="Calibri"/>
          <w:sz w:val="18"/>
          <w:szCs w:val="18"/>
          <w:color w:val="auto"/>
        </w:rPr>
        <w:t>Exploring for and developing hydrocarbon reserves involves a high degree of operational and financial risk, which precludes us from definitively predicting the costs involved and time required to reach certain objectives. Our drilling locations are in various stages of evaluation, ranging from locations that are ready to drill to locations that will require substantial additional interpretation and approvals before they can be drilled. The budgeted costs of planning, drilling, completing and operating wells may be exceeded and such costs can increase significantly due to various complications that may arise during drilling, completion and operation. Before a well is spud, we may incur significant geological, geophysical and land costs, including seismic acquisition costs, which are incurred whether or not a well eventually produces commercial quantities of hydrocarbons, or is drilled at all. Exploration wells could bear a much greater risk of loss than development wells. The analogies we draw from available data from other wells, more fully explored locations or producing fields may not be applicable to our drilling locations. If our actual drilling and development costs are significantly more than our estimated costs, we may not be able to continue our operations as proposed and could be forced to modify our drilling plans accordingly.</w:t>
      </w:r>
    </w:p>
    <w:p>
      <w:pPr>
        <w:spacing w:after="0" w:line="214" w:lineRule="exact"/>
        <w:rPr>
          <w:sz w:val="20"/>
          <w:szCs w:val="20"/>
          <w:color w:val="auto"/>
        </w:rPr>
      </w:pPr>
    </w:p>
    <w:p>
      <w:pPr>
        <w:ind w:right="780" w:firstLine="241"/>
        <w:spacing w:after="0" w:line="283" w:lineRule="auto"/>
        <w:rPr>
          <w:sz w:val="20"/>
          <w:szCs w:val="20"/>
          <w:color w:val="auto"/>
        </w:rPr>
      </w:pPr>
      <w:r>
        <w:rPr>
          <w:rFonts w:ascii="Calibri" w:cs="Calibri" w:eastAsia="Calibri" w:hAnsi="Calibri"/>
          <w:sz w:val="17"/>
          <w:szCs w:val="17"/>
          <w:color w:val="auto"/>
        </w:rPr>
        <w:t>If we decide to drill a certain location, there is a risk that no commercially productive oil or natural gas reservoirs will be found or produced. We may drill or participate in new wells that are not productive. We may drill or participate in wells that are productive, but that do not produce sufficient net revenues to return a profit after drilling, operating and other costs. There is no way to</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374" w:lineRule="exact"/>
        <w:rPr>
          <w:sz w:val="20"/>
          <w:szCs w:val="20"/>
          <w:color w:val="auto"/>
        </w:rPr>
      </w:pPr>
    </w:p>
    <w:p>
      <w:pPr>
        <w:ind w:left="892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1160" w:top="498" w:right="440" w:bottom="0" w:gutter="0" w:footer="0" w:header="0"/>
          <w:type w:val="continuous"/>
        </w:sectPr>
      </w:pPr>
    </w:p>
    <w:bookmarkStart w:id="67" w:name="page68"/>
    <w:bookmarkEnd w:id="67"/>
    <w:p>
      <w:pPr>
        <w:spacing w:after="0"/>
        <w:tabs>
          <w:tab w:leader="none" w:pos="740" w:val="left"/>
        </w:tabs>
        <w:rPr>
          <w:sz w:val="20"/>
          <w:szCs w:val="20"/>
          <w:color w:val="auto"/>
        </w:rPr>
      </w:pPr>
      <w:r>
        <w:rPr>
          <w:rFonts w:ascii="Calibri" w:cs="Calibri" w:eastAsia="Calibri" w:hAnsi="Calibri"/>
          <w:sz w:val="18"/>
          <w:szCs w:val="18"/>
          <w:color w:val="auto"/>
        </w:rPr>
        <w:t>54</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20" w:right="160"/>
        <w:spacing w:after="0" w:line="266" w:lineRule="auto"/>
        <w:rPr>
          <w:sz w:val="20"/>
          <w:szCs w:val="20"/>
          <w:color w:val="auto"/>
        </w:rPr>
      </w:pPr>
      <w:r>
        <w:rPr>
          <w:rFonts w:ascii="Calibri" w:cs="Calibri" w:eastAsia="Calibri" w:hAnsi="Calibri"/>
          <w:sz w:val="18"/>
          <w:szCs w:val="18"/>
          <w:color w:val="auto"/>
        </w:rPr>
        <w:t>affirmatively determine in advance of drilling and testing whether any particular location will yield oil or natural gas in sufficient quantities to recover exploration, drilling and completion costs or to be economically viable. Even if sufficient amounts of oil or natural gas exist, we may damage the potentially productive hydrocarbon-bearing formation or experience mechanical difficulties while drilling or completing the well, resulting in a reduction in production and reserves from, or abandonment of, the well. The productivity and profitability of a well may be negatively affected by a number of additional factors, including:</w:t>
      </w:r>
    </w:p>
    <w:p>
      <w:pPr>
        <w:spacing w:after="0" w:line="201" w:lineRule="exact"/>
        <w:rPr>
          <w:sz w:val="20"/>
          <w:szCs w:val="20"/>
          <w:color w:val="auto"/>
        </w:rPr>
      </w:pPr>
    </w:p>
    <w:p>
      <w:pPr>
        <w:ind w:left="1420" w:hanging="349"/>
        <w:spacing w:after="0"/>
        <w:tabs>
          <w:tab w:leader="none" w:pos="1420" w:val="left"/>
        </w:tabs>
        <w:numPr>
          <w:ilvl w:val="0"/>
          <w:numId w:val="55"/>
        </w:numPr>
        <w:rPr>
          <w:rFonts w:ascii="Calibri" w:cs="Calibri" w:eastAsia="Calibri" w:hAnsi="Calibri"/>
          <w:sz w:val="18"/>
          <w:szCs w:val="18"/>
          <w:color w:val="auto"/>
        </w:rPr>
      </w:pPr>
      <w:r>
        <w:rPr>
          <w:rFonts w:ascii="Calibri" w:cs="Calibri" w:eastAsia="Calibri" w:hAnsi="Calibri"/>
          <w:sz w:val="18"/>
          <w:szCs w:val="18"/>
          <w:color w:val="auto"/>
        </w:rPr>
        <w:t>general economic and industry conditions, including the prices received for oil and natural gas;</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55"/>
        </w:numPr>
        <w:rPr>
          <w:rFonts w:ascii="Calibri" w:cs="Calibri" w:eastAsia="Calibri" w:hAnsi="Calibri"/>
          <w:sz w:val="18"/>
          <w:szCs w:val="18"/>
          <w:color w:val="auto"/>
        </w:rPr>
      </w:pPr>
      <w:r>
        <w:rPr>
          <w:rFonts w:ascii="Calibri" w:cs="Calibri" w:eastAsia="Calibri" w:hAnsi="Calibri"/>
          <w:sz w:val="18"/>
          <w:szCs w:val="18"/>
          <w:color w:val="auto"/>
        </w:rPr>
        <w:t>shortages of, or delays in, obtaining equipment, including hydraulic fracturing equipment, and qualified personnel;</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55"/>
        </w:numPr>
        <w:rPr>
          <w:rFonts w:ascii="Calibri" w:cs="Calibri" w:eastAsia="Calibri" w:hAnsi="Calibri"/>
          <w:sz w:val="18"/>
          <w:szCs w:val="18"/>
          <w:color w:val="auto"/>
        </w:rPr>
      </w:pPr>
      <w:r>
        <w:rPr>
          <w:rFonts w:ascii="Calibri" w:cs="Calibri" w:eastAsia="Calibri" w:hAnsi="Calibri"/>
          <w:sz w:val="18"/>
          <w:szCs w:val="18"/>
          <w:color w:val="auto"/>
        </w:rPr>
        <w:t>limited access to electrical power sources or other infrastructure used in our operations;</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55"/>
        </w:numPr>
        <w:rPr>
          <w:rFonts w:ascii="Calibri" w:cs="Calibri" w:eastAsia="Calibri" w:hAnsi="Calibri"/>
          <w:sz w:val="18"/>
          <w:szCs w:val="18"/>
          <w:color w:val="auto"/>
        </w:rPr>
      </w:pPr>
      <w:r>
        <w:rPr>
          <w:rFonts w:ascii="Calibri" w:cs="Calibri" w:eastAsia="Calibri" w:hAnsi="Calibri"/>
          <w:sz w:val="18"/>
          <w:szCs w:val="18"/>
          <w:color w:val="auto"/>
        </w:rPr>
        <w:t>potential drainage of oil and natural gas from our properties by operations on adjacent properties;</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55"/>
        </w:numPr>
        <w:rPr>
          <w:rFonts w:ascii="Calibri" w:cs="Calibri" w:eastAsia="Calibri" w:hAnsi="Calibri"/>
          <w:sz w:val="18"/>
          <w:szCs w:val="18"/>
          <w:color w:val="auto"/>
        </w:rPr>
      </w:pPr>
      <w:r>
        <w:rPr>
          <w:rFonts w:ascii="Calibri" w:cs="Calibri" w:eastAsia="Calibri" w:hAnsi="Calibri"/>
          <w:sz w:val="18"/>
          <w:szCs w:val="18"/>
          <w:color w:val="auto"/>
        </w:rPr>
        <w:t>the existence or magnitude of faults or unanticipated geological features;</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55"/>
        </w:numPr>
        <w:rPr>
          <w:rFonts w:ascii="Calibri" w:cs="Calibri" w:eastAsia="Calibri" w:hAnsi="Calibri"/>
          <w:sz w:val="18"/>
          <w:szCs w:val="18"/>
          <w:color w:val="auto"/>
        </w:rPr>
      </w:pPr>
      <w:r>
        <w:rPr>
          <w:rFonts w:ascii="Calibri" w:cs="Calibri" w:eastAsia="Calibri" w:hAnsi="Calibri"/>
          <w:sz w:val="18"/>
          <w:szCs w:val="18"/>
          <w:color w:val="auto"/>
        </w:rPr>
        <w:t>loss of or damage to oilfield development and service tools;</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55"/>
        </w:numPr>
        <w:rPr>
          <w:rFonts w:ascii="Calibri" w:cs="Calibri" w:eastAsia="Calibri" w:hAnsi="Calibri"/>
          <w:sz w:val="18"/>
          <w:szCs w:val="18"/>
          <w:color w:val="auto"/>
        </w:rPr>
      </w:pPr>
      <w:r>
        <w:rPr>
          <w:rFonts w:ascii="Calibri" w:cs="Calibri" w:eastAsia="Calibri" w:hAnsi="Calibri"/>
          <w:sz w:val="18"/>
          <w:szCs w:val="18"/>
          <w:color w:val="auto"/>
        </w:rPr>
        <w:t>accidents, equipment failures or mechanical problems;</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55"/>
        </w:numPr>
        <w:rPr>
          <w:rFonts w:ascii="Calibri" w:cs="Calibri" w:eastAsia="Calibri" w:hAnsi="Calibri"/>
          <w:sz w:val="18"/>
          <w:szCs w:val="18"/>
          <w:color w:val="auto"/>
        </w:rPr>
      </w:pPr>
      <w:r>
        <w:rPr>
          <w:rFonts w:ascii="Calibri" w:cs="Calibri" w:eastAsia="Calibri" w:hAnsi="Calibri"/>
          <w:sz w:val="18"/>
          <w:szCs w:val="18"/>
          <w:color w:val="auto"/>
        </w:rPr>
        <w:t>title defects of the underlying properties;</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55"/>
        </w:numPr>
        <w:rPr>
          <w:rFonts w:ascii="Calibri" w:cs="Calibri" w:eastAsia="Calibri" w:hAnsi="Calibri"/>
          <w:sz w:val="18"/>
          <w:szCs w:val="18"/>
          <w:color w:val="auto"/>
        </w:rPr>
      </w:pPr>
      <w:r>
        <w:rPr>
          <w:rFonts w:ascii="Calibri" w:cs="Calibri" w:eastAsia="Calibri" w:hAnsi="Calibri"/>
          <w:sz w:val="18"/>
          <w:szCs w:val="18"/>
          <w:color w:val="auto"/>
        </w:rPr>
        <w:t>increases in severance taxes;</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55"/>
        </w:numPr>
        <w:rPr>
          <w:rFonts w:ascii="Calibri" w:cs="Calibri" w:eastAsia="Calibri" w:hAnsi="Calibri"/>
          <w:sz w:val="18"/>
          <w:szCs w:val="18"/>
          <w:color w:val="auto"/>
        </w:rPr>
      </w:pPr>
      <w:r>
        <w:rPr>
          <w:rFonts w:ascii="Calibri" w:cs="Calibri" w:eastAsia="Calibri" w:hAnsi="Calibri"/>
          <w:sz w:val="18"/>
          <w:szCs w:val="18"/>
          <w:color w:val="auto"/>
        </w:rPr>
        <w:t>adverse weather conditions that delay drilling activities or cause producing wells to be shut in;</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55"/>
        </w:numPr>
        <w:rPr>
          <w:rFonts w:ascii="Calibri" w:cs="Calibri" w:eastAsia="Calibri" w:hAnsi="Calibri"/>
          <w:sz w:val="18"/>
          <w:szCs w:val="18"/>
          <w:color w:val="auto"/>
        </w:rPr>
      </w:pPr>
      <w:r>
        <w:rPr>
          <w:rFonts w:ascii="Calibri" w:cs="Calibri" w:eastAsia="Calibri" w:hAnsi="Calibri"/>
          <w:sz w:val="18"/>
          <w:szCs w:val="18"/>
          <w:color w:val="auto"/>
        </w:rPr>
        <w:t>inflation in exploration, drilling, completion and production costs;</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55"/>
        </w:numPr>
        <w:rPr>
          <w:rFonts w:ascii="Calibri" w:cs="Calibri" w:eastAsia="Calibri" w:hAnsi="Calibri"/>
          <w:sz w:val="18"/>
          <w:szCs w:val="18"/>
          <w:color w:val="auto"/>
        </w:rPr>
      </w:pPr>
      <w:r>
        <w:rPr>
          <w:rFonts w:ascii="Calibri" w:cs="Calibri" w:eastAsia="Calibri" w:hAnsi="Calibri"/>
          <w:sz w:val="18"/>
          <w:szCs w:val="18"/>
          <w:color w:val="auto"/>
        </w:rPr>
        <w:t>domestic and foreign governmental regulations; and</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55"/>
        </w:numPr>
        <w:rPr>
          <w:rFonts w:ascii="Calibri" w:cs="Calibri" w:eastAsia="Calibri" w:hAnsi="Calibri"/>
          <w:sz w:val="18"/>
          <w:szCs w:val="18"/>
          <w:color w:val="auto"/>
        </w:rPr>
      </w:pPr>
      <w:r>
        <w:rPr>
          <w:rFonts w:ascii="Calibri" w:cs="Calibri" w:eastAsia="Calibri" w:hAnsi="Calibri"/>
          <w:sz w:val="18"/>
          <w:szCs w:val="18"/>
          <w:color w:val="auto"/>
        </w:rPr>
        <w:t>proximity to and capacity of gathering, processing, transportation and disposal facilities.</w:t>
      </w:r>
    </w:p>
    <w:p>
      <w:pPr>
        <w:spacing w:after="0" w:line="241" w:lineRule="exact"/>
        <w:rPr>
          <w:sz w:val="20"/>
          <w:szCs w:val="20"/>
          <w:color w:val="auto"/>
        </w:rPr>
      </w:pPr>
    </w:p>
    <w:p>
      <w:pPr>
        <w:ind w:left="720" w:right="260" w:firstLine="241"/>
        <w:spacing w:after="0" w:line="281" w:lineRule="auto"/>
        <w:rPr>
          <w:sz w:val="20"/>
          <w:szCs w:val="20"/>
          <w:color w:val="auto"/>
        </w:rPr>
      </w:pPr>
      <w:r>
        <w:rPr>
          <w:rFonts w:ascii="Calibri" w:cs="Calibri" w:eastAsia="Calibri" w:hAnsi="Calibri"/>
          <w:sz w:val="17"/>
          <w:szCs w:val="17"/>
          <w:color w:val="auto"/>
        </w:rPr>
        <w:t>Furthermore, our exploration and production operations involve using some of the latest drilling and completion techniques developed by us, other operators and service providers. Risks that we face while drilling and completing horizontal wells include:</w:t>
      </w:r>
    </w:p>
    <w:p>
      <w:pPr>
        <w:spacing w:after="0" w:line="189" w:lineRule="exact"/>
        <w:rPr>
          <w:sz w:val="20"/>
          <w:szCs w:val="20"/>
          <w:color w:val="auto"/>
        </w:rPr>
      </w:pPr>
    </w:p>
    <w:p>
      <w:pPr>
        <w:ind w:left="1420" w:hanging="349"/>
        <w:spacing w:after="0"/>
        <w:tabs>
          <w:tab w:leader="none" w:pos="1420" w:val="left"/>
        </w:tabs>
        <w:numPr>
          <w:ilvl w:val="0"/>
          <w:numId w:val="56"/>
        </w:numPr>
        <w:rPr>
          <w:rFonts w:ascii="Calibri" w:cs="Calibri" w:eastAsia="Calibri" w:hAnsi="Calibri"/>
          <w:sz w:val="18"/>
          <w:szCs w:val="18"/>
          <w:color w:val="auto"/>
        </w:rPr>
      </w:pPr>
      <w:r>
        <w:rPr>
          <w:rFonts w:ascii="Calibri" w:cs="Calibri" w:eastAsia="Calibri" w:hAnsi="Calibri"/>
          <w:sz w:val="18"/>
          <w:szCs w:val="18"/>
          <w:color w:val="auto"/>
        </w:rPr>
        <w:t>landing our wellbore in the desired drilling zone;</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56"/>
        </w:numPr>
        <w:rPr>
          <w:rFonts w:ascii="Calibri" w:cs="Calibri" w:eastAsia="Calibri" w:hAnsi="Calibri"/>
          <w:sz w:val="18"/>
          <w:szCs w:val="18"/>
          <w:color w:val="auto"/>
        </w:rPr>
      </w:pPr>
      <w:r>
        <w:rPr>
          <w:rFonts w:ascii="Calibri" w:cs="Calibri" w:eastAsia="Calibri" w:hAnsi="Calibri"/>
          <w:sz w:val="18"/>
          <w:szCs w:val="18"/>
          <w:color w:val="auto"/>
        </w:rPr>
        <w:t>staying in the desired drilling zone while drilling horizontally through the formation;</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56"/>
        </w:numPr>
        <w:rPr>
          <w:rFonts w:ascii="Calibri" w:cs="Calibri" w:eastAsia="Calibri" w:hAnsi="Calibri"/>
          <w:sz w:val="18"/>
          <w:szCs w:val="18"/>
          <w:color w:val="auto"/>
        </w:rPr>
      </w:pPr>
      <w:r>
        <w:rPr>
          <w:rFonts w:ascii="Calibri" w:cs="Calibri" w:eastAsia="Calibri" w:hAnsi="Calibri"/>
          <w:sz w:val="18"/>
          <w:szCs w:val="18"/>
          <w:color w:val="auto"/>
        </w:rPr>
        <w:t>running our casing the entire length of the wellbore;</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56"/>
        </w:numPr>
        <w:rPr>
          <w:rFonts w:ascii="Calibri" w:cs="Calibri" w:eastAsia="Calibri" w:hAnsi="Calibri"/>
          <w:sz w:val="18"/>
          <w:szCs w:val="18"/>
          <w:color w:val="auto"/>
        </w:rPr>
      </w:pPr>
      <w:r>
        <w:rPr>
          <w:rFonts w:ascii="Calibri" w:cs="Calibri" w:eastAsia="Calibri" w:hAnsi="Calibri"/>
          <w:sz w:val="18"/>
          <w:szCs w:val="18"/>
          <w:color w:val="auto"/>
        </w:rPr>
        <w:t>fracture stimulating the planned number of stages;</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56"/>
        </w:numPr>
        <w:rPr>
          <w:rFonts w:ascii="Calibri" w:cs="Calibri" w:eastAsia="Calibri" w:hAnsi="Calibri"/>
          <w:sz w:val="18"/>
          <w:szCs w:val="18"/>
          <w:color w:val="auto"/>
        </w:rPr>
      </w:pPr>
      <w:r>
        <w:rPr>
          <w:rFonts w:ascii="Calibri" w:cs="Calibri" w:eastAsia="Calibri" w:hAnsi="Calibri"/>
          <w:sz w:val="18"/>
          <w:szCs w:val="18"/>
          <w:color w:val="auto"/>
        </w:rPr>
        <w:t>drilling out the plugs between stages following hydraulic fracturing operations; and</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56"/>
        </w:numPr>
        <w:rPr>
          <w:rFonts w:ascii="Calibri" w:cs="Calibri" w:eastAsia="Calibri" w:hAnsi="Calibri"/>
          <w:sz w:val="18"/>
          <w:szCs w:val="18"/>
          <w:color w:val="auto"/>
        </w:rPr>
      </w:pPr>
      <w:r>
        <w:rPr>
          <w:rFonts w:ascii="Calibri" w:cs="Calibri" w:eastAsia="Calibri" w:hAnsi="Calibri"/>
          <w:sz w:val="18"/>
          <w:szCs w:val="18"/>
          <w:color w:val="auto"/>
        </w:rPr>
        <w:t>being able to run tools and other equipment consistently through the horizontal wellbore.</w:t>
      </w:r>
    </w:p>
    <w:p>
      <w:pPr>
        <w:spacing w:after="0" w:line="241" w:lineRule="exact"/>
        <w:rPr>
          <w:sz w:val="20"/>
          <w:szCs w:val="20"/>
          <w:color w:val="auto"/>
        </w:rPr>
      </w:pPr>
    </w:p>
    <w:p>
      <w:pPr>
        <w:ind w:left="720" w:firstLine="241"/>
        <w:spacing w:after="0" w:line="261" w:lineRule="auto"/>
        <w:rPr>
          <w:sz w:val="20"/>
          <w:szCs w:val="20"/>
          <w:color w:val="auto"/>
        </w:rPr>
      </w:pPr>
      <w:r>
        <w:rPr>
          <w:rFonts w:ascii="Calibri" w:cs="Calibri" w:eastAsia="Calibri" w:hAnsi="Calibri"/>
          <w:sz w:val="18"/>
          <w:szCs w:val="18"/>
          <w:color w:val="auto"/>
        </w:rPr>
        <w:t>Each of these risks is magnified in wells with longer laterals. In 2025, the average completed lateral length for operated wells turned to sales was approximately 10,400 feet. If we do not drill productive and profitable wells in the future, our business, financial condition, results of operations, cash flows and reserves could be materially and adversely affected.</w:t>
      </w:r>
    </w:p>
    <w:p>
      <w:pPr>
        <w:spacing w:after="0" w:line="206" w:lineRule="exact"/>
        <w:rPr>
          <w:sz w:val="20"/>
          <w:szCs w:val="20"/>
          <w:color w:val="auto"/>
        </w:rPr>
      </w:pPr>
    </w:p>
    <w:p>
      <w:pPr>
        <w:ind w:left="720"/>
        <w:spacing w:after="0"/>
        <w:rPr>
          <w:sz w:val="20"/>
          <w:szCs w:val="20"/>
          <w:color w:val="auto"/>
        </w:rPr>
      </w:pPr>
      <w:r>
        <w:rPr>
          <w:rFonts w:ascii="Calibri" w:cs="Calibri" w:eastAsia="Calibri" w:hAnsi="Calibri"/>
          <w:sz w:val="18"/>
          <w:szCs w:val="18"/>
          <w:i w:val="1"/>
          <w:iCs w:val="1"/>
          <w:color w:val="214E93"/>
        </w:rPr>
        <w:t>Our operations are subject to operational hazards and risks, which could result in significant damages and the loss of revenue.</w:t>
      </w:r>
    </w:p>
    <w:p>
      <w:pPr>
        <w:spacing w:after="0" w:line="241" w:lineRule="exact"/>
        <w:rPr>
          <w:sz w:val="20"/>
          <w:szCs w:val="20"/>
          <w:color w:val="auto"/>
        </w:rPr>
      </w:pPr>
    </w:p>
    <w:p>
      <w:pPr>
        <w:ind w:left="720" w:right="540" w:firstLine="241"/>
        <w:spacing w:after="0" w:line="252" w:lineRule="auto"/>
        <w:rPr>
          <w:sz w:val="20"/>
          <w:szCs w:val="20"/>
          <w:color w:val="auto"/>
        </w:rPr>
      </w:pPr>
      <w:r>
        <w:rPr>
          <w:rFonts w:ascii="Calibri" w:cs="Calibri" w:eastAsia="Calibri" w:hAnsi="Calibri"/>
          <w:sz w:val="18"/>
          <w:szCs w:val="18"/>
          <w:color w:val="auto"/>
        </w:rPr>
        <w:t>There are numerous operational hazards inherent in oil and natural gas exploration, development, production, gathering, transportation and processing, including:</w:t>
      </w:r>
    </w:p>
    <w:p>
      <w:pPr>
        <w:spacing w:after="0" w:line="213" w:lineRule="exact"/>
        <w:rPr>
          <w:sz w:val="20"/>
          <w:szCs w:val="20"/>
          <w:color w:val="auto"/>
        </w:rPr>
      </w:pPr>
    </w:p>
    <w:p>
      <w:pPr>
        <w:ind w:left="1420" w:hanging="349"/>
        <w:spacing w:after="0"/>
        <w:tabs>
          <w:tab w:leader="none" w:pos="1420" w:val="left"/>
        </w:tabs>
        <w:numPr>
          <w:ilvl w:val="0"/>
          <w:numId w:val="57"/>
        </w:numPr>
        <w:rPr>
          <w:rFonts w:ascii="Calibri" w:cs="Calibri" w:eastAsia="Calibri" w:hAnsi="Calibri"/>
          <w:sz w:val="18"/>
          <w:szCs w:val="18"/>
          <w:color w:val="auto"/>
        </w:rPr>
      </w:pPr>
      <w:r>
        <w:rPr>
          <w:rFonts w:ascii="Calibri" w:cs="Calibri" w:eastAsia="Calibri" w:hAnsi="Calibri"/>
          <w:sz w:val="18"/>
          <w:szCs w:val="18"/>
          <w:color w:val="auto"/>
        </w:rPr>
        <w:t>natural disasters;</w:t>
      </w:r>
    </w:p>
    <w:p>
      <w:pPr>
        <w:sectPr>
          <w:pgSz w:w="11880" w:h="15480" w:orient="portrait"/>
          <w:cols w:equalWidth="0" w:num="1">
            <w:col w:w="10220"/>
          </w:cols>
          <w:pgMar w:left="440" w:top="498"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20"/>
          </w:cols>
          <w:pgMar w:left="440" w:top="498" w:right="1220" w:bottom="0" w:gutter="0" w:footer="0" w:header="0"/>
          <w:type w:val="continuous"/>
        </w:sectPr>
      </w:pPr>
    </w:p>
    <w:bookmarkStart w:id="68" w:name="page69"/>
    <w:bookmarkEnd w:id="68"/>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55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00" w:right="1240" w:hanging="349"/>
        <w:spacing w:after="0" w:line="252" w:lineRule="auto"/>
        <w:tabs>
          <w:tab w:leader="none" w:pos="700" w:val="left"/>
        </w:tabs>
        <w:numPr>
          <w:ilvl w:val="0"/>
          <w:numId w:val="58"/>
        </w:numPr>
        <w:rPr>
          <w:rFonts w:ascii="Calibri" w:cs="Calibri" w:eastAsia="Calibri" w:hAnsi="Calibri"/>
          <w:sz w:val="18"/>
          <w:szCs w:val="18"/>
          <w:color w:val="auto"/>
        </w:rPr>
      </w:pPr>
      <w:r>
        <w:rPr>
          <w:rFonts w:ascii="Calibri" w:cs="Calibri" w:eastAsia="Calibri" w:hAnsi="Calibri"/>
          <w:sz w:val="18"/>
          <w:szCs w:val="18"/>
          <w:color w:val="auto"/>
        </w:rPr>
        <w:t>adverse weather conditions, including floods, fires, tornadoes, droughts, hurricanes, tropical storms and severe cold weather;</w:t>
      </w:r>
    </w:p>
    <w:p>
      <w:pPr>
        <w:spacing w:after="0" w:line="213" w:lineRule="exact"/>
        <w:rPr>
          <w:rFonts w:ascii="Calibri" w:cs="Calibri" w:eastAsia="Calibri" w:hAnsi="Calibri"/>
          <w:sz w:val="18"/>
          <w:szCs w:val="18"/>
          <w:color w:val="auto"/>
        </w:rPr>
      </w:pPr>
    </w:p>
    <w:p>
      <w:pPr>
        <w:ind w:left="700" w:hanging="349"/>
        <w:spacing w:after="0"/>
        <w:tabs>
          <w:tab w:leader="none" w:pos="700" w:val="left"/>
        </w:tabs>
        <w:numPr>
          <w:ilvl w:val="0"/>
          <w:numId w:val="58"/>
        </w:numPr>
        <w:rPr>
          <w:rFonts w:ascii="Calibri" w:cs="Calibri" w:eastAsia="Calibri" w:hAnsi="Calibri"/>
          <w:sz w:val="18"/>
          <w:szCs w:val="18"/>
          <w:color w:val="auto"/>
        </w:rPr>
      </w:pPr>
      <w:r>
        <w:rPr>
          <w:rFonts w:ascii="Calibri" w:cs="Calibri" w:eastAsia="Calibri" w:hAnsi="Calibri"/>
          <w:sz w:val="18"/>
          <w:szCs w:val="18"/>
          <w:color w:val="auto"/>
        </w:rPr>
        <w:t>loss of drilling fluid circulation;</w:t>
      </w:r>
    </w:p>
    <w:p>
      <w:pPr>
        <w:spacing w:after="0" w:line="223" w:lineRule="exact"/>
        <w:rPr>
          <w:rFonts w:ascii="Calibri" w:cs="Calibri" w:eastAsia="Calibri" w:hAnsi="Calibri"/>
          <w:sz w:val="18"/>
          <w:szCs w:val="18"/>
          <w:color w:val="auto"/>
        </w:rPr>
      </w:pPr>
    </w:p>
    <w:p>
      <w:pPr>
        <w:ind w:left="700" w:hanging="349"/>
        <w:spacing w:after="0"/>
        <w:tabs>
          <w:tab w:leader="none" w:pos="700" w:val="left"/>
        </w:tabs>
        <w:numPr>
          <w:ilvl w:val="0"/>
          <w:numId w:val="58"/>
        </w:numPr>
        <w:rPr>
          <w:rFonts w:ascii="Calibri" w:cs="Calibri" w:eastAsia="Calibri" w:hAnsi="Calibri"/>
          <w:sz w:val="18"/>
          <w:szCs w:val="18"/>
          <w:color w:val="auto"/>
        </w:rPr>
      </w:pPr>
      <w:r>
        <w:rPr>
          <w:rFonts w:ascii="Calibri" w:cs="Calibri" w:eastAsia="Calibri" w:hAnsi="Calibri"/>
          <w:sz w:val="18"/>
          <w:szCs w:val="18"/>
          <w:color w:val="auto"/>
        </w:rPr>
        <w:t>blowouts where oil or natural gas flows uncontrolled at a wellhead;</w:t>
      </w:r>
    </w:p>
    <w:p>
      <w:pPr>
        <w:spacing w:after="0" w:line="223" w:lineRule="exact"/>
        <w:rPr>
          <w:rFonts w:ascii="Calibri" w:cs="Calibri" w:eastAsia="Calibri" w:hAnsi="Calibri"/>
          <w:sz w:val="18"/>
          <w:szCs w:val="18"/>
          <w:color w:val="auto"/>
        </w:rPr>
      </w:pPr>
    </w:p>
    <w:p>
      <w:pPr>
        <w:ind w:left="700" w:hanging="349"/>
        <w:spacing w:after="0"/>
        <w:tabs>
          <w:tab w:leader="none" w:pos="700" w:val="left"/>
        </w:tabs>
        <w:numPr>
          <w:ilvl w:val="0"/>
          <w:numId w:val="58"/>
        </w:numPr>
        <w:rPr>
          <w:rFonts w:ascii="Calibri" w:cs="Calibri" w:eastAsia="Calibri" w:hAnsi="Calibri"/>
          <w:sz w:val="18"/>
          <w:szCs w:val="18"/>
          <w:color w:val="auto"/>
        </w:rPr>
      </w:pPr>
      <w:r>
        <w:rPr>
          <w:rFonts w:ascii="Calibri" w:cs="Calibri" w:eastAsia="Calibri" w:hAnsi="Calibri"/>
          <w:sz w:val="18"/>
          <w:szCs w:val="18"/>
          <w:color w:val="auto"/>
        </w:rPr>
        <w:t>cratering or collapse of the formation;</w:t>
      </w:r>
    </w:p>
    <w:p>
      <w:pPr>
        <w:spacing w:after="0" w:line="223" w:lineRule="exact"/>
        <w:rPr>
          <w:rFonts w:ascii="Calibri" w:cs="Calibri" w:eastAsia="Calibri" w:hAnsi="Calibri"/>
          <w:sz w:val="18"/>
          <w:szCs w:val="18"/>
          <w:color w:val="auto"/>
        </w:rPr>
      </w:pPr>
    </w:p>
    <w:p>
      <w:pPr>
        <w:ind w:left="700" w:hanging="349"/>
        <w:spacing w:after="0"/>
        <w:tabs>
          <w:tab w:leader="none" w:pos="700" w:val="left"/>
        </w:tabs>
        <w:numPr>
          <w:ilvl w:val="0"/>
          <w:numId w:val="58"/>
        </w:numPr>
        <w:rPr>
          <w:rFonts w:ascii="Calibri" w:cs="Calibri" w:eastAsia="Calibri" w:hAnsi="Calibri"/>
          <w:sz w:val="18"/>
          <w:szCs w:val="18"/>
          <w:color w:val="auto"/>
        </w:rPr>
      </w:pPr>
      <w:r>
        <w:rPr>
          <w:rFonts w:ascii="Calibri" w:cs="Calibri" w:eastAsia="Calibri" w:hAnsi="Calibri"/>
          <w:sz w:val="18"/>
          <w:szCs w:val="18"/>
          <w:color w:val="auto"/>
        </w:rPr>
        <w:t>pipe or cement leaks, failures or casing collapses;</w:t>
      </w:r>
    </w:p>
    <w:p>
      <w:pPr>
        <w:spacing w:after="0" w:line="223" w:lineRule="exact"/>
        <w:rPr>
          <w:rFonts w:ascii="Calibri" w:cs="Calibri" w:eastAsia="Calibri" w:hAnsi="Calibri"/>
          <w:sz w:val="18"/>
          <w:szCs w:val="18"/>
          <w:color w:val="auto"/>
        </w:rPr>
      </w:pPr>
    </w:p>
    <w:p>
      <w:pPr>
        <w:ind w:left="700" w:hanging="349"/>
        <w:spacing w:after="0"/>
        <w:tabs>
          <w:tab w:leader="none" w:pos="700" w:val="left"/>
        </w:tabs>
        <w:numPr>
          <w:ilvl w:val="0"/>
          <w:numId w:val="58"/>
        </w:numPr>
        <w:rPr>
          <w:rFonts w:ascii="Calibri" w:cs="Calibri" w:eastAsia="Calibri" w:hAnsi="Calibri"/>
          <w:sz w:val="18"/>
          <w:szCs w:val="18"/>
          <w:color w:val="auto"/>
        </w:rPr>
      </w:pPr>
      <w:r>
        <w:rPr>
          <w:rFonts w:ascii="Calibri" w:cs="Calibri" w:eastAsia="Calibri" w:hAnsi="Calibri"/>
          <w:sz w:val="18"/>
          <w:szCs w:val="18"/>
          <w:color w:val="auto"/>
        </w:rPr>
        <w:t>damage to pipelines, processing plants and disposal wells and associated facilities;</w:t>
      </w:r>
    </w:p>
    <w:p>
      <w:pPr>
        <w:spacing w:after="0" w:line="223" w:lineRule="exact"/>
        <w:rPr>
          <w:rFonts w:ascii="Calibri" w:cs="Calibri" w:eastAsia="Calibri" w:hAnsi="Calibri"/>
          <w:sz w:val="18"/>
          <w:szCs w:val="18"/>
          <w:color w:val="auto"/>
        </w:rPr>
      </w:pPr>
    </w:p>
    <w:p>
      <w:pPr>
        <w:ind w:left="700" w:hanging="349"/>
        <w:spacing w:after="0"/>
        <w:tabs>
          <w:tab w:leader="none" w:pos="700" w:val="left"/>
        </w:tabs>
        <w:numPr>
          <w:ilvl w:val="0"/>
          <w:numId w:val="58"/>
        </w:numPr>
        <w:rPr>
          <w:rFonts w:ascii="Calibri" w:cs="Calibri" w:eastAsia="Calibri" w:hAnsi="Calibri"/>
          <w:sz w:val="18"/>
          <w:szCs w:val="18"/>
          <w:color w:val="auto"/>
        </w:rPr>
      </w:pPr>
      <w:r>
        <w:rPr>
          <w:rFonts w:ascii="Calibri" w:cs="Calibri" w:eastAsia="Calibri" w:hAnsi="Calibri"/>
          <w:sz w:val="18"/>
          <w:szCs w:val="18"/>
          <w:color w:val="auto"/>
        </w:rPr>
        <w:t>fires or explosions;</w:t>
      </w:r>
    </w:p>
    <w:p>
      <w:pPr>
        <w:spacing w:after="0" w:line="223" w:lineRule="exact"/>
        <w:rPr>
          <w:rFonts w:ascii="Calibri" w:cs="Calibri" w:eastAsia="Calibri" w:hAnsi="Calibri"/>
          <w:sz w:val="18"/>
          <w:szCs w:val="18"/>
          <w:color w:val="auto"/>
        </w:rPr>
      </w:pPr>
    </w:p>
    <w:p>
      <w:pPr>
        <w:ind w:left="700" w:hanging="349"/>
        <w:spacing w:after="0"/>
        <w:tabs>
          <w:tab w:leader="none" w:pos="700" w:val="left"/>
        </w:tabs>
        <w:numPr>
          <w:ilvl w:val="0"/>
          <w:numId w:val="58"/>
        </w:numPr>
        <w:rPr>
          <w:rFonts w:ascii="Calibri" w:cs="Calibri" w:eastAsia="Calibri" w:hAnsi="Calibri"/>
          <w:sz w:val="18"/>
          <w:szCs w:val="18"/>
          <w:color w:val="auto"/>
        </w:rPr>
      </w:pPr>
      <w:r>
        <w:rPr>
          <w:rFonts w:ascii="Calibri" w:cs="Calibri" w:eastAsia="Calibri" w:hAnsi="Calibri"/>
          <w:sz w:val="18"/>
          <w:szCs w:val="18"/>
          <w:color w:val="auto"/>
        </w:rPr>
        <w:t>releases of hazardous substances, toxic gases such as hydrogen sulfide or other waste materials;</w:t>
      </w:r>
    </w:p>
    <w:p>
      <w:pPr>
        <w:spacing w:after="0" w:line="223" w:lineRule="exact"/>
        <w:rPr>
          <w:rFonts w:ascii="Calibri" w:cs="Calibri" w:eastAsia="Calibri" w:hAnsi="Calibri"/>
          <w:sz w:val="18"/>
          <w:szCs w:val="18"/>
          <w:color w:val="auto"/>
        </w:rPr>
      </w:pPr>
    </w:p>
    <w:p>
      <w:pPr>
        <w:ind w:left="700" w:hanging="349"/>
        <w:spacing w:after="0"/>
        <w:tabs>
          <w:tab w:leader="none" w:pos="700" w:val="left"/>
        </w:tabs>
        <w:numPr>
          <w:ilvl w:val="0"/>
          <w:numId w:val="58"/>
        </w:numPr>
        <w:rPr>
          <w:rFonts w:ascii="Calibri" w:cs="Calibri" w:eastAsia="Calibri" w:hAnsi="Calibri"/>
          <w:sz w:val="18"/>
          <w:szCs w:val="18"/>
          <w:color w:val="auto"/>
        </w:rPr>
      </w:pPr>
      <w:r>
        <w:rPr>
          <w:rFonts w:ascii="Calibri" w:cs="Calibri" w:eastAsia="Calibri" w:hAnsi="Calibri"/>
          <w:sz w:val="18"/>
          <w:szCs w:val="18"/>
          <w:color w:val="auto"/>
        </w:rPr>
        <w:t>pressures or irregularities in formations; and</w:t>
      </w:r>
    </w:p>
    <w:p>
      <w:pPr>
        <w:spacing w:after="0" w:line="223" w:lineRule="exact"/>
        <w:rPr>
          <w:rFonts w:ascii="Calibri" w:cs="Calibri" w:eastAsia="Calibri" w:hAnsi="Calibri"/>
          <w:sz w:val="18"/>
          <w:szCs w:val="18"/>
          <w:color w:val="auto"/>
        </w:rPr>
      </w:pPr>
    </w:p>
    <w:p>
      <w:pPr>
        <w:ind w:left="700" w:hanging="349"/>
        <w:spacing w:after="0"/>
        <w:tabs>
          <w:tab w:leader="none" w:pos="700" w:val="left"/>
        </w:tabs>
        <w:numPr>
          <w:ilvl w:val="0"/>
          <w:numId w:val="58"/>
        </w:numPr>
        <w:rPr>
          <w:rFonts w:ascii="Calibri" w:cs="Calibri" w:eastAsia="Calibri" w:hAnsi="Calibri"/>
          <w:sz w:val="18"/>
          <w:szCs w:val="18"/>
          <w:color w:val="auto"/>
        </w:rPr>
      </w:pPr>
      <w:r>
        <w:rPr>
          <w:rFonts w:ascii="Calibri" w:cs="Calibri" w:eastAsia="Calibri" w:hAnsi="Calibri"/>
          <w:sz w:val="18"/>
          <w:szCs w:val="18"/>
          <w:color w:val="auto"/>
        </w:rPr>
        <w:t>equipment failures or accidents.</w:t>
      </w:r>
    </w:p>
    <w:p>
      <w:pPr>
        <w:spacing w:after="0" w:line="241" w:lineRule="exact"/>
        <w:rPr>
          <w:sz w:val="20"/>
          <w:szCs w:val="20"/>
          <w:color w:val="auto"/>
        </w:rPr>
      </w:pPr>
    </w:p>
    <w:p>
      <w:pPr>
        <w:ind w:right="800" w:firstLine="241"/>
        <w:spacing w:after="0" w:line="268" w:lineRule="auto"/>
        <w:rPr>
          <w:sz w:val="20"/>
          <w:szCs w:val="20"/>
          <w:color w:val="auto"/>
        </w:rPr>
      </w:pPr>
      <w:r>
        <w:rPr>
          <w:rFonts w:ascii="Calibri" w:cs="Calibri" w:eastAsia="Calibri" w:hAnsi="Calibri"/>
          <w:sz w:val="18"/>
          <w:szCs w:val="18"/>
          <w:color w:val="auto"/>
        </w:rPr>
        <w:t>In addition, there is an inherent risk of incurring significant environmental costs and liabilities in the performance of our operations and services, some of which may be material, due to our handling of petroleum hydrocarbons and wastes, our emissions to air and water, the underground injection or other disposal of wastes, the use of hydraulic fracturing fluids and historical industry operations and waste disposal practices. Any of these or other similar occurrences could result in the disruption or impairment of our operations, substantial repair costs, personal injury or loss of human life, significant damage to property, environmental pollution and substantial revenue losses. The location of our wells, gathering systems, pipelines and other facilities near populated areas, including residential areas, commercial business centers and industrial sites, could significantly increase the level of damages resulting from these risks.</w:t>
      </w:r>
    </w:p>
    <w:p>
      <w:pPr>
        <w:spacing w:after="0" w:line="217" w:lineRule="exact"/>
        <w:rPr>
          <w:sz w:val="20"/>
          <w:szCs w:val="20"/>
          <w:color w:val="auto"/>
        </w:rPr>
      </w:pPr>
    </w:p>
    <w:p>
      <w:pPr>
        <w:ind w:right="720" w:firstLine="241"/>
        <w:spacing w:after="0" w:line="268" w:lineRule="auto"/>
        <w:rPr>
          <w:sz w:val="20"/>
          <w:szCs w:val="20"/>
          <w:color w:val="auto"/>
        </w:rPr>
      </w:pPr>
      <w:r>
        <w:rPr>
          <w:rFonts w:ascii="Calibri" w:cs="Calibri" w:eastAsia="Calibri" w:hAnsi="Calibri"/>
          <w:sz w:val="18"/>
          <w:szCs w:val="18"/>
          <w:color w:val="auto"/>
        </w:rPr>
        <w:t>Furthermore, our operations may be subject to curtailment due to seismic events. In 2021, the NMOCD established a statewide induced seismicity mitigation and response framework in response to seismic events in New Mexico. These protocols require enhanced reporting and varying levels of curtailment of injection rates for salt water disposal wells, including potentially shutting in wells, in the area of seismic events based on the magnitude, timing and proximity to the seismic event. If a seismic event were to occur in the area of our operations, the salt water disposal wells that we deliver to or operate may be shut in or curtailed, which may result in increased expenses or the curtailment of our oil and natural gas production. In addition, if such a seismic event occurred in the area of the Company’s or San Mateo’s operations, the Company or San Mateo may be required to shut in or curtail the volumes disposed in its salt water disposal wells. Previous seismic events have required the Company and San Mateo to curtail injection volumes and have increased reporting requirements for affected salt water disposal wells. Any such further events could adversely impact our and San Mateo’s revenues and cash flows.</w:t>
      </w:r>
    </w:p>
    <w:p>
      <w:pPr>
        <w:spacing w:after="0" w:line="222" w:lineRule="exact"/>
        <w:rPr>
          <w:sz w:val="20"/>
          <w:szCs w:val="20"/>
          <w:color w:val="auto"/>
        </w:rPr>
      </w:pPr>
    </w:p>
    <w:p>
      <w:pPr>
        <w:ind w:right="840" w:firstLine="241"/>
        <w:spacing w:after="0" w:line="267" w:lineRule="auto"/>
        <w:rPr>
          <w:sz w:val="20"/>
          <w:szCs w:val="20"/>
          <w:color w:val="auto"/>
        </w:rPr>
      </w:pPr>
      <w:r>
        <w:rPr>
          <w:rFonts w:ascii="Calibri" w:cs="Calibri" w:eastAsia="Calibri" w:hAnsi="Calibri"/>
          <w:sz w:val="18"/>
          <w:szCs w:val="18"/>
          <w:color w:val="auto"/>
        </w:rPr>
        <w:t>There are also significant risks associated with the operation of cryogenic natural gas processing plants such as the Marlan Processing Plant and the Black River Processing Plant. Natural gas and NGLs are volatile and explosive and may include carcinogens. Damage to or improper operation of the Black River Processing Plant or the Marlan Processing Plant could result in an explosion or the discharge of toxic gases, which could result in significant damage claims, interrupt a revenue source and prevent us from processing some or all of the natural gas produced from our wells or third-party wells located in nearby asset areas. Furthermore, if we were unable to process such natural gas, we may be forced to flare natural gas from, or shut in, the affected wells for an indefinite period of time.</w:t>
      </w:r>
    </w:p>
    <w:p>
      <w:pPr>
        <w:spacing w:after="0" w:line="220" w:lineRule="exact"/>
        <w:rPr>
          <w:sz w:val="20"/>
          <w:szCs w:val="20"/>
          <w:color w:val="auto"/>
        </w:rPr>
      </w:pPr>
    </w:p>
    <w:p>
      <w:pPr>
        <w:ind w:right="800" w:firstLine="241"/>
        <w:spacing w:after="0" w:line="267" w:lineRule="auto"/>
        <w:rPr>
          <w:sz w:val="20"/>
          <w:szCs w:val="20"/>
          <w:color w:val="auto"/>
        </w:rPr>
      </w:pPr>
      <w:r>
        <w:rPr>
          <w:rFonts w:ascii="Calibri" w:cs="Calibri" w:eastAsia="Calibri" w:hAnsi="Calibri"/>
          <w:sz w:val="18"/>
          <w:szCs w:val="18"/>
          <w:color w:val="auto"/>
        </w:rPr>
        <w:t>In addition, San Mateo’s gathering, processing and transportation assets connect to other pipelines or facilities owned and operated by unaffiliated third parties. The continuing operation of, and our continuing access to, such third-party pipelines, processing facilities and other midstream facilities is not within our control. These pipelines, plants, salt water disposal wells and other midstream facilities may become unavailable because of testing, turnarounds, line repair, maintenance, reduced operating pressure, lack of operating capacity, regulatory requirements and curtailments of receipt or deliveries due to insufficient capacity or because of damage from severe weather conditions or other operational issues. In addition, if San Mateo’s costs to access and</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92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1160" w:top="498" w:right="440" w:bottom="0" w:gutter="0" w:footer="0" w:header="0"/>
          <w:type w:val="continuous"/>
        </w:sectPr>
      </w:pPr>
    </w:p>
    <w:bookmarkStart w:id="69" w:name="page70"/>
    <w:bookmarkEnd w:id="69"/>
    <w:p>
      <w:pPr>
        <w:spacing w:after="0"/>
        <w:tabs>
          <w:tab w:leader="none" w:pos="740" w:val="left"/>
        </w:tabs>
        <w:rPr>
          <w:sz w:val="20"/>
          <w:szCs w:val="20"/>
          <w:color w:val="auto"/>
        </w:rPr>
      </w:pPr>
      <w:r>
        <w:rPr>
          <w:rFonts w:ascii="Calibri" w:cs="Calibri" w:eastAsia="Calibri" w:hAnsi="Calibri"/>
          <w:sz w:val="18"/>
          <w:szCs w:val="18"/>
          <w:color w:val="auto"/>
        </w:rPr>
        <w:t>56</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20"/>
        <w:spacing w:after="0" w:line="264" w:lineRule="auto"/>
        <w:rPr>
          <w:sz w:val="20"/>
          <w:szCs w:val="20"/>
          <w:color w:val="auto"/>
        </w:rPr>
      </w:pPr>
      <w:r>
        <w:rPr>
          <w:rFonts w:ascii="Calibri" w:cs="Calibri" w:eastAsia="Calibri" w:hAnsi="Calibri"/>
          <w:sz w:val="18"/>
          <w:szCs w:val="18"/>
          <w:color w:val="auto"/>
        </w:rPr>
        <w:t>transport on these third-party pipelines significantly increase, its profitability could be reduced. If any such increase in costs occurs, if any of these pipelines or other midstream facilities become unable to receive, transport, process or dispose of product, or if the volumes San Mateo gathers, processes or transports do not meet the product quality requirements of such pipelines or facilities, our and San Mateo’s revenues and cash flows could be adversely affected.</w:t>
      </w:r>
    </w:p>
    <w:p>
      <w:pPr>
        <w:spacing w:after="0" w:line="204" w:lineRule="exact"/>
        <w:rPr>
          <w:sz w:val="20"/>
          <w:szCs w:val="20"/>
          <w:color w:val="auto"/>
        </w:rPr>
      </w:pPr>
    </w:p>
    <w:p>
      <w:pPr>
        <w:ind w:left="720"/>
        <w:spacing w:after="0"/>
        <w:rPr>
          <w:sz w:val="20"/>
          <w:szCs w:val="20"/>
          <w:color w:val="auto"/>
        </w:rPr>
      </w:pPr>
      <w:r>
        <w:rPr>
          <w:rFonts w:ascii="Calibri" w:cs="Calibri" w:eastAsia="Calibri" w:hAnsi="Calibri"/>
          <w:sz w:val="18"/>
          <w:szCs w:val="18"/>
          <w:i w:val="1"/>
          <w:iCs w:val="1"/>
          <w:color w:val="214E93"/>
        </w:rPr>
        <w:t>Insurance against all operational risks is not available to us.</w:t>
      </w:r>
    </w:p>
    <w:p>
      <w:pPr>
        <w:spacing w:after="0" w:line="241" w:lineRule="exact"/>
        <w:rPr>
          <w:sz w:val="20"/>
          <w:szCs w:val="20"/>
          <w:color w:val="auto"/>
        </w:rPr>
      </w:pPr>
    </w:p>
    <w:p>
      <w:pPr>
        <w:ind w:left="720" w:firstLine="241"/>
        <w:spacing w:after="0" w:line="286" w:lineRule="auto"/>
        <w:rPr>
          <w:sz w:val="20"/>
          <w:szCs w:val="20"/>
          <w:color w:val="auto"/>
        </w:rPr>
      </w:pPr>
      <w:r>
        <w:rPr>
          <w:rFonts w:ascii="Calibri" w:cs="Calibri" w:eastAsia="Calibri" w:hAnsi="Calibri"/>
          <w:sz w:val="17"/>
          <w:szCs w:val="17"/>
          <w:color w:val="auto"/>
        </w:rPr>
        <w:t>Insurance against all operational risks is not available to us. We are not fully insured against all risks, including development and completion risks that are generally not recoverable from third parties or insurance. Pollution and environmental risks generally are not fully insurable. In addition, we may elect not to obtain insurance if we believe that the cost of available insurance is excessive relative to the perceived risks presented. Losses could, therefore, occur for uninsurable or uninsured risks or in amounts in excess of existing insurance coverage. Moreover, insurance may not be available in the future at commercially reasonable prices or on commercially reasonable terms. Changes in the insurance markets due to various factors may make it more difficult for us to obtain certain types of coverage in the future. As a result, we may not be able to obtain the levels or types of insurance we would have otherwise obtained prior to these market changes, and the insurance coverage we do obtain may not cover certain hazards or all potential losses that are currently covered, and may be subject to large deductibles. Additionally, the proceeds of any such insurance may not be received in a timely manner. Losses and liabilities from uninsured and underinsured events and delays in the payment of insurance proceeds could have a material adverse effect on our business, financial condition, results of operations and cash flows.</w:t>
      </w:r>
    </w:p>
    <w:p>
      <w:pPr>
        <w:spacing w:after="0" w:line="203" w:lineRule="exact"/>
        <w:rPr>
          <w:sz w:val="20"/>
          <w:szCs w:val="20"/>
          <w:color w:val="auto"/>
        </w:rPr>
      </w:pPr>
    </w:p>
    <w:p>
      <w:pPr>
        <w:ind w:left="720" w:right="100"/>
        <w:spacing w:after="0" w:line="252" w:lineRule="auto"/>
        <w:rPr>
          <w:sz w:val="20"/>
          <w:szCs w:val="20"/>
          <w:color w:val="auto"/>
        </w:rPr>
      </w:pPr>
      <w:r>
        <w:rPr>
          <w:rFonts w:ascii="Calibri" w:cs="Calibri" w:eastAsia="Calibri" w:hAnsi="Calibri"/>
          <w:sz w:val="18"/>
          <w:szCs w:val="18"/>
          <w:i w:val="1"/>
          <w:iCs w:val="1"/>
          <w:color w:val="214E93"/>
        </w:rPr>
        <w:t>Because our reserves and production are concentrated in a few core areas, problems with production in and markets for a particular area could have a material impact on our business.</w:t>
      </w:r>
    </w:p>
    <w:p>
      <w:pPr>
        <w:spacing w:after="0" w:line="230" w:lineRule="exact"/>
        <w:rPr>
          <w:sz w:val="20"/>
          <w:szCs w:val="20"/>
          <w:color w:val="auto"/>
        </w:rPr>
      </w:pPr>
    </w:p>
    <w:p>
      <w:pPr>
        <w:ind w:left="720" w:right="60" w:firstLine="241"/>
        <w:spacing w:after="0" w:line="267" w:lineRule="auto"/>
        <w:rPr>
          <w:sz w:val="20"/>
          <w:szCs w:val="20"/>
          <w:color w:val="auto"/>
        </w:rPr>
      </w:pPr>
      <w:r>
        <w:rPr>
          <w:rFonts w:ascii="Calibri" w:cs="Calibri" w:eastAsia="Calibri" w:hAnsi="Calibri"/>
          <w:sz w:val="18"/>
          <w:szCs w:val="18"/>
          <w:color w:val="auto"/>
        </w:rPr>
        <w:t>Almost all of our current oil and natural gas production and our proved reserves are attributable to our properties in the Delaware Basin in Southeast New Mexico and West Texas and the Haynesville shale in Northwest Louisiana. In recent years, the Delaware Basin has become an area of increasing focus for us, and approximately 98% of our total oil and natural gas production for 2025 was attributable to our properties in the Delaware Basin. Since 2016, the vast majority of our capital expenditures have been allocated to the Delaware Basin. We expect that substantially all of our capital expenditures in 2026 will continue to be in the Delaware Basin, with the exception of amounts allocated to limited operations and certain non-operated well opportunities in our Haynesville shale position.</w:t>
      </w:r>
    </w:p>
    <w:p>
      <w:pPr>
        <w:spacing w:after="0" w:line="220" w:lineRule="exact"/>
        <w:rPr>
          <w:sz w:val="20"/>
          <w:szCs w:val="20"/>
          <w:color w:val="auto"/>
        </w:rPr>
      </w:pPr>
    </w:p>
    <w:p>
      <w:pPr>
        <w:ind w:left="720" w:right="40" w:firstLine="241"/>
        <w:spacing w:after="0" w:line="269" w:lineRule="auto"/>
        <w:rPr>
          <w:sz w:val="20"/>
          <w:szCs w:val="20"/>
          <w:color w:val="auto"/>
        </w:rPr>
      </w:pPr>
      <w:r>
        <w:rPr>
          <w:rFonts w:ascii="Calibri" w:cs="Calibri" w:eastAsia="Calibri" w:hAnsi="Calibri"/>
          <w:sz w:val="18"/>
          <w:szCs w:val="18"/>
          <w:color w:val="auto"/>
        </w:rPr>
        <w:t>The industry focus on the Delaware Basin may adversely impact our ability to gather, transport and process our oil and natural gas production due to significant competition for access to gathering systems, pipelines, processing and refinery facilities and oil, condensate and produced water trucking operations. Due to the concentration of our operations, we may be disproportionately exposed to the impact of delays or interruptions of production from our wells in our operating areas caused by transportation capacity constraints or interruptions, curtailment of production, availability of equipment, facilities, personnel or services, significant governmental regulation, natural disasters, adverse weather conditions or plant closures for scheduled or unscheduled maintenance. Due to our concentration of properties in the Delaware Basin, we are also particularly exposed to any differential between benchmark prices of oil and natural gas and the wellhead price we receive for our production. See “—Risks Related to our Financial Condition—A change in the differential between the NYMEX or other benchmark prices of oil and natural gas and the wellhead price we receive for our production could adversely affect our business, financial condition, results of operations and cash flows.”</w:t>
      </w:r>
    </w:p>
    <w:p>
      <w:pPr>
        <w:spacing w:after="0" w:line="214" w:lineRule="exact"/>
        <w:rPr>
          <w:sz w:val="20"/>
          <w:szCs w:val="20"/>
          <w:color w:val="auto"/>
        </w:rPr>
      </w:pPr>
    </w:p>
    <w:p>
      <w:pPr>
        <w:ind w:left="720" w:firstLine="241"/>
        <w:spacing w:after="0" w:line="268" w:lineRule="auto"/>
        <w:rPr>
          <w:sz w:val="20"/>
          <w:szCs w:val="20"/>
          <w:color w:val="auto"/>
        </w:rPr>
      </w:pPr>
      <w:r>
        <w:rPr>
          <w:rFonts w:ascii="Calibri" w:cs="Calibri" w:eastAsia="Calibri" w:hAnsi="Calibri"/>
          <w:sz w:val="18"/>
          <w:szCs w:val="18"/>
          <w:color w:val="auto"/>
        </w:rPr>
        <w:t>Our operations may also be adversely affected by weather conditions and events such as floods, fires, tornadoes, droughts, hurricanes, tropical storms and severe cold weather, resulting in delays in drilling and completions, damage to facilities and equipment and the inability to receive equipment or access personnel and products at affected job sites in a timely manner. For example, in recent years, the Delaware Basin has experienced periods of severe winter weather that impacted many operators. In particular, weather conditions and freezing temperatures have resulted in shut-ins of producing wells, power outages, curtailments in trucking, delays in drilling and completion of wells and other production constraints. Certain areas of the Delaware Basin have also experienced periods of severe flooding that impacted our operations as well as many other operators in the area, resulting in delays in drilling, completing and initiating production on certain wells. As we continue to focus our operations on the Delaware Basin, we may increasingly face these and other challenges posed by severe weather.</w:t>
      </w:r>
    </w:p>
    <w:p>
      <w:pPr>
        <w:sectPr>
          <w:pgSz w:w="11880" w:h="15480" w:orient="portrait"/>
          <w:cols w:equalWidth="0" w:num="1">
            <w:col w:w="10280"/>
          </w:cols>
          <w:pgMar w:left="44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440" w:top="498" w:right="1160" w:bottom="0" w:gutter="0" w:footer="0" w:header="0"/>
          <w:type w:val="continuous"/>
        </w:sectPr>
      </w:pPr>
    </w:p>
    <w:bookmarkStart w:id="70" w:name="page71"/>
    <w:bookmarkEnd w:id="70"/>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57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040" w:firstLine="241"/>
        <w:spacing w:after="0" w:line="267" w:lineRule="auto"/>
        <w:rPr>
          <w:sz w:val="20"/>
          <w:szCs w:val="20"/>
          <w:color w:val="auto"/>
        </w:rPr>
      </w:pPr>
      <w:r>
        <w:rPr>
          <w:rFonts w:ascii="Calibri" w:cs="Calibri" w:eastAsia="Calibri" w:hAnsi="Calibri"/>
          <w:sz w:val="18"/>
          <w:szCs w:val="18"/>
          <w:color w:val="auto"/>
        </w:rPr>
        <w:t>Due to the concentrated nature of our portfolio of properties, a number of our properties could experience any of the same conditions at the same time, resulting in a relatively greater impact on our results of operations than they might have on other companies that have a more diversified portfolio of properties. For example, our operations in the Delaware Basin are subject to particular restrictions on drilling activities based on environmental sensitivities and requirements and potash mining operations. Such delays, interruptions or restrictions could have a material adverse effect on our business, financial condition, results of operations and cash flows.</w:t>
      </w:r>
    </w:p>
    <w:p>
      <w:pPr>
        <w:spacing w:after="0" w:line="217" w:lineRule="exact"/>
        <w:rPr>
          <w:sz w:val="20"/>
          <w:szCs w:val="20"/>
          <w:color w:val="auto"/>
        </w:rPr>
      </w:pPr>
    </w:p>
    <w:p>
      <w:pPr>
        <w:ind w:right="900"/>
        <w:spacing w:after="0" w:line="252" w:lineRule="auto"/>
        <w:rPr>
          <w:sz w:val="20"/>
          <w:szCs w:val="20"/>
          <w:color w:val="auto"/>
        </w:rPr>
      </w:pPr>
      <w:r>
        <w:rPr>
          <w:rFonts w:ascii="Calibri" w:cs="Calibri" w:eastAsia="Calibri" w:hAnsi="Calibri"/>
          <w:sz w:val="18"/>
          <w:szCs w:val="18"/>
          <w:i w:val="1"/>
          <w:iCs w:val="1"/>
          <w:color w:val="214E93"/>
        </w:rPr>
        <w:t>There is no guarantee that we will be successful in optimizing our spacing, drilling and completions techniques in order to maximize our rate of return, cash flow from operations and shareholder value.</w:t>
      </w:r>
    </w:p>
    <w:p>
      <w:pPr>
        <w:spacing w:after="0" w:line="230" w:lineRule="exact"/>
        <w:rPr>
          <w:sz w:val="20"/>
          <w:szCs w:val="20"/>
          <w:color w:val="auto"/>
        </w:rPr>
      </w:pPr>
    </w:p>
    <w:p>
      <w:pPr>
        <w:ind w:right="780" w:firstLine="241"/>
        <w:spacing w:after="0" w:line="285" w:lineRule="auto"/>
        <w:rPr>
          <w:sz w:val="20"/>
          <w:szCs w:val="20"/>
          <w:color w:val="auto"/>
        </w:rPr>
      </w:pPr>
      <w:r>
        <w:rPr>
          <w:rFonts w:ascii="Calibri" w:cs="Calibri" w:eastAsia="Calibri" w:hAnsi="Calibri"/>
          <w:sz w:val="17"/>
          <w:szCs w:val="17"/>
          <w:color w:val="auto"/>
        </w:rPr>
        <w:t>As we accumulate and process geological and production data, we attempt to create a development plan, including well spacing and completion design, that maximizes our rate of return, cash flow from operations and shareholder value. Due to many factors, however, including some beyond our control, there is no guarantee that we will be able to find the optimal plan. Future drilling and completion efforts may impact production from existing wells, and parent-child well effects may impact future well productivity as a result of timing, spacing proximity or other factors. If we are unable to design and implement an effective spacing, drilling and completions strategy, it may have a material adverse effect on our financial condition, results of operations and cash flows.</w:t>
      </w:r>
    </w:p>
    <w:p>
      <w:pPr>
        <w:spacing w:after="0" w:line="205" w:lineRule="exact"/>
        <w:rPr>
          <w:sz w:val="20"/>
          <w:szCs w:val="20"/>
          <w:color w:val="auto"/>
        </w:rPr>
      </w:pPr>
    </w:p>
    <w:p>
      <w:pPr>
        <w:ind w:right="900"/>
        <w:spacing w:after="0" w:line="252" w:lineRule="auto"/>
        <w:rPr>
          <w:sz w:val="20"/>
          <w:szCs w:val="20"/>
          <w:color w:val="auto"/>
        </w:rPr>
      </w:pPr>
      <w:r>
        <w:rPr>
          <w:rFonts w:ascii="Calibri" w:cs="Calibri" w:eastAsia="Calibri" w:hAnsi="Calibri"/>
          <w:sz w:val="18"/>
          <w:szCs w:val="18"/>
          <w:i w:val="1"/>
          <w:iCs w:val="1"/>
          <w:color w:val="214E93"/>
        </w:rPr>
        <w:t>Certain of our properties are in areas that may have been partially depleted or drained by offset wells, and certain of our wells may be adversely affected by actions other operators may take when drilling, completing or operating wells that they own.</w:t>
      </w:r>
    </w:p>
    <w:p>
      <w:pPr>
        <w:spacing w:after="0" w:line="230" w:lineRule="exact"/>
        <w:rPr>
          <w:sz w:val="20"/>
          <w:szCs w:val="20"/>
          <w:color w:val="auto"/>
        </w:rPr>
      </w:pPr>
    </w:p>
    <w:p>
      <w:pPr>
        <w:ind w:right="760" w:firstLine="241"/>
        <w:spacing w:after="0" w:line="268" w:lineRule="auto"/>
        <w:rPr>
          <w:sz w:val="20"/>
          <w:szCs w:val="20"/>
          <w:color w:val="auto"/>
        </w:rPr>
      </w:pPr>
      <w:r>
        <w:rPr>
          <w:rFonts w:ascii="Calibri" w:cs="Calibri" w:eastAsia="Calibri" w:hAnsi="Calibri"/>
          <w:sz w:val="18"/>
          <w:szCs w:val="18"/>
          <w:color w:val="auto"/>
        </w:rPr>
        <w:t>Certain of our properties are in areas that may have already been partially depleted or drained by earlier offset drilling. The owners of leasehold interests adjoining any of our properties could take actions, such as drilling and completing additional wells, which could adversely affect our operations. When a new well is completed and produced, the pressure differential in the vicinity of the well causes the migration of reservoir fluids toward the new wellbore (and potentially away from existing wellbores). As a result, the drilling and production of these potential locations could cause a depletion of our proved reserves and may inhibit our ability to further develop our proved reserves. In addition, completion operations and other activities conducted on adjacent or nearby wells could cause production from our wells to be shut in for indefinite periods of time, could result in increased lease operating expenses and could adversely affect the production and reserves from our wells after they re-commence production. We have no control over the operations or activities of offsetting operators.</w:t>
      </w:r>
    </w:p>
    <w:p>
      <w:pPr>
        <w:spacing w:after="0" w:line="20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214E93"/>
        </w:rPr>
        <w:t>Multi-well pad drilling may result in volatility in our operating results.</w:t>
      </w:r>
    </w:p>
    <w:p>
      <w:pPr>
        <w:spacing w:after="0" w:line="241" w:lineRule="exact"/>
        <w:rPr>
          <w:sz w:val="20"/>
          <w:szCs w:val="20"/>
          <w:color w:val="auto"/>
        </w:rPr>
      </w:pPr>
    </w:p>
    <w:p>
      <w:pPr>
        <w:ind w:right="720" w:firstLine="241"/>
        <w:spacing w:after="0" w:line="267" w:lineRule="auto"/>
        <w:rPr>
          <w:sz w:val="20"/>
          <w:szCs w:val="20"/>
          <w:color w:val="auto"/>
        </w:rPr>
      </w:pPr>
      <w:r>
        <w:rPr>
          <w:rFonts w:ascii="Calibri" w:cs="Calibri" w:eastAsia="Calibri" w:hAnsi="Calibri"/>
          <w:sz w:val="18"/>
          <w:szCs w:val="18"/>
          <w:color w:val="auto"/>
        </w:rPr>
        <w:t>We utilize multi-well pad drilling where practical. Because wells drilled on a pad are not produced until other wells being drilled on the pad at the same time are drilled and completed, multi-well pad drilling delays the commencement of production from wells drilled on a given pad, which may cause volatility in our operating results. In addition, problems affecting one well could adversely affect production from other wells on the same pad. As a result, multi-well pad drilling can cause delays in the scheduled commencement of production or interruptions in ongoing production. Additionally, infrastructure expansion, including more complex facilities and takeaway capacity, could become challenging in project development areas. Managing capital expenditures for infrastructure expansion could cause economic constraints when considering design capacity.</w:t>
      </w:r>
    </w:p>
    <w:p>
      <w:pPr>
        <w:spacing w:after="0" w:line="220" w:lineRule="exact"/>
        <w:rPr>
          <w:sz w:val="20"/>
          <w:szCs w:val="20"/>
          <w:color w:val="auto"/>
        </w:rPr>
      </w:pPr>
    </w:p>
    <w:p>
      <w:pPr>
        <w:ind w:right="940"/>
        <w:spacing w:after="0" w:line="264" w:lineRule="auto"/>
        <w:rPr>
          <w:sz w:val="20"/>
          <w:szCs w:val="20"/>
          <w:color w:val="auto"/>
        </w:rPr>
      </w:pPr>
      <w:r>
        <w:rPr>
          <w:rFonts w:ascii="Calibri" w:cs="Calibri" w:eastAsia="Calibri" w:hAnsi="Calibri"/>
          <w:sz w:val="18"/>
          <w:szCs w:val="18"/>
          <w:i w:val="1"/>
          <w:iCs w:val="1"/>
          <w:color w:val="214E93"/>
        </w:rPr>
        <w:t>The unavailability or high cost of drilling rigs, completion equipment and services, supplies and personnel, including hydraulic fracturing equipment and personnel, could adversely affect our ability to establish and execute exploration and development plans within budget and on a timely basis, which could have a material adverse effect on our business, financial condition, results of operations and cash flows.</w:t>
      </w:r>
    </w:p>
    <w:p>
      <w:pPr>
        <w:spacing w:after="0" w:line="221" w:lineRule="exact"/>
        <w:rPr>
          <w:sz w:val="20"/>
          <w:szCs w:val="20"/>
          <w:color w:val="auto"/>
        </w:rPr>
      </w:pPr>
    </w:p>
    <w:p>
      <w:pPr>
        <w:ind w:right="800" w:firstLine="241"/>
        <w:spacing w:after="0" w:line="286" w:lineRule="auto"/>
        <w:rPr>
          <w:sz w:val="20"/>
          <w:szCs w:val="20"/>
          <w:color w:val="auto"/>
        </w:rPr>
      </w:pPr>
      <w:r>
        <w:rPr>
          <w:rFonts w:ascii="Calibri" w:cs="Calibri" w:eastAsia="Calibri" w:hAnsi="Calibri"/>
          <w:sz w:val="17"/>
          <w:szCs w:val="17"/>
          <w:color w:val="auto"/>
        </w:rPr>
        <w:t>Shortages or the high cost of drilling rigs, completion equipment and services, drill pipe, casing and other tubular goods, personnel or supplies, including sand and other proppants, could delay or adversely affect our operations. When drilling activity in the United States or a particular operating area increases, associated costs typically also increase, including those costs related to drilling rigs, equipment, supplies, drill pipe, casing and other tubular goods, including sand and other proppants, and personnel and the services and products of other industry vendors. These costs may increase, and necessary equipment, supplies and services may become unavailable to us at economical prices. Should this increase in costs occur, we may delay drilling or completion activities, which may limit our ability to establish and replace reserves, or we may incur these higher costs, which may negatively affect our business, financial condition, results of operations and cash flows. In addition, should oil and natural gas prices decline, third-party service providers may face financial difficulties and be unable to provide services. A reduction in the number of service providers</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378" w:lineRule="exact"/>
        <w:rPr>
          <w:sz w:val="20"/>
          <w:szCs w:val="20"/>
          <w:color w:val="auto"/>
        </w:rPr>
      </w:pPr>
    </w:p>
    <w:p>
      <w:pPr>
        <w:ind w:left="892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1160" w:top="498" w:right="440" w:bottom="0" w:gutter="0" w:footer="0" w:header="0"/>
          <w:type w:val="continuous"/>
        </w:sectPr>
      </w:pPr>
    </w:p>
    <w:bookmarkStart w:id="71" w:name="page72"/>
    <w:bookmarkEnd w:id="71"/>
    <w:p>
      <w:pPr>
        <w:spacing w:after="0"/>
        <w:tabs>
          <w:tab w:leader="none" w:pos="740" w:val="left"/>
        </w:tabs>
        <w:rPr>
          <w:sz w:val="20"/>
          <w:szCs w:val="20"/>
          <w:color w:val="auto"/>
        </w:rPr>
      </w:pPr>
      <w:r>
        <w:rPr>
          <w:rFonts w:ascii="Calibri" w:cs="Calibri" w:eastAsia="Calibri" w:hAnsi="Calibri"/>
          <w:sz w:val="18"/>
          <w:szCs w:val="18"/>
          <w:color w:val="auto"/>
        </w:rPr>
        <w:t>58</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20" w:right="160"/>
        <w:spacing w:after="0" w:line="285" w:lineRule="auto"/>
        <w:rPr>
          <w:sz w:val="20"/>
          <w:szCs w:val="20"/>
          <w:color w:val="auto"/>
        </w:rPr>
      </w:pPr>
      <w:r>
        <w:rPr>
          <w:rFonts w:ascii="Calibri" w:cs="Calibri" w:eastAsia="Calibri" w:hAnsi="Calibri"/>
          <w:sz w:val="17"/>
          <w:szCs w:val="17"/>
          <w:color w:val="auto"/>
        </w:rPr>
        <w:t>available to us may negatively impact our ability to retain qualified service providers, or obtain such services at costs acceptable to us. Further, supply chain disruptions, tariffs and trade restrictions and other inflationary pressures affecting the United States and global economy and the oil and natural gas industry may limit our ability to procure the necessary products and services for drilling and completing wells in a timely and cost effective manner, which could result in reduced margins and delays in our drilling and completion activities which, in turn, could adversely affect our business, financial condition, results of operations and cash flows.</w:t>
      </w:r>
    </w:p>
    <w:p>
      <w:pPr>
        <w:spacing w:after="0" w:line="203" w:lineRule="exact"/>
        <w:rPr>
          <w:sz w:val="20"/>
          <w:szCs w:val="20"/>
          <w:color w:val="auto"/>
        </w:rPr>
      </w:pPr>
    </w:p>
    <w:p>
      <w:pPr>
        <w:ind w:left="720" w:right="120" w:firstLine="241"/>
        <w:spacing w:after="0" w:line="267" w:lineRule="auto"/>
        <w:rPr>
          <w:sz w:val="20"/>
          <w:szCs w:val="20"/>
          <w:color w:val="auto"/>
        </w:rPr>
      </w:pPr>
      <w:r>
        <w:rPr>
          <w:rFonts w:ascii="Calibri" w:cs="Calibri" w:eastAsia="Calibri" w:hAnsi="Calibri"/>
          <w:sz w:val="18"/>
          <w:szCs w:val="18"/>
          <w:color w:val="auto"/>
        </w:rPr>
        <w:t>In addition, the demand for hydraulic fracturing services from time to time exceeds the availability of fracturing equipment and crews across the industry and in certain operating areas in particular. The accelerated wear and tear of hydraulic fracturing equipment due to its deployment in unconventional oil and natural gas fields characterized by longer lateral lengths and larger numbers of fracturing stages could further amplify such an equipment and crew shortage. If demand for fracturing services were to increase or the supply of fracturing equipment and crews were to decrease, higher costs or delays in procuring these services could result, which could adversely affect our business, financial condition, results of operations and cash flows.</w:t>
      </w:r>
    </w:p>
    <w:p>
      <w:pPr>
        <w:spacing w:after="0" w:line="217" w:lineRule="exact"/>
        <w:rPr>
          <w:sz w:val="20"/>
          <w:szCs w:val="20"/>
          <w:color w:val="auto"/>
        </w:rPr>
      </w:pPr>
    </w:p>
    <w:p>
      <w:pPr>
        <w:ind w:left="720" w:right="60"/>
        <w:spacing w:after="0" w:line="261" w:lineRule="auto"/>
        <w:rPr>
          <w:sz w:val="20"/>
          <w:szCs w:val="20"/>
          <w:color w:val="auto"/>
        </w:rPr>
      </w:pPr>
      <w:r>
        <w:rPr>
          <w:rFonts w:ascii="Calibri" w:cs="Calibri" w:eastAsia="Calibri" w:hAnsi="Calibri"/>
          <w:sz w:val="18"/>
          <w:szCs w:val="18"/>
          <w:i w:val="1"/>
          <w:iCs w:val="1"/>
          <w:color w:val="214E93"/>
        </w:rPr>
        <w:t>If we are unable to acquire adequate supplies of water for our drilling and hydraulic fracturing operations or are unable to dispose of the water we use at a reasonable cost and pursuant to applicable environmental rules, our ability to produce oil and natural gas commercially and in commercial quantities could be impaired.</w:t>
      </w:r>
    </w:p>
    <w:p>
      <w:pPr>
        <w:spacing w:after="0" w:line="223" w:lineRule="exact"/>
        <w:rPr>
          <w:sz w:val="20"/>
          <w:szCs w:val="20"/>
          <w:color w:val="auto"/>
        </w:rPr>
      </w:pPr>
    </w:p>
    <w:p>
      <w:pPr>
        <w:ind w:left="720" w:right="40" w:firstLine="241"/>
        <w:spacing w:after="0" w:line="269" w:lineRule="auto"/>
        <w:rPr>
          <w:sz w:val="20"/>
          <w:szCs w:val="20"/>
          <w:color w:val="auto"/>
        </w:rPr>
      </w:pPr>
      <w:r>
        <w:rPr>
          <w:rFonts w:ascii="Calibri" w:cs="Calibri" w:eastAsia="Calibri" w:hAnsi="Calibri"/>
          <w:sz w:val="18"/>
          <w:szCs w:val="18"/>
          <w:color w:val="auto"/>
        </w:rPr>
        <w:t>We use a substantial amount of water in our drilling and hydraulic fracturing operations. Our inability to obtain sufficient amounts of water at reasonable prices, or treat and dispose of water after drilling and hydraulic fracturing, could adversely impact our operations. In recent years, Southeast New Mexico and West Texas have experienced severe drought. As a result, we may experience difficulty in securing the necessary volumes of water for our operations. Moreover, the imposition of new environmental initiatives and regulations could include restrictions on our ability to conduct certain operations such as (i) hydraulic fracturing, including the use of fresh water in such operations, or (ii) disposal of waste, including the disposal of produced water, drilling fluids and other wastes associated with the exploration, development and production of oil and natural gas. Furthermore, future environmental regulations and permitting requirements governing the withdrawal, storage and use of surface water or groundwater necessary for hydraulic fracturing of wells could increase operating costs and cause delays, interruptions or termination of operations, the extent of which cannot be predicted, and all of which could have a material adverse effect on our business, financial condition, results of operations and cash flows.</w:t>
      </w:r>
    </w:p>
    <w:p>
      <w:pPr>
        <w:spacing w:after="0" w:line="214" w:lineRule="exact"/>
        <w:rPr>
          <w:sz w:val="20"/>
          <w:szCs w:val="20"/>
          <w:color w:val="auto"/>
        </w:rPr>
      </w:pPr>
    </w:p>
    <w:p>
      <w:pPr>
        <w:ind w:left="720" w:right="80"/>
        <w:spacing w:after="0" w:line="252" w:lineRule="auto"/>
        <w:rPr>
          <w:sz w:val="20"/>
          <w:szCs w:val="20"/>
          <w:color w:val="auto"/>
        </w:rPr>
      </w:pPr>
      <w:r>
        <w:rPr>
          <w:rFonts w:ascii="Calibri" w:cs="Calibri" w:eastAsia="Calibri" w:hAnsi="Calibri"/>
          <w:sz w:val="18"/>
          <w:szCs w:val="18"/>
          <w:i w:val="1"/>
          <w:iCs w:val="1"/>
          <w:color w:val="214E93"/>
        </w:rPr>
        <w:t>Construction of midstream projects subjects us to risks of construction delays, cost over-runs, limitations on our growth and negative effects on our financial condition, results of operations, cash flows and liquidity.</w:t>
      </w:r>
    </w:p>
    <w:p>
      <w:pPr>
        <w:spacing w:after="0" w:line="230" w:lineRule="exact"/>
        <w:rPr>
          <w:sz w:val="20"/>
          <w:szCs w:val="20"/>
          <w:color w:val="auto"/>
        </w:rPr>
      </w:pPr>
    </w:p>
    <w:p>
      <w:pPr>
        <w:ind w:left="720" w:firstLine="241"/>
        <w:spacing w:after="0" w:line="286" w:lineRule="auto"/>
        <w:rPr>
          <w:sz w:val="20"/>
          <w:szCs w:val="20"/>
          <w:color w:val="auto"/>
        </w:rPr>
      </w:pPr>
      <w:r>
        <w:rPr>
          <w:rFonts w:ascii="Calibri" w:cs="Calibri" w:eastAsia="Calibri" w:hAnsi="Calibri"/>
          <w:sz w:val="17"/>
          <w:szCs w:val="17"/>
          <w:color w:val="auto"/>
        </w:rPr>
        <w:t>From time to time, we, through San Mateo or otherwise, plan and construct midstream projects, some of which may take a number of months before commercial operation, such as construction of oil, natural gas and produced water gathering or transportation systems, construction of natural gas processing plants, drilling of commercial salt water disposal wells and construction of related facilities. These projects are complex and subject to a number of factors beyond our control, including delays from third-party landowners, the permitting process, government and regulatory approval, compliance with laws, unavailability of materials, labor disruptions, environmental hazards, financing, accidents, weather and other factors. Any delay in the completion of these projects could have a material adverse effect on our business, results of operations, liquidity, financial condition and the ability of San Mateo to attract third-party customers. The construction of produced water disposal facilities, pipelines and gathering and processing facilities requires the expenditure of significant amounts of capital, which may exceed our estimated costs. Estimating the timing and expenditures related to these development projects is very complex and subject to variables that can significantly increase expected costs. Additionally, financing for these development projects may not be available on economically acceptable terms or at all. Should the actual costs of these projects exceed our estimates, our liquidity and financial condition could be adversely affected. This level of development activity requires significant effort from our management and technical personnel and places additional requirements on our financial resources and internal financial controls. We may not have the ability to attract and/ or retain the necessary number of personnel with the skills required to bring complicated projects to successful conclusions.</w:t>
      </w:r>
    </w:p>
    <w:p>
      <w:pPr>
        <w:spacing w:after="0" w:line="206" w:lineRule="exact"/>
        <w:rPr>
          <w:sz w:val="20"/>
          <w:szCs w:val="20"/>
          <w:color w:val="auto"/>
        </w:rPr>
      </w:pPr>
    </w:p>
    <w:p>
      <w:pPr>
        <w:ind w:left="720" w:right="60" w:firstLine="241"/>
        <w:spacing w:after="0" w:line="284" w:lineRule="auto"/>
        <w:rPr>
          <w:sz w:val="20"/>
          <w:szCs w:val="20"/>
          <w:color w:val="auto"/>
        </w:rPr>
      </w:pPr>
      <w:r>
        <w:rPr>
          <w:rFonts w:ascii="Calibri" w:cs="Calibri" w:eastAsia="Calibri" w:hAnsi="Calibri"/>
          <w:sz w:val="17"/>
          <w:szCs w:val="17"/>
          <w:color w:val="auto"/>
        </w:rPr>
        <w:t>Moreover, our revenues may not increase immediately, or at all, upon the expenditure of funds on a particular project. For instance, if we or San Mateo build additional gathering assets, the construction may occur over an extended period of time and we may not receive any material increases in revenues until the project is completed or at all. We or San Mateo may construct facilities to capture anticipated future production growth from our customers in an area where such growth does not materialize. As a result,</w:t>
      </w:r>
    </w:p>
    <w:p>
      <w:pPr>
        <w:sectPr>
          <w:pgSz w:w="11880" w:h="15480" w:orient="portrait"/>
          <w:cols w:equalWidth="0" w:num="1">
            <w:col w:w="10280"/>
          </w:cols>
          <w:pgMar w:left="44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440" w:top="498" w:right="1160" w:bottom="0" w:gutter="0" w:footer="0" w:header="0"/>
          <w:type w:val="continuous"/>
        </w:sectPr>
      </w:pPr>
    </w:p>
    <w:bookmarkStart w:id="72" w:name="page73"/>
    <w:bookmarkEnd w:id="72"/>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59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240"/>
        <w:spacing w:after="0" w:line="252" w:lineRule="auto"/>
        <w:rPr>
          <w:sz w:val="20"/>
          <w:szCs w:val="20"/>
          <w:color w:val="auto"/>
        </w:rPr>
      </w:pPr>
      <w:r>
        <w:rPr>
          <w:rFonts w:ascii="Calibri" w:cs="Calibri" w:eastAsia="Calibri" w:hAnsi="Calibri"/>
          <w:sz w:val="18"/>
          <w:szCs w:val="18"/>
          <w:color w:val="auto"/>
        </w:rPr>
        <w:t>new midstream assets may not be able to attract enough throughput to achieve our expected investment return, which could adversely affect our financial condition and results of operations.</w:t>
      </w:r>
    </w:p>
    <w:p>
      <w:pPr>
        <w:spacing w:after="0" w:line="230" w:lineRule="exact"/>
        <w:rPr>
          <w:sz w:val="20"/>
          <w:szCs w:val="20"/>
          <w:color w:val="auto"/>
        </w:rPr>
      </w:pPr>
    </w:p>
    <w:p>
      <w:pPr>
        <w:ind w:right="760"/>
        <w:spacing w:after="0" w:line="252" w:lineRule="auto"/>
        <w:rPr>
          <w:sz w:val="20"/>
          <w:szCs w:val="20"/>
          <w:color w:val="auto"/>
        </w:rPr>
      </w:pPr>
      <w:r>
        <w:rPr>
          <w:rFonts w:ascii="Calibri" w:cs="Calibri" w:eastAsia="Calibri" w:hAnsi="Calibri"/>
          <w:sz w:val="18"/>
          <w:szCs w:val="18"/>
          <w:i w:val="1"/>
          <w:iCs w:val="1"/>
          <w:color w:val="214E93"/>
        </w:rPr>
        <w:t>Our identified drilling locations are scheduled over several years, making them susceptible to uncertainties that could materially alter the occurrence or timing of their drilling.</w:t>
      </w:r>
    </w:p>
    <w:p>
      <w:pPr>
        <w:spacing w:after="0" w:line="230" w:lineRule="exact"/>
        <w:rPr>
          <w:sz w:val="20"/>
          <w:szCs w:val="20"/>
          <w:color w:val="auto"/>
        </w:rPr>
      </w:pPr>
    </w:p>
    <w:p>
      <w:pPr>
        <w:ind w:right="800" w:firstLine="241"/>
        <w:spacing w:after="0" w:line="269" w:lineRule="auto"/>
        <w:rPr>
          <w:sz w:val="20"/>
          <w:szCs w:val="20"/>
          <w:color w:val="auto"/>
        </w:rPr>
      </w:pPr>
      <w:r>
        <w:rPr>
          <w:rFonts w:ascii="Calibri" w:cs="Calibri" w:eastAsia="Calibri" w:hAnsi="Calibri"/>
          <w:sz w:val="18"/>
          <w:szCs w:val="18"/>
          <w:color w:val="auto"/>
        </w:rPr>
        <w:t>Our management team has identified and scheduled drilling locations in our operating areas over a multi-year period. Our ability to drill and develop these locations depends on a number of factors, including oil and natural gas prices, assessment of risks, costs, drilling results, reservoir heterogeneities, the availability of equipment and capital, approval by regulators, lease terms, seasonal conditions and the actions of other operators. Additionally, as lateral lengths greater than one mile have become increasingly common in the Delaware Basin, we may have to cooperate with other operators to ensure that our acreage is included in drilling units or otherwise developed. The final determination on whether to drill any of the identified locations will be dependent upon the factors described elsewhere in this Annual Report as well as, to some degree, the results of our drilling activities with respect to our established drilling locations. Because of these uncertainties, we do not know if the drilling locations we have identified will be drilled within our expected timeframe, or at all, or if we will be able to economically produce hydrocarbons from these or any other potential drilling locations. Our actual drilling activities may be materially different from our current expectations, which could adversely affect our business, financial condition, results of operations and cash flows.</w:t>
      </w:r>
    </w:p>
    <w:p>
      <w:pPr>
        <w:spacing w:after="0" w:line="214" w:lineRule="exact"/>
        <w:rPr>
          <w:sz w:val="20"/>
          <w:szCs w:val="20"/>
          <w:color w:val="auto"/>
        </w:rPr>
      </w:pPr>
    </w:p>
    <w:p>
      <w:pPr>
        <w:ind w:right="820"/>
        <w:spacing w:after="0" w:line="252" w:lineRule="auto"/>
        <w:rPr>
          <w:sz w:val="20"/>
          <w:szCs w:val="20"/>
          <w:color w:val="auto"/>
        </w:rPr>
      </w:pPr>
      <w:r>
        <w:rPr>
          <w:rFonts w:ascii="Calibri" w:cs="Calibri" w:eastAsia="Calibri" w:hAnsi="Calibri"/>
          <w:sz w:val="18"/>
          <w:szCs w:val="18"/>
          <w:i w:val="1"/>
          <w:iCs w:val="1"/>
          <w:color w:val="214E93"/>
        </w:rPr>
        <w:t>Certain of our unproved and unevaluated acreage is subject to leases that will expire over the next several years unless production is established on units containing the acreage.</w:t>
      </w:r>
    </w:p>
    <w:p>
      <w:pPr>
        <w:spacing w:after="0" w:line="230" w:lineRule="exact"/>
        <w:rPr>
          <w:sz w:val="20"/>
          <w:szCs w:val="20"/>
          <w:color w:val="auto"/>
        </w:rPr>
      </w:pPr>
    </w:p>
    <w:p>
      <w:pPr>
        <w:ind w:right="760" w:firstLine="241"/>
        <w:spacing w:after="0" w:line="286" w:lineRule="auto"/>
        <w:rPr>
          <w:sz w:val="20"/>
          <w:szCs w:val="20"/>
          <w:color w:val="auto"/>
        </w:rPr>
      </w:pPr>
      <w:r>
        <w:rPr>
          <w:rFonts w:ascii="Calibri" w:cs="Calibri" w:eastAsia="Calibri" w:hAnsi="Calibri"/>
          <w:sz w:val="17"/>
          <w:szCs w:val="17"/>
          <w:color w:val="auto"/>
        </w:rPr>
        <w:t>At December 31, 2025, we had leasehold interests in approximately 37,900 net acres across all of our areas of interest that are not currently held by production and are subject to leases with primary or renewed terms that expire prior to 2031. Unless we establish and maintain production, generally in paying quantities, on units containing these leases during their terms or we renew such leases, these leases will expire. The cost to renew such leases may increase significantly, and we may not be able to renew such leases on commercially reasonable terms or at all. In addition, on certain portions of our acreage, third-party leases, or top leases, may have been taken and could become immediately effective if our leases expire. If our leases expire or we are unable to renew such leases, we will lose our right to develop the related properties. As such, our actual drilling activities may materially differ from our current expectations, which could adversely affect our business, financial condition, results of operations and cash flows.</w:t>
      </w:r>
    </w:p>
    <w:p>
      <w:pPr>
        <w:spacing w:after="0" w:line="201" w:lineRule="exact"/>
        <w:rPr>
          <w:sz w:val="20"/>
          <w:szCs w:val="20"/>
          <w:color w:val="auto"/>
        </w:rPr>
      </w:pPr>
    </w:p>
    <w:p>
      <w:pPr>
        <w:ind w:right="780"/>
        <w:spacing w:after="0" w:line="252" w:lineRule="auto"/>
        <w:rPr>
          <w:sz w:val="20"/>
          <w:szCs w:val="20"/>
          <w:color w:val="auto"/>
        </w:rPr>
      </w:pPr>
      <w:r>
        <w:rPr>
          <w:rFonts w:ascii="Calibri" w:cs="Calibri" w:eastAsia="Calibri" w:hAnsi="Calibri"/>
          <w:sz w:val="18"/>
          <w:szCs w:val="18"/>
          <w:i w:val="1"/>
          <w:iCs w:val="1"/>
          <w:color w:val="214E93"/>
        </w:rPr>
        <w:t>The 2-D and 3-D seismic data and other advanced technologies we use cannot eliminate exploration risk, which could limit our ability to replace and grow our reserves and materially and adversely affect our results of operations and cash flows.</w:t>
      </w:r>
    </w:p>
    <w:p>
      <w:pPr>
        <w:spacing w:after="0" w:line="230" w:lineRule="exact"/>
        <w:rPr>
          <w:sz w:val="20"/>
          <w:szCs w:val="20"/>
          <w:color w:val="auto"/>
        </w:rPr>
      </w:pPr>
    </w:p>
    <w:p>
      <w:pPr>
        <w:ind w:right="720" w:firstLine="241"/>
        <w:spacing w:after="0" w:line="267" w:lineRule="auto"/>
        <w:rPr>
          <w:sz w:val="20"/>
          <w:szCs w:val="20"/>
          <w:color w:val="auto"/>
        </w:rPr>
      </w:pPr>
      <w:r>
        <w:rPr>
          <w:rFonts w:ascii="Calibri" w:cs="Calibri" w:eastAsia="Calibri" w:hAnsi="Calibri"/>
          <w:sz w:val="18"/>
          <w:szCs w:val="18"/>
          <w:color w:val="auto"/>
        </w:rPr>
        <w:t>We employ visualization and 2-D and 3-D seismic images to assist us in exploration and development activities where applicable. These techniques only assist geoscientists in identifying subsurface structures and hydrocarbon indicators and do not allow the interpreter to know conclusively if hydrocarbons are present or economically producible. We could incur losses by drilling unproductive wells based on these technologies. Furthermore, the acquisition of seismic and geological data can be expensive and require the incurrence of various risks and liabilities, and we may not be able to license or obtain such data at an acceptable cost. Poor results from our exploration and development activities could limit our ability to replace and grow reserves and adversely affect our business, financial condition, results of operations and cash flows.</w:t>
      </w:r>
    </w:p>
    <w:p>
      <w:pPr>
        <w:spacing w:after="0" w:line="219" w:lineRule="exact"/>
        <w:rPr>
          <w:sz w:val="20"/>
          <w:szCs w:val="20"/>
          <w:color w:val="auto"/>
        </w:rPr>
      </w:pPr>
    </w:p>
    <w:p>
      <w:pPr>
        <w:spacing w:after="0"/>
        <w:rPr>
          <w:sz w:val="20"/>
          <w:szCs w:val="20"/>
          <w:color w:val="auto"/>
        </w:rPr>
      </w:pPr>
      <w:r>
        <w:rPr>
          <w:rFonts w:ascii="Verdana" w:cs="Verdana" w:eastAsia="Verdana" w:hAnsi="Verdana"/>
          <w:sz w:val="20"/>
          <w:szCs w:val="20"/>
          <w:color w:val="214E93"/>
        </w:rPr>
        <w:t>RISKS RELATED TO THIRD PARTIES</w:t>
      </w:r>
    </w:p>
    <w:p>
      <w:pPr>
        <w:spacing w:after="0" w:line="209" w:lineRule="exact"/>
        <w:rPr>
          <w:sz w:val="20"/>
          <w:szCs w:val="20"/>
          <w:color w:val="auto"/>
        </w:rPr>
      </w:pPr>
    </w:p>
    <w:p>
      <w:pPr>
        <w:jc w:val="both"/>
        <w:ind w:right="920"/>
        <w:spacing w:after="0" w:line="261" w:lineRule="auto"/>
        <w:rPr>
          <w:sz w:val="20"/>
          <w:szCs w:val="20"/>
          <w:color w:val="auto"/>
        </w:rPr>
      </w:pPr>
      <w:r>
        <w:rPr>
          <w:rFonts w:ascii="Calibri" w:cs="Calibri" w:eastAsia="Calibri" w:hAnsi="Calibri"/>
          <w:sz w:val="18"/>
          <w:szCs w:val="18"/>
          <w:i w:val="1"/>
          <w:iCs w:val="1"/>
          <w:color w:val="214E93"/>
        </w:rPr>
        <w:t>Financial difficulties encountered by our oil, natural gas and NGL purchasers, third-party operators, third-party customers or other third parties could decrease our cash flows from operations and adversely affect the exploration and development of our prospects and assets.</w:t>
      </w:r>
    </w:p>
    <w:p>
      <w:pPr>
        <w:spacing w:after="0" w:line="223" w:lineRule="exact"/>
        <w:rPr>
          <w:sz w:val="20"/>
          <w:szCs w:val="20"/>
          <w:color w:val="auto"/>
        </w:rPr>
      </w:pPr>
    </w:p>
    <w:p>
      <w:pPr>
        <w:ind w:right="720" w:firstLine="241"/>
        <w:spacing w:after="0" w:line="285" w:lineRule="auto"/>
        <w:rPr>
          <w:sz w:val="20"/>
          <w:szCs w:val="20"/>
          <w:color w:val="auto"/>
        </w:rPr>
      </w:pPr>
      <w:r>
        <w:rPr>
          <w:rFonts w:ascii="Calibri" w:cs="Calibri" w:eastAsia="Calibri" w:hAnsi="Calibri"/>
          <w:sz w:val="17"/>
          <w:szCs w:val="17"/>
          <w:color w:val="auto"/>
        </w:rPr>
        <w:t>We derive most of our revenues from the sale of our oil, natural gas and NGLs to unaffiliated third-party purchasers, independent marketing companies and midstream companies. We are also subject to credit risk due to the concentration of our oil and natural gas receivables with several significant customers. For each of the years ended December 31, 2025, 2024 and 2023, we had three significant purchasers that collectively accounted for approximately 72%, 79% and 76%, respectively, of our total oil, natural gas and NGL revenues. We cannot ensure that we will continue to have ready access to suitable markets for our future production. If we lost one or more of these customers and were unable to sell our production to other customers on terms we consider acceptable, it could materially and adversely affect our business, financial condition, results of operations and cash flows. Furthermore, we cannot</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92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1160" w:top="498" w:right="440" w:bottom="0" w:gutter="0" w:footer="0" w:header="0"/>
          <w:type w:val="continuous"/>
        </w:sectPr>
      </w:pPr>
    </w:p>
    <w:bookmarkStart w:id="73" w:name="page74"/>
    <w:bookmarkEnd w:id="73"/>
    <w:p>
      <w:pPr>
        <w:spacing w:after="0"/>
        <w:tabs>
          <w:tab w:leader="none" w:pos="740" w:val="left"/>
        </w:tabs>
        <w:rPr>
          <w:sz w:val="20"/>
          <w:szCs w:val="20"/>
          <w:color w:val="auto"/>
        </w:rPr>
      </w:pPr>
      <w:r>
        <w:rPr>
          <w:rFonts w:ascii="Calibri" w:cs="Calibri" w:eastAsia="Calibri" w:hAnsi="Calibri"/>
          <w:sz w:val="18"/>
          <w:szCs w:val="18"/>
          <w:color w:val="auto"/>
        </w:rPr>
        <w:t>60</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20" w:right="40"/>
        <w:spacing w:after="0" w:line="264" w:lineRule="auto"/>
        <w:rPr>
          <w:sz w:val="20"/>
          <w:szCs w:val="20"/>
          <w:color w:val="auto"/>
        </w:rPr>
      </w:pPr>
      <w:r>
        <w:rPr>
          <w:rFonts w:ascii="Calibri" w:cs="Calibri" w:eastAsia="Calibri" w:hAnsi="Calibri"/>
          <w:sz w:val="18"/>
          <w:szCs w:val="18"/>
          <w:color w:val="auto"/>
        </w:rPr>
        <w:t>predict the extent to which counterparties’ businesses would be impacted if oil and natural gas prices decline, such prices remain depressed for a sustained period of time or other conditions in our industry were to deteriorate. Any delays in payments from our purchasers caused by financial problems encountered by them could have an immediate negative effect on our results of operations and cash flows.</w:t>
      </w:r>
    </w:p>
    <w:p>
      <w:pPr>
        <w:spacing w:after="0" w:line="221" w:lineRule="exact"/>
        <w:rPr>
          <w:sz w:val="20"/>
          <w:szCs w:val="20"/>
          <w:color w:val="auto"/>
        </w:rPr>
      </w:pPr>
    </w:p>
    <w:p>
      <w:pPr>
        <w:ind w:left="720" w:firstLine="241"/>
        <w:spacing w:after="0" w:line="269" w:lineRule="auto"/>
        <w:rPr>
          <w:sz w:val="20"/>
          <w:szCs w:val="20"/>
          <w:color w:val="auto"/>
        </w:rPr>
      </w:pPr>
      <w:r>
        <w:rPr>
          <w:rFonts w:ascii="Calibri" w:cs="Calibri" w:eastAsia="Calibri" w:hAnsi="Calibri"/>
          <w:sz w:val="18"/>
          <w:szCs w:val="18"/>
          <w:color w:val="auto"/>
        </w:rPr>
        <w:t>In addition to credit risk related to purchasers of our production, we also face credit risk through receivables from joint interest owners on properties we operate and from San Mateo’s customers. Joint interest receivables arise from billing entities that own partial interests in the wells we operate. These entities participate in our wells primarily based on their ownership in leases on which we drill. We are generally unable to control which co-owners participate in our wells. Liquidity and cash flow problems encountered by our joint interest owners or the third-party operators of our non-operated properties may prevent or delay the drilling of a well or the development of a project. Our joint interest owners may be unwilling or unable to pay their share of the costs of projects as they become due. In the case of a farmout party, we would have to find a new farmout party or obtain alternative funding in order to complete the exploration and development of the prospects subject to a farmout agreement. In the case of a working interest owner, we could be required to pay the working interest owner’s share of the project costs. If we are not able to obtain the capital necessary to fund either of these contingencies or find a new farmout party, our results of operations and cash flows could be adversely affected.</w:t>
      </w:r>
    </w:p>
    <w:p>
      <w:pPr>
        <w:spacing w:after="0" w:line="214" w:lineRule="exact"/>
        <w:rPr>
          <w:sz w:val="20"/>
          <w:szCs w:val="20"/>
          <w:color w:val="auto"/>
        </w:rPr>
      </w:pPr>
    </w:p>
    <w:p>
      <w:pPr>
        <w:jc w:val="both"/>
        <w:ind w:left="720" w:right="200"/>
        <w:spacing w:after="0" w:line="261" w:lineRule="auto"/>
        <w:rPr>
          <w:sz w:val="20"/>
          <w:szCs w:val="20"/>
          <w:color w:val="auto"/>
        </w:rPr>
      </w:pPr>
      <w:r>
        <w:rPr>
          <w:rFonts w:ascii="Calibri" w:cs="Calibri" w:eastAsia="Calibri" w:hAnsi="Calibri"/>
          <w:sz w:val="18"/>
          <w:szCs w:val="18"/>
          <w:i w:val="1"/>
          <w:iCs w:val="1"/>
          <w:color w:val="214E93"/>
        </w:rPr>
        <w:t>The marketability of our production is dependent upon oil, natural gas and NGL gathering, processing and transportation facilities, and the unavailability of satisfactory oil, natural gas and NGL gathering, processing and transportation arrangements could have a material adverse effect on our revenue.</w:t>
      </w:r>
    </w:p>
    <w:p>
      <w:pPr>
        <w:spacing w:after="0" w:line="223" w:lineRule="exact"/>
        <w:rPr>
          <w:sz w:val="20"/>
          <w:szCs w:val="20"/>
          <w:color w:val="auto"/>
        </w:rPr>
      </w:pPr>
    </w:p>
    <w:p>
      <w:pPr>
        <w:ind w:left="720" w:right="80" w:firstLine="241"/>
        <w:spacing w:after="0" w:line="269" w:lineRule="auto"/>
        <w:rPr>
          <w:sz w:val="20"/>
          <w:szCs w:val="20"/>
          <w:color w:val="auto"/>
        </w:rPr>
      </w:pPr>
      <w:r>
        <w:rPr>
          <w:rFonts w:ascii="Calibri" w:cs="Calibri" w:eastAsia="Calibri" w:hAnsi="Calibri"/>
          <w:sz w:val="18"/>
          <w:szCs w:val="18"/>
          <w:color w:val="auto"/>
        </w:rPr>
        <w:t>The unavailability of satisfactory oil, natural gas and NGL gathering, processing and transportation arrangements may hinder our access to oil, natural gas and NGL markets or delay production from our wells. The availability of a ready market for our oil, natural gas and NGL production depends on a number of factors, including the demand for, and supply of, oil, natural gas and NGLs and the proximity of reserves to pipelines and terminal facilities. Our ability to market our production depends in substantial part on the availability and capacity of gathering systems, pipelines, processing facilities and oil and condensate trucking operations. Such systems and operations include those of San Mateo, as well as other systems and operations owned and operated by third parties. The continuing operation of, and our continuing access to, third-party systems and operations is outside our control. Regardless of who operates the midstream systems or operations upon which we rely, our failure to obtain these services on acceptable terms could materially harm our business. In addition, certain of these gathering systems, pipelines and processing facilities, particularly in the Delaware Basin, may be outdated or in need of repair and subject to higher rates of line loss, failure and breakdown. Furthermore, such facilities may become unavailable because of testing, turnarounds, line repair, maintenance, reduced operating pressure, lack of operating capacity, regulatory requirements and curtailments of receipt or deliveries due to insufficient capacity or because of damage from severe weather conditions or other operational issues.</w:t>
      </w:r>
    </w:p>
    <w:p>
      <w:pPr>
        <w:spacing w:after="0" w:line="218" w:lineRule="exact"/>
        <w:rPr>
          <w:sz w:val="20"/>
          <w:szCs w:val="20"/>
          <w:color w:val="auto"/>
        </w:rPr>
      </w:pPr>
    </w:p>
    <w:p>
      <w:pPr>
        <w:ind w:left="720" w:firstLine="241"/>
        <w:spacing w:after="0" w:line="284" w:lineRule="auto"/>
        <w:rPr>
          <w:sz w:val="20"/>
          <w:szCs w:val="20"/>
          <w:color w:val="auto"/>
        </w:rPr>
      </w:pPr>
      <w:r>
        <w:rPr>
          <w:rFonts w:ascii="Calibri" w:cs="Calibri" w:eastAsia="Calibri" w:hAnsi="Calibri"/>
          <w:sz w:val="17"/>
          <w:szCs w:val="17"/>
          <w:color w:val="auto"/>
        </w:rPr>
        <w:t>We may be required to shut in wells for lack of a market or because of inadequate or unavailable pipelines, gathering systems, treating, compression or processing facilities or trucking capacity. If that were to occur, we would be unable to realize revenue from those wells until production arrangements were made to deliver our production to market. Furthermore, if we were required to shut in wells, we might also be obligated to pay shut-in royalties to certain mineral interest owners in order to maintain our leases.</w:t>
      </w:r>
    </w:p>
    <w:p>
      <w:pPr>
        <w:spacing w:after="0" w:line="205" w:lineRule="exact"/>
        <w:rPr>
          <w:sz w:val="20"/>
          <w:szCs w:val="20"/>
          <w:color w:val="auto"/>
        </w:rPr>
      </w:pPr>
    </w:p>
    <w:p>
      <w:pPr>
        <w:ind w:left="720" w:right="60" w:firstLine="241"/>
        <w:spacing w:after="0" w:line="286" w:lineRule="auto"/>
        <w:rPr>
          <w:sz w:val="20"/>
          <w:szCs w:val="20"/>
          <w:color w:val="auto"/>
        </w:rPr>
      </w:pPr>
      <w:r>
        <w:rPr>
          <w:rFonts w:ascii="Calibri" w:cs="Calibri" w:eastAsia="Calibri" w:hAnsi="Calibri"/>
          <w:sz w:val="17"/>
          <w:szCs w:val="17"/>
          <w:color w:val="auto"/>
        </w:rPr>
        <w:t>The disruption of our own or third-party facilities due to maintenance, weather or other factors could negatively impact our ability to market and deliver our oil, natural gas and NGLs. If our costs to access and transport on these pipelines significantly increase, our profitability could be reduced. Third parties control when or if their facilities are restored and what prices will be charged. In the past, we have experienced pipeline and natural gas processing interruptions and capacity and infrastructure constraints associated with natural gas production. While we have entered into natural gas processing, treating, compression and transportation agreements covering the anticipated natural gas production from a significant portion of our Delaware Basin acreage in Southeast New Mexico and West Texas, no assurance can be given that these agreements will alleviate these issues completely, and we may be required to pay deficiency payments under such agreements if we do not meet the gathering or processing commitments, as applicable. For example, in the fourth quarter of 2025, we experienced temporary oil and natural gas pipeline and processing interruptions due to maintenance and constraints that are estimated to have resulted in approximately 3,600 BOE per day of less production. We may experience similar interruptions and processing capacity constraints in the future as we continue to explore and develop our Wolfcamp, Bone Spring and other liquids-rich plays in the Delaware Basin. If we were required to shut in</w:t>
      </w:r>
    </w:p>
    <w:p>
      <w:pPr>
        <w:sectPr>
          <w:pgSz w:w="11880" w:h="15480" w:orient="portrait"/>
          <w:cols w:equalWidth="0" w:num="1">
            <w:col w:w="10280"/>
          </w:cols>
          <w:pgMar w:left="44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440" w:top="498" w:right="1160" w:bottom="0" w:gutter="0" w:footer="0" w:header="0"/>
          <w:type w:val="continuous"/>
        </w:sectPr>
      </w:pPr>
    </w:p>
    <w:bookmarkStart w:id="74" w:name="page75"/>
    <w:bookmarkEnd w:id="74"/>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61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940"/>
        <w:spacing w:after="0" w:line="252" w:lineRule="auto"/>
        <w:rPr>
          <w:sz w:val="20"/>
          <w:szCs w:val="20"/>
          <w:color w:val="auto"/>
        </w:rPr>
      </w:pPr>
      <w:r>
        <w:rPr>
          <w:rFonts w:ascii="Calibri" w:cs="Calibri" w:eastAsia="Calibri" w:hAnsi="Calibri"/>
          <w:sz w:val="18"/>
          <w:szCs w:val="18"/>
          <w:color w:val="auto"/>
        </w:rPr>
        <w:t>our production for long periods of time due to pipeline interruptions or lack of processing facilities or capacity of these facilities, it could have a material adverse effect on our business, financial condition, results of operations and cash flows.</w:t>
      </w:r>
    </w:p>
    <w:p>
      <w:pPr>
        <w:spacing w:after="0" w:line="230" w:lineRule="exact"/>
        <w:rPr>
          <w:sz w:val="20"/>
          <w:szCs w:val="20"/>
          <w:color w:val="auto"/>
        </w:rPr>
      </w:pPr>
    </w:p>
    <w:p>
      <w:pPr>
        <w:ind w:right="1240"/>
        <w:spacing w:after="0" w:line="252" w:lineRule="auto"/>
        <w:rPr>
          <w:sz w:val="20"/>
          <w:szCs w:val="20"/>
          <w:color w:val="auto"/>
        </w:rPr>
      </w:pPr>
      <w:r>
        <w:rPr>
          <w:rFonts w:ascii="Calibri" w:cs="Calibri" w:eastAsia="Calibri" w:hAnsi="Calibri"/>
          <w:sz w:val="18"/>
          <w:szCs w:val="18"/>
          <w:i w:val="1"/>
          <w:iCs w:val="1"/>
          <w:color w:val="214E93"/>
        </w:rPr>
        <w:t>We conduct a portion of our operations through joint ventures, which subjects us to additional risks that could have a material adverse effect on the success of these operations, our financial position, results of operations or cash flows.</w:t>
      </w:r>
    </w:p>
    <w:p>
      <w:pPr>
        <w:spacing w:after="0" w:line="230" w:lineRule="exact"/>
        <w:rPr>
          <w:sz w:val="20"/>
          <w:szCs w:val="20"/>
          <w:color w:val="auto"/>
        </w:rPr>
      </w:pPr>
    </w:p>
    <w:p>
      <w:pPr>
        <w:ind w:right="740" w:firstLine="241"/>
        <w:spacing w:after="0" w:line="269" w:lineRule="auto"/>
        <w:rPr>
          <w:sz w:val="20"/>
          <w:szCs w:val="20"/>
          <w:color w:val="auto"/>
        </w:rPr>
      </w:pPr>
      <w:r>
        <w:rPr>
          <w:rFonts w:ascii="Calibri" w:cs="Calibri" w:eastAsia="Calibri" w:hAnsi="Calibri"/>
          <w:sz w:val="18"/>
          <w:szCs w:val="18"/>
          <w:color w:val="auto"/>
        </w:rPr>
        <w:t>We own and operate substantially all of our midstream assets in Eddy County, New Mexico and Loving County, Texas and a significant proportion of our midstream assets in Lea County, New Mexico through San Mateo, and we have and may continue to enter into other joint venture arrangements in the future. The nature of a joint venture requires us to share a portion of control with unaffiliated third parties. Moreover, joint venture arrangements involve various risks and uncertainties, such as committing us to fund operating and/or capital expenditures, the timing and amount of which we may not control. In addition, if our joint venture partners do not fulfill their contractual, financial and other obligations, the affected joint venture may be unable to operate according to its business plan, and we may be required to increase our level of financial commitment or seek third-party capital, which could dilute our ownership in the applicable joint venture. If we do not timely meet our financial commitments or otherwise comply with our joint venture agreements, our ownership of and rights with respect to the applicable joint venture may be reduced or otherwise adversely affected. Furthermore, there can be no assurance that any joint venture will be successful or generate cash flows at the level we have anticipated, or at all. Differences in views among joint venture participants could also result in delays in business decisions or otherwise, failures to agree on major issues, operational inefficiencies and impasses, litigation or other issues. We provide management functions for certain joint ventures and may provide such services for future joint venture arrangements, which may require additional time and attention of management or require us to hire or contract additional personnel. Third parties may also seek to hold us liable for a joint venture’s liabilities. These issues or any other difficulties that cause a joint venture to deviate from its original business plan could have a material adverse effect on our business, financial condition, results of operations and cash flows.</w:t>
      </w:r>
    </w:p>
    <w:p>
      <w:pPr>
        <w:spacing w:after="0" w:line="225" w:lineRule="exact"/>
        <w:rPr>
          <w:sz w:val="20"/>
          <w:szCs w:val="20"/>
          <w:color w:val="auto"/>
        </w:rPr>
      </w:pPr>
    </w:p>
    <w:p>
      <w:pPr>
        <w:ind w:right="840"/>
        <w:spacing w:after="0" w:line="261" w:lineRule="auto"/>
        <w:rPr>
          <w:sz w:val="20"/>
          <w:szCs w:val="20"/>
          <w:color w:val="auto"/>
        </w:rPr>
      </w:pPr>
      <w:r>
        <w:rPr>
          <w:rFonts w:ascii="Calibri" w:cs="Calibri" w:eastAsia="Calibri" w:hAnsi="Calibri"/>
          <w:sz w:val="18"/>
          <w:szCs w:val="18"/>
          <w:i w:val="1"/>
          <w:iCs w:val="1"/>
          <w:color w:val="214E93"/>
        </w:rPr>
        <w:t>Because of the natural decline in production in the regions of San Mateo’s midstream operations, San Mateo’s long-term success depend on its ability to obtain new sources of products, which depends on certain factors beyond San Mateo’s control. Any decrease in supplies to their midstream facilities could adversely affect San Mateo’s business and operating results.</w:t>
      </w:r>
    </w:p>
    <w:p>
      <w:pPr>
        <w:spacing w:after="0" w:line="223" w:lineRule="exact"/>
        <w:rPr>
          <w:sz w:val="20"/>
          <w:szCs w:val="20"/>
          <w:color w:val="auto"/>
        </w:rPr>
      </w:pPr>
    </w:p>
    <w:p>
      <w:pPr>
        <w:ind w:right="720" w:firstLine="241"/>
        <w:spacing w:after="0" w:line="286" w:lineRule="auto"/>
        <w:rPr>
          <w:sz w:val="20"/>
          <w:szCs w:val="20"/>
          <w:color w:val="auto"/>
        </w:rPr>
      </w:pPr>
      <w:r>
        <w:rPr>
          <w:rFonts w:ascii="Calibri" w:cs="Calibri" w:eastAsia="Calibri" w:hAnsi="Calibri"/>
          <w:sz w:val="17"/>
          <w:szCs w:val="17"/>
          <w:color w:val="auto"/>
        </w:rPr>
        <w:t>San Mateo’s midstream facilities are, or will be, connected to oil and natural gas wells operated by us or by third parties from which production will naturally decline over time, which means that the cash flows associated with these sources of oil, natural gas, NGLs and produced water will also decline over time. Some of these third parties are not subject to minimum volume commitments. To maintain or increase throughput levels on San Mateo’s gathering systems and the utilization rate at its other midstream facilities, San Mateo must continually obtain new sources of products. San Mateo’s ability to obtain additional sources of oil, natural gas, NGLs and produced water depends, in part, on the level of successful drilling and production activity near its gathering and transportation systems and other midstream facilities. San Mateo has no control over the level of activity in the areas of its operations, the amount of reserves associated with the wells or the rate at which production from a well will decline. In addition, San Mateo has no control over producers or their drilling or production decisions, which are affected by, among other things, prevailing and projected energy prices, demand for hydrocarbons, the level of reserves, geological considerations, governmental regulations, the availability of drilling rigs, other production and development costs and the availability and cost of capital.</w:t>
      </w:r>
    </w:p>
    <w:p>
      <w:pPr>
        <w:spacing w:after="0" w:line="203" w:lineRule="exact"/>
        <w:rPr>
          <w:sz w:val="20"/>
          <w:szCs w:val="20"/>
          <w:color w:val="auto"/>
        </w:rPr>
      </w:pPr>
    </w:p>
    <w:p>
      <w:pPr>
        <w:ind w:right="1060"/>
        <w:spacing w:after="0" w:line="252" w:lineRule="auto"/>
        <w:rPr>
          <w:sz w:val="20"/>
          <w:szCs w:val="20"/>
          <w:color w:val="auto"/>
        </w:rPr>
      </w:pPr>
      <w:r>
        <w:rPr>
          <w:rFonts w:ascii="Calibri" w:cs="Calibri" w:eastAsia="Calibri" w:hAnsi="Calibri"/>
          <w:sz w:val="18"/>
          <w:szCs w:val="18"/>
          <w:i w:val="1"/>
          <w:iCs w:val="1"/>
          <w:color w:val="214E93"/>
        </w:rPr>
        <w:t>We have entered into certain long-term contracts that require us to pay fees to our service providers based on minimum volumes regardless of actual volume throughput and that may limit our ability to use other service providers.</w:t>
      </w:r>
    </w:p>
    <w:p>
      <w:pPr>
        <w:spacing w:after="0" w:line="230" w:lineRule="exact"/>
        <w:rPr>
          <w:sz w:val="20"/>
          <w:szCs w:val="20"/>
          <w:color w:val="auto"/>
        </w:rPr>
      </w:pPr>
    </w:p>
    <w:p>
      <w:pPr>
        <w:ind w:right="760" w:firstLine="241"/>
        <w:spacing w:after="0" w:line="268" w:lineRule="auto"/>
        <w:rPr>
          <w:sz w:val="20"/>
          <w:szCs w:val="20"/>
          <w:color w:val="auto"/>
        </w:rPr>
      </w:pPr>
      <w:r>
        <w:rPr>
          <w:rFonts w:ascii="Calibri" w:cs="Calibri" w:eastAsia="Calibri" w:hAnsi="Calibri"/>
          <w:sz w:val="18"/>
          <w:szCs w:val="18"/>
          <w:color w:val="auto"/>
        </w:rPr>
        <w:t>From time to time, we have entered into and may in the future enter into certain oil, natural gas or produced water gathering, treating, compression or transportation agreements, natural gas processing agreements, NGL transportation agreements, produced water disposal agreements or similar commercial arrangements with midstream companies, including San Mateo and its subsidiaries. Certain of these agreements require us to meet minimum volume commitments, often regardless of actual throughput. Reductions in our drilling activity could result in insufficient production to fulfill our obligations under these agreements. As of December 31, 2025, our long-term contractual obligations under agreements with minimum volume commitments totaled approximately $3.06 billion over the terms of the agreements. If we have insufficient production to meet the minimum volume commitments under any of these agreements, our cash flow from operations will be reduced, which may require us to reduce or delay our planned investments and capital expenditures or seek alternative means of financing, all of which may have a material adverse effect on our results of operations.</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892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1160" w:top="498" w:right="440" w:bottom="0" w:gutter="0" w:footer="0" w:header="0"/>
          <w:type w:val="continuous"/>
        </w:sectPr>
      </w:pPr>
    </w:p>
    <w:bookmarkStart w:id="75" w:name="page76"/>
    <w:bookmarkEnd w:id="75"/>
    <w:p>
      <w:pPr>
        <w:spacing w:after="0"/>
        <w:tabs>
          <w:tab w:leader="none" w:pos="740" w:val="left"/>
        </w:tabs>
        <w:rPr>
          <w:sz w:val="20"/>
          <w:szCs w:val="20"/>
          <w:color w:val="auto"/>
        </w:rPr>
      </w:pPr>
      <w:r>
        <w:rPr>
          <w:rFonts w:ascii="Calibri" w:cs="Calibri" w:eastAsia="Calibri" w:hAnsi="Calibri"/>
          <w:sz w:val="18"/>
          <w:szCs w:val="18"/>
          <w:color w:val="auto"/>
        </w:rPr>
        <w:t>62</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20" w:firstLine="241"/>
        <w:spacing w:after="0" w:line="264" w:lineRule="auto"/>
        <w:rPr>
          <w:sz w:val="20"/>
          <w:szCs w:val="20"/>
          <w:color w:val="auto"/>
        </w:rPr>
      </w:pPr>
      <w:r>
        <w:rPr>
          <w:rFonts w:ascii="Calibri" w:cs="Calibri" w:eastAsia="Calibri" w:hAnsi="Calibri"/>
          <w:sz w:val="18"/>
          <w:szCs w:val="18"/>
          <w:color w:val="auto"/>
        </w:rPr>
        <w:t>Pursuant to certain of our agreements with midstream companies, we have dedicated our current and future leasehold interests in certain of our asset areas to counterparties. As a result, we will be limited in our ability to use other gathering, processing, disposal and transportation service providers, including our midstream business, even if such service providers are able to offer us more favorable pricing or more efficient service.</w:t>
      </w:r>
    </w:p>
    <w:p>
      <w:pPr>
        <w:spacing w:after="0" w:line="204" w:lineRule="exact"/>
        <w:rPr>
          <w:sz w:val="20"/>
          <w:szCs w:val="20"/>
          <w:color w:val="auto"/>
        </w:rPr>
      </w:pPr>
    </w:p>
    <w:p>
      <w:pPr>
        <w:ind w:left="720"/>
        <w:spacing w:after="0"/>
        <w:rPr>
          <w:sz w:val="20"/>
          <w:szCs w:val="20"/>
          <w:color w:val="auto"/>
        </w:rPr>
      </w:pPr>
      <w:r>
        <w:rPr>
          <w:rFonts w:ascii="Calibri" w:cs="Calibri" w:eastAsia="Calibri" w:hAnsi="Calibri"/>
          <w:sz w:val="18"/>
          <w:szCs w:val="18"/>
          <w:i w:val="1"/>
          <w:iCs w:val="1"/>
          <w:color w:val="214E93"/>
        </w:rPr>
        <w:t>We do not own all of the land on which our midstream assets are located, which could disrupt our operations.</w:t>
      </w:r>
    </w:p>
    <w:p>
      <w:pPr>
        <w:spacing w:after="0" w:line="241" w:lineRule="exact"/>
        <w:rPr>
          <w:sz w:val="20"/>
          <w:szCs w:val="20"/>
          <w:color w:val="auto"/>
        </w:rPr>
      </w:pPr>
    </w:p>
    <w:p>
      <w:pPr>
        <w:ind w:left="720" w:right="60" w:firstLine="241"/>
        <w:spacing w:after="0" w:line="267" w:lineRule="auto"/>
        <w:rPr>
          <w:sz w:val="20"/>
          <w:szCs w:val="20"/>
          <w:color w:val="auto"/>
        </w:rPr>
      </w:pPr>
      <w:r>
        <w:rPr>
          <w:rFonts w:ascii="Calibri" w:cs="Calibri" w:eastAsia="Calibri" w:hAnsi="Calibri"/>
          <w:sz w:val="18"/>
          <w:szCs w:val="18"/>
          <w:color w:val="auto"/>
        </w:rPr>
        <w:t>We do not own all of the land on which our midstream assets are located, and we are therefore subject to the possibility of more onerous terms and/or increased costs or royalties to retain necessary land access if we do not have valid rights-of-way or leases or if such rights-of-way or leases lapse or terminate. We sometimes obtain the rights to construct and operate our midstream assets on land owned by third parties and governmental agencies for a specific period of time. Our loss of these rights, through our inability to renew right-of-way contracts, leases or otherwise, could cause us to cease operations on the affected land or find alternative locations for our operations at increased costs, each of which could have a material adverse effect on our business, financial condition, results of operations and cash flows.</w:t>
      </w:r>
    </w:p>
    <w:p>
      <w:pPr>
        <w:spacing w:after="0" w:line="220" w:lineRule="exact"/>
        <w:rPr>
          <w:sz w:val="20"/>
          <w:szCs w:val="20"/>
          <w:color w:val="auto"/>
        </w:rPr>
      </w:pPr>
    </w:p>
    <w:p>
      <w:pPr>
        <w:jc w:val="both"/>
        <w:ind w:left="720" w:right="120"/>
        <w:spacing w:after="0" w:line="261" w:lineRule="auto"/>
        <w:rPr>
          <w:sz w:val="20"/>
          <w:szCs w:val="20"/>
          <w:color w:val="auto"/>
        </w:rPr>
      </w:pPr>
      <w:r>
        <w:rPr>
          <w:rFonts w:ascii="Calibri" w:cs="Calibri" w:eastAsia="Calibri" w:hAnsi="Calibri"/>
          <w:sz w:val="18"/>
          <w:szCs w:val="18"/>
          <w:i w:val="1"/>
          <w:iCs w:val="1"/>
          <w:color w:val="214E93"/>
        </w:rPr>
        <w:t>Competition in the oil and natural gas industry is intense, making it more difficult for us to acquire properties, market oil and natural gas, provide midstream services and secure trained personnel, and our competitors may use superior technology and data resources that we may be unable to afford.</w:t>
      </w:r>
    </w:p>
    <w:p>
      <w:pPr>
        <w:spacing w:after="0" w:line="223" w:lineRule="exact"/>
        <w:rPr>
          <w:sz w:val="20"/>
          <w:szCs w:val="20"/>
          <w:color w:val="auto"/>
        </w:rPr>
      </w:pPr>
    </w:p>
    <w:p>
      <w:pPr>
        <w:ind w:left="720" w:right="40" w:firstLine="241"/>
        <w:spacing w:after="0" w:line="269" w:lineRule="auto"/>
        <w:rPr>
          <w:sz w:val="20"/>
          <w:szCs w:val="20"/>
          <w:color w:val="auto"/>
        </w:rPr>
      </w:pPr>
      <w:r>
        <w:rPr>
          <w:rFonts w:ascii="Calibri" w:cs="Calibri" w:eastAsia="Calibri" w:hAnsi="Calibri"/>
          <w:sz w:val="18"/>
          <w:szCs w:val="18"/>
          <w:color w:val="auto"/>
        </w:rPr>
        <w:t>Competition is intense in virtually all facets of our business. Our ability to acquire additional prospects and to find and develop reserves in the future will depend in part on our ability to evaluate and select suitable properties and to consummate transactions in a highly competitive environment for acquiring properties, to market oil and natural gas and to secure trained personnel. Similarly, our midstream business, and particularly the success of San Mateo, depends in part on our ability to compete with other midstream service companies to attract third-party customers to our midstream facilities. San Mateo competes with other midstream companies that provide similar services in their areas of operations, and such companies may have legacy relationships with producers in those areas and may have a longer history of efficiency and reliability. Also, there is substantial competition for capital available for investment in the oil and natural gas industry. Many of our competitors possess and employ financial, technical, technological and personnel resources substantially greater than ours. Those companies may be able to pay more for productive oil and natural gas properties and exploratory prospects and to evaluate, bid for and purchase a greater number of properties and prospects than our financial, technical, technological or personnel resources permit. As our competitors use or develop new technologies, we may be placed at a competitive disadvantage, and competitive pressures may force us to implement new technologies at a substantial cost. We cannot be certain that we will be able to implement technologies on a timely basis or at a cost that is acceptable to us. One or more of the technologies that we use or that we may implement in the future may become obsolete, and our operations may be adversely affected.</w:t>
      </w:r>
    </w:p>
    <w:p>
      <w:pPr>
        <w:spacing w:after="0" w:line="221" w:lineRule="exact"/>
        <w:rPr>
          <w:sz w:val="20"/>
          <w:szCs w:val="20"/>
          <w:color w:val="auto"/>
        </w:rPr>
      </w:pPr>
    </w:p>
    <w:p>
      <w:pPr>
        <w:ind w:left="720" w:right="80" w:firstLine="241"/>
        <w:spacing w:after="0" w:line="267" w:lineRule="auto"/>
        <w:rPr>
          <w:sz w:val="20"/>
          <w:szCs w:val="20"/>
          <w:color w:val="auto"/>
        </w:rPr>
      </w:pPr>
      <w:r>
        <w:rPr>
          <w:rFonts w:ascii="Calibri" w:cs="Calibri" w:eastAsia="Calibri" w:hAnsi="Calibri"/>
          <w:sz w:val="18"/>
          <w:szCs w:val="18"/>
          <w:color w:val="auto"/>
        </w:rPr>
        <w:t>In addition, other companies may be able to offer better compensation packages to attract and retain qualified personnel than we are able to offer. The cost to attract and retain qualified personnel has increased in recent years due to a competitive labor market, inflation and other factors, and may increase substantially in the future. We may not be able to compete successfully in the future in acquiring prospective reserves, developing reserves, developing midstream assets, marketing hydrocarbons, attracting and retaining quality personnel and raising additional capital, which could have a material adverse effect on our business, financial condition, results of operations and cash flows.</w:t>
      </w:r>
    </w:p>
    <w:p>
      <w:pPr>
        <w:spacing w:after="0" w:line="200" w:lineRule="exact"/>
        <w:rPr>
          <w:sz w:val="20"/>
          <w:szCs w:val="20"/>
          <w:color w:val="auto"/>
        </w:rPr>
      </w:pPr>
    </w:p>
    <w:p>
      <w:pPr>
        <w:ind w:left="720"/>
        <w:spacing w:after="0"/>
        <w:rPr>
          <w:sz w:val="20"/>
          <w:szCs w:val="20"/>
          <w:color w:val="auto"/>
        </w:rPr>
      </w:pPr>
      <w:r>
        <w:rPr>
          <w:rFonts w:ascii="Calibri" w:cs="Calibri" w:eastAsia="Calibri" w:hAnsi="Calibri"/>
          <w:sz w:val="18"/>
          <w:szCs w:val="18"/>
          <w:i w:val="1"/>
          <w:iCs w:val="1"/>
          <w:color w:val="214E93"/>
        </w:rPr>
        <w:t>Strategic relationships upon which we may rely are subject to change, which may diminish our ability to conduct our operations.</w:t>
      </w:r>
    </w:p>
    <w:p>
      <w:pPr>
        <w:spacing w:after="0" w:line="241" w:lineRule="exact"/>
        <w:rPr>
          <w:sz w:val="20"/>
          <w:szCs w:val="20"/>
          <w:color w:val="auto"/>
        </w:rPr>
      </w:pPr>
    </w:p>
    <w:p>
      <w:pPr>
        <w:ind w:left="720" w:right="100" w:firstLine="241"/>
        <w:spacing w:after="0" w:line="264" w:lineRule="auto"/>
        <w:rPr>
          <w:sz w:val="20"/>
          <w:szCs w:val="20"/>
          <w:color w:val="auto"/>
        </w:rPr>
      </w:pPr>
      <w:r>
        <w:rPr>
          <w:rFonts w:ascii="Calibri" w:cs="Calibri" w:eastAsia="Calibri" w:hAnsi="Calibri"/>
          <w:sz w:val="18"/>
          <w:szCs w:val="18"/>
          <w:color w:val="auto"/>
        </w:rPr>
        <w:t>Our ability to explore, develop and produce oil and natural gas resources successfully, acquire oil and natural gas interests and acreage and conduct our midstream activities depends on our developing and maintaining close working relationships with industry participants and on our ability to select and evaluate suitable acquisition opportunities in a highly competitive environment. These relationships are subject to change and, if they do, our ability to grow may be impaired.</w:t>
      </w:r>
    </w:p>
    <w:p>
      <w:pPr>
        <w:spacing w:after="0" w:line="221" w:lineRule="exact"/>
        <w:rPr>
          <w:sz w:val="20"/>
          <w:szCs w:val="20"/>
          <w:color w:val="auto"/>
        </w:rPr>
      </w:pPr>
    </w:p>
    <w:p>
      <w:pPr>
        <w:ind w:left="720" w:right="40" w:firstLine="241"/>
        <w:spacing w:after="0" w:line="285" w:lineRule="auto"/>
        <w:rPr>
          <w:sz w:val="20"/>
          <w:szCs w:val="20"/>
          <w:color w:val="auto"/>
        </w:rPr>
      </w:pPr>
      <w:r>
        <w:rPr>
          <w:rFonts w:ascii="Calibri" w:cs="Calibri" w:eastAsia="Calibri" w:hAnsi="Calibri"/>
          <w:sz w:val="17"/>
          <w:szCs w:val="17"/>
          <w:color w:val="auto"/>
        </w:rPr>
        <w:t>To develop our business, we endeavor to use the business relationships of our management and Board to enter into strategic relationships, which may take the form of contractual arrangements with other oil and natural gas companies and service companies, including those that supply equipment and other resources that we expect to use in our business, as well as midstream companies and certain financial institutions. We may not be able to establish these strategic relationships, or if established, we may not be able to maintain them. In addition, the dynamics of our relationships with strategic partners may require us to incur expenses</w:t>
      </w:r>
    </w:p>
    <w:p>
      <w:pPr>
        <w:sectPr>
          <w:pgSz w:w="11880" w:h="15480" w:orient="portrait"/>
          <w:cols w:equalWidth="0" w:num="1">
            <w:col w:w="10300"/>
          </w:cols>
          <w:pgMar w:left="440" w:top="498" w:right="1140" w:bottom="0" w:gutter="0" w:footer="0" w:header="0"/>
        </w:sectPr>
      </w:pPr>
    </w:p>
    <w:p>
      <w:pPr>
        <w:spacing w:after="0" w:line="200" w:lineRule="exact"/>
        <w:rPr>
          <w:sz w:val="20"/>
          <w:szCs w:val="20"/>
          <w:color w:val="auto"/>
        </w:rPr>
      </w:pPr>
    </w:p>
    <w:p>
      <w:pPr>
        <w:spacing w:after="0" w:line="379"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300"/>
          </w:cols>
          <w:pgMar w:left="440" w:top="498" w:right="1140" w:bottom="0" w:gutter="0" w:footer="0" w:header="0"/>
          <w:type w:val="continuous"/>
        </w:sectPr>
      </w:pPr>
    </w:p>
    <w:bookmarkStart w:id="76" w:name="page77"/>
    <w:bookmarkEnd w:id="76"/>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63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740"/>
        <w:spacing w:after="0" w:line="261" w:lineRule="auto"/>
        <w:rPr>
          <w:sz w:val="20"/>
          <w:szCs w:val="20"/>
          <w:color w:val="auto"/>
        </w:rPr>
      </w:pPr>
      <w:r>
        <w:rPr>
          <w:rFonts w:ascii="Calibri" w:cs="Calibri" w:eastAsia="Calibri" w:hAnsi="Calibri"/>
          <w:sz w:val="18"/>
          <w:szCs w:val="18"/>
          <w:color w:val="auto"/>
        </w:rPr>
        <w:t>or undertake activities we would not otherwise be inclined to incur or undertake in order to fulfill our obligations to these partners or maintain our relationships. If our strategic relationships are not established or maintained, our business prospects may be limited, which could diminish our ability to conduct our operations.</w:t>
      </w:r>
    </w:p>
    <w:p>
      <w:pPr>
        <w:spacing w:after="0" w:line="20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214E93"/>
        </w:rPr>
        <w:t>We have limited control over activities on properties we do not operate.</w:t>
      </w:r>
    </w:p>
    <w:p>
      <w:pPr>
        <w:spacing w:after="0" w:line="241" w:lineRule="exact"/>
        <w:rPr>
          <w:sz w:val="20"/>
          <w:szCs w:val="20"/>
          <w:color w:val="auto"/>
        </w:rPr>
      </w:pPr>
    </w:p>
    <w:p>
      <w:pPr>
        <w:ind w:right="700" w:firstLine="241"/>
        <w:spacing w:after="0" w:line="267" w:lineRule="auto"/>
        <w:rPr>
          <w:sz w:val="20"/>
          <w:szCs w:val="20"/>
          <w:color w:val="auto"/>
        </w:rPr>
      </w:pPr>
      <w:r>
        <w:rPr>
          <w:rFonts w:ascii="Calibri" w:cs="Calibri" w:eastAsia="Calibri" w:hAnsi="Calibri"/>
          <w:sz w:val="18"/>
          <w:szCs w:val="18"/>
          <w:color w:val="auto"/>
        </w:rPr>
        <w:t>We are not the operator on some of our properties in Northwest Louisiana, particularly in the Haynesville shale. We also have other non-operated acreage positions in Southeast New Mexico and West Texas. Because we are not the operator for these properties, our ability to exercise influence over the operations of these properties or their associated costs is limited. Our dependence on the operators and other working interest owners of these projects and our limited ability to influence operations and associated costs, or control the risks, could materially and adversely affect the drilling results, reserves and future cash flows from these properties. The success and timing of our drilling and development activities on properties operated by others therefore depends upon a number of factors, including:</w:t>
      </w:r>
    </w:p>
    <w:p>
      <w:pPr>
        <w:spacing w:after="0" w:line="203" w:lineRule="exact"/>
        <w:rPr>
          <w:sz w:val="20"/>
          <w:szCs w:val="20"/>
          <w:color w:val="auto"/>
        </w:rPr>
      </w:pPr>
    </w:p>
    <w:p>
      <w:pPr>
        <w:ind w:left="700" w:hanging="349"/>
        <w:spacing w:after="0"/>
        <w:tabs>
          <w:tab w:leader="none" w:pos="700" w:val="left"/>
        </w:tabs>
        <w:numPr>
          <w:ilvl w:val="0"/>
          <w:numId w:val="59"/>
        </w:numPr>
        <w:rPr>
          <w:rFonts w:ascii="Calibri" w:cs="Calibri" w:eastAsia="Calibri" w:hAnsi="Calibri"/>
          <w:sz w:val="18"/>
          <w:szCs w:val="18"/>
          <w:color w:val="auto"/>
        </w:rPr>
      </w:pPr>
      <w:r>
        <w:rPr>
          <w:rFonts w:ascii="Calibri" w:cs="Calibri" w:eastAsia="Calibri" w:hAnsi="Calibri"/>
          <w:sz w:val="18"/>
          <w:szCs w:val="18"/>
          <w:color w:val="auto"/>
        </w:rPr>
        <w:t>the timing and amount of capital expenditures;</w:t>
      </w:r>
    </w:p>
    <w:p>
      <w:pPr>
        <w:spacing w:after="0" w:line="223" w:lineRule="exact"/>
        <w:rPr>
          <w:rFonts w:ascii="Calibri" w:cs="Calibri" w:eastAsia="Calibri" w:hAnsi="Calibri"/>
          <w:sz w:val="18"/>
          <w:szCs w:val="18"/>
          <w:color w:val="auto"/>
        </w:rPr>
      </w:pPr>
    </w:p>
    <w:p>
      <w:pPr>
        <w:ind w:left="700" w:hanging="349"/>
        <w:spacing w:after="0"/>
        <w:tabs>
          <w:tab w:leader="none" w:pos="700" w:val="left"/>
        </w:tabs>
        <w:numPr>
          <w:ilvl w:val="0"/>
          <w:numId w:val="59"/>
        </w:numPr>
        <w:rPr>
          <w:rFonts w:ascii="Calibri" w:cs="Calibri" w:eastAsia="Calibri" w:hAnsi="Calibri"/>
          <w:sz w:val="18"/>
          <w:szCs w:val="18"/>
          <w:color w:val="auto"/>
        </w:rPr>
      </w:pPr>
      <w:r>
        <w:rPr>
          <w:rFonts w:ascii="Calibri" w:cs="Calibri" w:eastAsia="Calibri" w:hAnsi="Calibri"/>
          <w:sz w:val="18"/>
          <w:szCs w:val="18"/>
          <w:color w:val="auto"/>
        </w:rPr>
        <w:t>the operator’s expertise and financial resources;</w:t>
      </w:r>
    </w:p>
    <w:p>
      <w:pPr>
        <w:spacing w:after="0" w:line="223" w:lineRule="exact"/>
        <w:rPr>
          <w:rFonts w:ascii="Calibri" w:cs="Calibri" w:eastAsia="Calibri" w:hAnsi="Calibri"/>
          <w:sz w:val="18"/>
          <w:szCs w:val="18"/>
          <w:color w:val="auto"/>
        </w:rPr>
      </w:pPr>
    </w:p>
    <w:p>
      <w:pPr>
        <w:ind w:left="700" w:hanging="349"/>
        <w:spacing w:after="0"/>
        <w:tabs>
          <w:tab w:leader="none" w:pos="700" w:val="left"/>
        </w:tabs>
        <w:numPr>
          <w:ilvl w:val="0"/>
          <w:numId w:val="59"/>
        </w:numPr>
        <w:rPr>
          <w:rFonts w:ascii="Calibri" w:cs="Calibri" w:eastAsia="Calibri" w:hAnsi="Calibri"/>
          <w:sz w:val="18"/>
          <w:szCs w:val="18"/>
          <w:color w:val="auto"/>
        </w:rPr>
      </w:pPr>
      <w:r>
        <w:rPr>
          <w:rFonts w:ascii="Calibri" w:cs="Calibri" w:eastAsia="Calibri" w:hAnsi="Calibri"/>
          <w:sz w:val="18"/>
          <w:szCs w:val="18"/>
          <w:color w:val="auto"/>
        </w:rPr>
        <w:t>the rate of production of reserves, if any;</w:t>
      </w:r>
    </w:p>
    <w:p>
      <w:pPr>
        <w:spacing w:after="0" w:line="223" w:lineRule="exact"/>
        <w:rPr>
          <w:rFonts w:ascii="Calibri" w:cs="Calibri" w:eastAsia="Calibri" w:hAnsi="Calibri"/>
          <w:sz w:val="18"/>
          <w:szCs w:val="18"/>
          <w:color w:val="auto"/>
        </w:rPr>
      </w:pPr>
    </w:p>
    <w:p>
      <w:pPr>
        <w:ind w:left="700" w:hanging="349"/>
        <w:spacing w:after="0"/>
        <w:tabs>
          <w:tab w:leader="none" w:pos="700" w:val="left"/>
        </w:tabs>
        <w:numPr>
          <w:ilvl w:val="0"/>
          <w:numId w:val="59"/>
        </w:numPr>
        <w:rPr>
          <w:rFonts w:ascii="Calibri" w:cs="Calibri" w:eastAsia="Calibri" w:hAnsi="Calibri"/>
          <w:sz w:val="18"/>
          <w:szCs w:val="18"/>
          <w:color w:val="auto"/>
        </w:rPr>
      </w:pPr>
      <w:r>
        <w:rPr>
          <w:rFonts w:ascii="Calibri" w:cs="Calibri" w:eastAsia="Calibri" w:hAnsi="Calibri"/>
          <w:sz w:val="18"/>
          <w:szCs w:val="18"/>
          <w:color w:val="auto"/>
        </w:rPr>
        <w:t>approval of other participants in drilling wells; and</w:t>
      </w:r>
    </w:p>
    <w:p>
      <w:pPr>
        <w:spacing w:after="0" w:line="223" w:lineRule="exact"/>
        <w:rPr>
          <w:rFonts w:ascii="Calibri" w:cs="Calibri" w:eastAsia="Calibri" w:hAnsi="Calibri"/>
          <w:sz w:val="18"/>
          <w:szCs w:val="18"/>
          <w:color w:val="auto"/>
        </w:rPr>
      </w:pPr>
    </w:p>
    <w:p>
      <w:pPr>
        <w:ind w:left="700" w:hanging="349"/>
        <w:spacing w:after="0"/>
        <w:tabs>
          <w:tab w:leader="none" w:pos="700" w:val="left"/>
        </w:tabs>
        <w:numPr>
          <w:ilvl w:val="0"/>
          <w:numId w:val="59"/>
        </w:numPr>
        <w:rPr>
          <w:rFonts w:ascii="Calibri" w:cs="Calibri" w:eastAsia="Calibri" w:hAnsi="Calibri"/>
          <w:sz w:val="18"/>
          <w:szCs w:val="18"/>
          <w:color w:val="auto"/>
        </w:rPr>
      </w:pPr>
      <w:r>
        <w:rPr>
          <w:rFonts w:ascii="Calibri" w:cs="Calibri" w:eastAsia="Calibri" w:hAnsi="Calibri"/>
          <w:sz w:val="18"/>
          <w:szCs w:val="18"/>
          <w:color w:val="auto"/>
        </w:rPr>
        <w:t>selection and implementation or execution of technology.</w:t>
      </w:r>
    </w:p>
    <w:p>
      <w:pPr>
        <w:spacing w:after="0" w:line="241" w:lineRule="exact"/>
        <w:rPr>
          <w:sz w:val="20"/>
          <w:szCs w:val="20"/>
          <w:color w:val="auto"/>
        </w:rPr>
      </w:pPr>
    </w:p>
    <w:p>
      <w:pPr>
        <w:ind w:right="740" w:firstLine="241"/>
        <w:spacing w:after="0" w:line="267" w:lineRule="auto"/>
        <w:rPr>
          <w:sz w:val="20"/>
          <w:szCs w:val="20"/>
          <w:color w:val="auto"/>
        </w:rPr>
      </w:pPr>
      <w:r>
        <w:rPr>
          <w:rFonts w:ascii="Calibri" w:cs="Calibri" w:eastAsia="Calibri" w:hAnsi="Calibri"/>
          <w:sz w:val="18"/>
          <w:szCs w:val="18"/>
          <w:color w:val="auto"/>
        </w:rPr>
        <w:t>In areas where we do not have the right to propose the drilling of wells, we may have limited influence on when, how and at what pace our properties in those areas are developed. Further, the operators of those properties may experience financial problems in the future or may sell their rights to another operator not of our choosing, both of which could limit our ability to develop and monetize the underlying oil or natural gas reserves. In addition, the operators of these properties may elect to curtail the oil or natural gas production or to shut in the wells on these properties during periods of low oil or natural gas prices, and we may receive less than anticipated or no production and associated revenues from these properties until the operator elects to return them to production.</w:t>
      </w:r>
    </w:p>
    <w:p>
      <w:pPr>
        <w:spacing w:after="0" w:line="219" w:lineRule="exact"/>
        <w:rPr>
          <w:sz w:val="20"/>
          <w:szCs w:val="20"/>
          <w:color w:val="auto"/>
        </w:rPr>
      </w:pPr>
    </w:p>
    <w:p>
      <w:pPr>
        <w:spacing w:after="0"/>
        <w:rPr>
          <w:sz w:val="20"/>
          <w:szCs w:val="20"/>
          <w:color w:val="auto"/>
        </w:rPr>
      </w:pPr>
      <w:r>
        <w:rPr>
          <w:rFonts w:ascii="Verdana" w:cs="Verdana" w:eastAsia="Verdana" w:hAnsi="Verdana"/>
          <w:sz w:val="20"/>
          <w:szCs w:val="20"/>
          <w:color w:val="214E93"/>
        </w:rPr>
        <w:t>RISKS RELATED TO LAWS AND REGULATIONS</w:t>
      </w:r>
    </w:p>
    <w:p>
      <w:pPr>
        <w:spacing w:after="0" w:line="209" w:lineRule="exact"/>
        <w:rPr>
          <w:sz w:val="20"/>
          <w:szCs w:val="20"/>
          <w:color w:val="auto"/>
        </w:rPr>
      </w:pPr>
    </w:p>
    <w:p>
      <w:pPr>
        <w:ind w:right="1180"/>
        <w:spacing w:after="0" w:line="261" w:lineRule="auto"/>
        <w:rPr>
          <w:sz w:val="20"/>
          <w:szCs w:val="20"/>
          <w:color w:val="auto"/>
        </w:rPr>
      </w:pPr>
      <w:r>
        <w:rPr>
          <w:rFonts w:ascii="Calibri" w:cs="Calibri" w:eastAsia="Calibri" w:hAnsi="Calibri"/>
          <w:sz w:val="18"/>
          <w:szCs w:val="18"/>
          <w:i w:val="1"/>
          <w:iCs w:val="1"/>
          <w:color w:val="214E93"/>
        </w:rPr>
        <w:t>Approximately 33% of our leasehold and mineral acres in the Delaware Basin is located on federal lands, which are subject to administrative permitting requirements and potential federal legislation, regulation and orders that may limit or restrict oil and natural gas operations on federal lands.</w:t>
      </w:r>
    </w:p>
    <w:p>
      <w:pPr>
        <w:spacing w:after="0" w:line="223" w:lineRule="exact"/>
        <w:rPr>
          <w:sz w:val="20"/>
          <w:szCs w:val="20"/>
          <w:color w:val="auto"/>
        </w:rPr>
      </w:pPr>
    </w:p>
    <w:p>
      <w:pPr>
        <w:ind w:right="720" w:firstLine="241"/>
        <w:spacing w:after="0" w:line="286" w:lineRule="auto"/>
        <w:rPr>
          <w:sz w:val="20"/>
          <w:szCs w:val="20"/>
          <w:color w:val="auto"/>
        </w:rPr>
      </w:pPr>
      <w:r>
        <w:rPr>
          <w:rFonts w:ascii="Calibri" w:cs="Calibri" w:eastAsia="Calibri" w:hAnsi="Calibri"/>
          <w:sz w:val="17"/>
          <w:szCs w:val="17"/>
          <w:color w:val="auto"/>
        </w:rPr>
        <w:t>At December 31, 2025, Matador held approximately 212,500 net leasehold and mineral acres in the Delaware Basin, primarily in Eddy and Lea Counties, New Mexico and in Loving, Ward and Winkler Counties, Texas, of which approximately 70,900 net acres, or about 33%, was on federal lands administered by the BLM. In addition to permits issued by state and local authorities, oil and natural gas activities on federal lands also require permits from the BLM. Permitting for oil and natural gas activities on federal lands can take significantly longer than the permitting process for oil and natural gas activities not located on federal lands. In addition, government disruptions, such as a shutdown of the U.S. federal government resulting from the failure to pass budget appropriations, adopt continuing funding resolutions or raise the debt ceiling, could delay or halt the granting and renewal of such permits or other licenses, approvals or certificates required to conduct our operations. Delays in obtaining necessary permits or other approvals can disrupt our operations and have a material adverse effect on our business. BLM leases contain relatively standardized terms and require compliance with detailed regulations and orders, which are subject to change. These operations are also subject to BLM rules regarding engineering and construction specifications for production facilities, ability to commingle production, safety procedures, the valuation of production, the payment of royalties, the removal of facilities, the posting of bonds, hydraulic fracturing, the control of air emissions and other areas of environmental protection. These rules could result in increased compliance costs for our operations, which in turn could have a material adverse effect on our business and results of operations. Under certain circumstances, the BLM may require our operations on federal leases to be suspended or terminated. In addition, litigation related to leasing and permitting of federal lands could also restrict, delay or limit our ability to conduct operations on our federal leasehold</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892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1160" w:top="498" w:right="440" w:bottom="0" w:gutter="0" w:footer="0" w:header="0"/>
          <w:type w:val="continuous"/>
        </w:sectPr>
      </w:pPr>
    </w:p>
    <w:bookmarkStart w:id="77" w:name="page78"/>
    <w:bookmarkEnd w:id="77"/>
    <w:p>
      <w:pPr>
        <w:spacing w:after="0"/>
        <w:tabs>
          <w:tab w:leader="none" w:pos="740" w:val="left"/>
        </w:tabs>
        <w:rPr>
          <w:sz w:val="20"/>
          <w:szCs w:val="20"/>
          <w:color w:val="auto"/>
        </w:rPr>
      </w:pPr>
      <w:r>
        <w:rPr>
          <w:rFonts w:ascii="Calibri" w:cs="Calibri" w:eastAsia="Calibri" w:hAnsi="Calibri"/>
          <w:sz w:val="18"/>
          <w:szCs w:val="18"/>
          <w:color w:val="auto"/>
        </w:rPr>
        <w:t>64</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20"/>
        <w:spacing w:after="0" w:line="266" w:lineRule="auto"/>
        <w:rPr>
          <w:sz w:val="20"/>
          <w:szCs w:val="20"/>
          <w:color w:val="auto"/>
        </w:rPr>
      </w:pPr>
      <w:r>
        <w:rPr>
          <w:rFonts w:ascii="Calibri" w:cs="Calibri" w:eastAsia="Calibri" w:hAnsi="Calibri"/>
          <w:sz w:val="18"/>
          <w:szCs w:val="18"/>
          <w:color w:val="auto"/>
        </w:rPr>
        <w:t>or acquire additional federal leasehold. At the federal level, various policy makers, regulatory agencies and political candidates have also proposed restrictions on hydraulic fracturing, including its outright prohibition. It is possible that any such restrictions on hydraulic fracturing may particularly target activity on federal lands. Any federal legislation, regulations or orders intended to limit or restrict oil and natural gas operations on federal lands, if enacted, could have a material adverse impact on our business, financial condition, results of operations and cash flows.</w:t>
      </w:r>
    </w:p>
    <w:p>
      <w:pPr>
        <w:spacing w:after="0" w:line="218" w:lineRule="exact"/>
        <w:rPr>
          <w:sz w:val="20"/>
          <w:szCs w:val="20"/>
          <w:color w:val="auto"/>
        </w:rPr>
      </w:pPr>
    </w:p>
    <w:p>
      <w:pPr>
        <w:ind w:left="720" w:firstLine="241"/>
        <w:spacing w:after="0" w:line="266" w:lineRule="auto"/>
        <w:rPr>
          <w:sz w:val="20"/>
          <w:szCs w:val="20"/>
          <w:color w:val="auto"/>
        </w:rPr>
      </w:pPr>
      <w:r>
        <w:rPr>
          <w:rFonts w:ascii="Calibri" w:cs="Calibri" w:eastAsia="Calibri" w:hAnsi="Calibri"/>
          <w:sz w:val="18"/>
          <w:szCs w:val="18"/>
          <w:color w:val="auto"/>
        </w:rPr>
        <w:t>Oil and natural gas exploration and production activities on federal lands are also subject to NEPA, which requires federal agencies, including the Department of Interior, to evaluate major agency actions having the potential to significantly impact the environment. This process, including any additional requirements that may be implemented due to, or litigation regarding, the process, has the potential to delay or even halt development of future oil and natural gas projects subject to review under NEPA. See “Business—Regulation—Oil and Natural Gas Regulation.”</w:t>
      </w:r>
    </w:p>
    <w:p>
      <w:pPr>
        <w:spacing w:after="0" w:line="218" w:lineRule="exact"/>
        <w:rPr>
          <w:sz w:val="20"/>
          <w:szCs w:val="20"/>
          <w:color w:val="auto"/>
        </w:rPr>
      </w:pPr>
    </w:p>
    <w:p>
      <w:pPr>
        <w:ind w:left="720" w:right="640"/>
        <w:spacing w:after="0" w:line="252" w:lineRule="auto"/>
        <w:rPr>
          <w:sz w:val="20"/>
          <w:szCs w:val="20"/>
          <w:color w:val="auto"/>
        </w:rPr>
      </w:pPr>
      <w:r>
        <w:rPr>
          <w:rFonts w:ascii="Calibri" w:cs="Calibri" w:eastAsia="Calibri" w:hAnsi="Calibri"/>
          <w:sz w:val="18"/>
          <w:szCs w:val="18"/>
          <w:i w:val="1"/>
          <w:iCs w:val="1"/>
          <w:color w:val="214E93"/>
        </w:rPr>
        <w:t>We are subject to government regulation and liability, including complex environmental laws, which could require significant expenditures.</w:t>
      </w:r>
    </w:p>
    <w:p>
      <w:pPr>
        <w:spacing w:after="0" w:line="230" w:lineRule="exact"/>
        <w:rPr>
          <w:sz w:val="20"/>
          <w:szCs w:val="20"/>
          <w:color w:val="auto"/>
        </w:rPr>
      </w:pPr>
    </w:p>
    <w:p>
      <w:pPr>
        <w:ind w:left="720" w:right="20" w:firstLine="241"/>
        <w:spacing w:after="0" w:line="269" w:lineRule="auto"/>
        <w:rPr>
          <w:sz w:val="20"/>
          <w:szCs w:val="20"/>
          <w:color w:val="auto"/>
        </w:rPr>
      </w:pPr>
      <w:r>
        <w:rPr>
          <w:rFonts w:ascii="Calibri" w:cs="Calibri" w:eastAsia="Calibri" w:hAnsi="Calibri"/>
          <w:sz w:val="18"/>
          <w:szCs w:val="18"/>
          <w:color w:val="auto"/>
        </w:rPr>
        <w:t>The exploration, development, production, gathering, processing, transportation and sale of oil and natural gas in the United States are subject to many federal, state and local laws, rules and regulations, including complex environmental laws and regulations. A change in the presidential administration, as well as a closely divided Congress, may also increase the uncertainty with regard to potential changes in these laws, rules and regulations and the enforcement of any new legislation or directives by governmental authorities. Matters subject to regulation include discharge permits, drilling bonds, reports concerning operations, the spacing of wells, unitization and pooling of properties, taxation, gathering and transportation of oil, natural gas and NGLs, gathering and disposal of produced water, environmental matters and health and safety criteria addressing worker protection. Under these laws and regulations, we may be required to make large expenditures that could materially adversely affect our financial condition, results of operations and cash flows. If existing laws and regulations are revised or reinterpreted, or if new laws and regulations become applicable to our operations or those of our service providers, such changes may affect the costs that we pay for such services or the results of business. In addition to expenditures required in order for us to comply with such laws and regulations, expenditures required by such laws and regulations could also include payments and fines for:</w:t>
      </w:r>
    </w:p>
    <w:p>
      <w:pPr>
        <w:spacing w:after="0" w:line="199" w:lineRule="exact"/>
        <w:rPr>
          <w:sz w:val="20"/>
          <w:szCs w:val="20"/>
          <w:color w:val="auto"/>
        </w:rPr>
      </w:pPr>
    </w:p>
    <w:p>
      <w:pPr>
        <w:ind w:left="1420" w:hanging="349"/>
        <w:spacing w:after="0"/>
        <w:tabs>
          <w:tab w:leader="none" w:pos="1420" w:val="left"/>
        </w:tabs>
        <w:numPr>
          <w:ilvl w:val="0"/>
          <w:numId w:val="60"/>
        </w:numPr>
        <w:rPr>
          <w:rFonts w:ascii="Calibri" w:cs="Calibri" w:eastAsia="Calibri" w:hAnsi="Calibri"/>
          <w:sz w:val="18"/>
          <w:szCs w:val="18"/>
          <w:color w:val="auto"/>
        </w:rPr>
      </w:pPr>
      <w:r>
        <w:rPr>
          <w:rFonts w:ascii="Calibri" w:cs="Calibri" w:eastAsia="Calibri" w:hAnsi="Calibri"/>
          <w:sz w:val="18"/>
          <w:szCs w:val="18"/>
          <w:color w:val="auto"/>
        </w:rPr>
        <w:t>personal injuries;</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60"/>
        </w:numPr>
        <w:rPr>
          <w:rFonts w:ascii="Calibri" w:cs="Calibri" w:eastAsia="Calibri" w:hAnsi="Calibri"/>
          <w:sz w:val="18"/>
          <w:szCs w:val="18"/>
          <w:color w:val="auto"/>
        </w:rPr>
      </w:pPr>
      <w:r>
        <w:rPr>
          <w:rFonts w:ascii="Calibri" w:cs="Calibri" w:eastAsia="Calibri" w:hAnsi="Calibri"/>
          <w:sz w:val="18"/>
          <w:szCs w:val="18"/>
          <w:color w:val="auto"/>
        </w:rPr>
        <w:t>property damage;</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60"/>
        </w:numPr>
        <w:rPr>
          <w:rFonts w:ascii="Calibri" w:cs="Calibri" w:eastAsia="Calibri" w:hAnsi="Calibri"/>
          <w:sz w:val="18"/>
          <w:szCs w:val="18"/>
          <w:color w:val="auto"/>
        </w:rPr>
      </w:pPr>
      <w:r>
        <w:rPr>
          <w:rFonts w:ascii="Calibri" w:cs="Calibri" w:eastAsia="Calibri" w:hAnsi="Calibri"/>
          <w:sz w:val="18"/>
          <w:szCs w:val="18"/>
          <w:color w:val="auto"/>
        </w:rPr>
        <w:t>containment and clean-up of oil, produced water and other spills;</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60"/>
        </w:numPr>
        <w:rPr>
          <w:rFonts w:ascii="Calibri" w:cs="Calibri" w:eastAsia="Calibri" w:hAnsi="Calibri"/>
          <w:sz w:val="18"/>
          <w:szCs w:val="18"/>
          <w:color w:val="auto"/>
        </w:rPr>
      </w:pPr>
      <w:r>
        <w:rPr>
          <w:rFonts w:ascii="Calibri" w:cs="Calibri" w:eastAsia="Calibri" w:hAnsi="Calibri"/>
          <w:sz w:val="18"/>
          <w:szCs w:val="18"/>
          <w:color w:val="auto"/>
        </w:rPr>
        <w:t>venting, flaring or other emissions;</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60"/>
        </w:numPr>
        <w:rPr>
          <w:rFonts w:ascii="Calibri" w:cs="Calibri" w:eastAsia="Calibri" w:hAnsi="Calibri"/>
          <w:sz w:val="18"/>
          <w:szCs w:val="18"/>
          <w:color w:val="auto"/>
        </w:rPr>
      </w:pPr>
      <w:r>
        <w:rPr>
          <w:rFonts w:ascii="Calibri" w:cs="Calibri" w:eastAsia="Calibri" w:hAnsi="Calibri"/>
          <w:sz w:val="18"/>
          <w:szCs w:val="18"/>
          <w:color w:val="auto"/>
        </w:rPr>
        <w:t>management and disposal of hazardous materials;</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60"/>
        </w:numPr>
        <w:rPr>
          <w:rFonts w:ascii="Calibri" w:cs="Calibri" w:eastAsia="Calibri" w:hAnsi="Calibri"/>
          <w:sz w:val="18"/>
          <w:szCs w:val="18"/>
          <w:color w:val="auto"/>
        </w:rPr>
      </w:pPr>
      <w:r>
        <w:rPr>
          <w:rFonts w:ascii="Calibri" w:cs="Calibri" w:eastAsia="Calibri" w:hAnsi="Calibri"/>
          <w:sz w:val="18"/>
          <w:szCs w:val="18"/>
          <w:color w:val="auto"/>
        </w:rPr>
        <w:t>remediation, clean-up costs and natural resource damages; and</w:t>
      </w:r>
    </w:p>
    <w:p>
      <w:pPr>
        <w:spacing w:after="0" w:line="223" w:lineRule="exact"/>
        <w:rPr>
          <w:rFonts w:ascii="Calibri" w:cs="Calibri" w:eastAsia="Calibri" w:hAnsi="Calibri"/>
          <w:sz w:val="18"/>
          <w:szCs w:val="18"/>
          <w:color w:val="auto"/>
        </w:rPr>
      </w:pPr>
    </w:p>
    <w:p>
      <w:pPr>
        <w:ind w:left="1420" w:hanging="349"/>
        <w:spacing w:after="0"/>
        <w:tabs>
          <w:tab w:leader="none" w:pos="1420" w:val="left"/>
        </w:tabs>
        <w:numPr>
          <w:ilvl w:val="0"/>
          <w:numId w:val="60"/>
        </w:numPr>
        <w:rPr>
          <w:rFonts w:ascii="Calibri" w:cs="Calibri" w:eastAsia="Calibri" w:hAnsi="Calibri"/>
          <w:sz w:val="18"/>
          <w:szCs w:val="18"/>
          <w:color w:val="auto"/>
        </w:rPr>
      </w:pPr>
      <w:r>
        <w:rPr>
          <w:rFonts w:ascii="Calibri" w:cs="Calibri" w:eastAsia="Calibri" w:hAnsi="Calibri"/>
          <w:sz w:val="18"/>
          <w:szCs w:val="18"/>
          <w:color w:val="auto"/>
        </w:rPr>
        <w:t>other environmental damages.</w:t>
      </w:r>
    </w:p>
    <w:p>
      <w:pPr>
        <w:spacing w:after="0" w:line="241" w:lineRule="exact"/>
        <w:rPr>
          <w:sz w:val="20"/>
          <w:szCs w:val="20"/>
          <w:color w:val="auto"/>
        </w:rPr>
      </w:pPr>
    </w:p>
    <w:p>
      <w:pPr>
        <w:ind w:left="720" w:right="40" w:firstLine="241"/>
        <w:spacing w:after="0" w:line="286" w:lineRule="auto"/>
        <w:rPr>
          <w:sz w:val="20"/>
          <w:szCs w:val="20"/>
          <w:color w:val="auto"/>
        </w:rPr>
      </w:pPr>
      <w:r>
        <w:rPr>
          <w:rFonts w:ascii="Calibri" w:cs="Calibri" w:eastAsia="Calibri" w:hAnsi="Calibri"/>
          <w:sz w:val="17"/>
          <w:szCs w:val="17"/>
          <w:color w:val="auto"/>
        </w:rPr>
        <w:t>We do not believe that full insurance coverage for all potential damages is available at a reasonable cost. Failure to comply with these laws and regulations may also result in the suspension or termination of our operations and subject us to administrative, civil and criminal penalties, injunctive relief and/or the imposition of investigatory or other remedial obligations. The costs of remedying noncompliance may be significant, and remediation obligations could adversely affect our financial condition, results of operations and leasehold acreage. Laws, rules and regulations related to the environment have changed frequently and the changes often include increasingly stringent requirements. These laws, rules and regulations may impose liability on us for environmental damage and disposal of hazardous and non-hazardous materials even if we were not negligent or at fault. We may also be found to be liable for the conduct of others or for acts that complied with applicable laws, rules or regulations at the time we performed those acts. These laws, rules and regulations are interpreted and enforced by numerous federal and state agencies. In addition, private parties, including the owners of properties upon which our wells are drilled or our facilities are located, the owners of properties adjacent to or in close proximity to those properties or non-governmental organizations such as environmental groups, may also pursue legal actions against us based on alleged non-compliance with certain of these laws, rules and regulations. For example, a number of</w:t>
      </w:r>
    </w:p>
    <w:p>
      <w:pPr>
        <w:sectPr>
          <w:pgSz w:w="11880" w:h="15480" w:orient="portrait"/>
          <w:cols w:equalWidth="0" w:num="1">
            <w:col w:w="10280"/>
          </w:cols>
          <w:pgMar w:left="44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440" w:top="498" w:right="1160" w:bottom="0" w:gutter="0" w:footer="0" w:header="0"/>
          <w:type w:val="continuous"/>
        </w:sectPr>
      </w:pPr>
    </w:p>
    <w:bookmarkStart w:id="78" w:name="page79"/>
    <w:bookmarkEnd w:id="78"/>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65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040"/>
        <w:spacing w:after="0" w:line="283" w:lineRule="auto"/>
        <w:rPr>
          <w:sz w:val="20"/>
          <w:szCs w:val="20"/>
          <w:color w:val="auto"/>
        </w:rPr>
      </w:pPr>
      <w:r>
        <w:rPr>
          <w:rFonts w:ascii="Calibri" w:cs="Calibri" w:eastAsia="Calibri" w:hAnsi="Calibri"/>
          <w:sz w:val="17"/>
          <w:szCs w:val="17"/>
          <w:color w:val="auto"/>
        </w:rPr>
        <w:t>lawsuits have been filed in some states against others in our industry alleging that fluid injection or oil and natural gas extraction have caused damage to neighboring properties or otherwise violated state and federal rules regulating waste disposal. Private parties may also pursue legal actions challenging permitting programs that authorize certain of our operations.</w:t>
      </w:r>
    </w:p>
    <w:p>
      <w:pPr>
        <w:spacing w:after="0" w:line="206" w:lineRule="exact"/>
        <w:rPr>
          <w:sz w:val="20"/>
          <w:szCs w:val="20"/>
          <w:color w:val="auto"/>
        </w:rPr>
      </w:pPr>
    </w:p>
    <w:p>
      <w:pPr>
        <w:ind w:right="780" w:firstLine="241"/>
        <w:spacing w:after="0" w:line="268" w:lineRule="auto"/>
        <w:rPr>
          <w:sz w:val="20"/>
          <w:szCs w:val="20"/>
          <w:color w:val="auto"/>
        </w:rPr>
      </w:pPr>
      <w:r>
        <w:rPr>
          <w:rFonts w:ascii="Calibri" w:cs="Calibri" w:eastAsia="Calibri" w:hAnsi="Calibri"/>
          <w:sz w:val="18"/>
          <w:szCs w:val="18"/>
          <w:color w:val="auto"/>
        </w:rPr>
        <w:t>Part of the regulatory environment in which we operate includes, in some cases, federal requirements for obtaining environmental assessments, environmental impact statements and/or plans of development before commencing exploration and production or midstream activities. Oil and natural gas operations in certain of our operating areas can be adversely affected by seasonal or permanent restrictions on drilling activities designed to protect migratory birds or various threatened or endangered species. For example, our participation in candidate conservation agreements or the USFWS’s designation of previously unprotected species as threatened or endangered species could prohibit drilling or other operations in certain of our operating areas, cause us to incur increased costs arising from species protection measures or result in limitations on our exploration and production and midstream activities, each of which could have a material adverse impact on our business, financial condition, results of operations and cash flows. See “Business—Regulation.”</w:t>
      </w:r>
    </w:p>
    <w:p>
      <w:pPr>
        <w:spacing w:after="0" w:line="219" w:lineRule="exact"/>
        <w:rPr>
          <w:sz w:val="20"/>
          <w:szCs w:val="20"/>
          <w:color w:val="auto"/>
        </w:rPr>
      </w:pPr>
    </w:p>
    <w:p>
      <w:pPr>
        <w:ind w:right="880"/>
        <w:spacing w:after="0" w:line="261" w:lineRule="auto"/>
        <w:rPr>
          <w:sz w:val="20"/>
          <w:szCs w:val="20"/>
          <w:color w:val="auto"/>
        </w:rPr>
      </w:pPr>
      <w:r>
        <w:rPr>
          <w:rFonts w:ascii="Calibri" w:cs="Calibri" w:eastAsia="Calibri" w:hAnsi="Calibri"/>
          <w:sz w:val="18"/>
          <w:szCs w:val="18"/>
          <w:i w:val="1"/>
          <w:iCs w:val="1"/>
          <w:color w:val="214E93"/>
        </w:rPr>
        <w:t>We are subject to federal, state and local taxes and may become subject to new taxes or have eliminated or reduced certain federal income tax deductions currently available with respect to oil and natural gas exploration and production activities as a result of future legislation, which could adversely affect our business, financial condition, results of operations and cash flows.</w:t>
      </w:r>
    </w:p>
    <w:p>
      <w:pPr>
        <w:spacing w:after="0" w:line="223" w:lineRule="exact"/>
        <w:rPr>
          <w:sz w:val="20"/>
          <w:szCs w:val="20"/>
          <w:color w:val="auto"/>
        </w:rPr>
      </w:pPr>
    </w:p>
    <w:p>
      <w:pPr>
        <w:ind w:right="740" w:firstLine="241"/>
        <w:spacing w:after="0" w:line="266" w:lineRule="auto"/>
        <w:rPr>
          <w:sz w:val="20"/>
          <w:szCs w:val="20"/>
          <w:color w:val="auto"/>
        </w:rPr>
      </w:pPr>
      <w:r>
        <w:rPr>
          <w:rFonts w:ascii="Calibri" w:cs="Calibri" w:eastAsia="Calibri" w:hAnsi="Calibri"/>
          <w:sz w:val="18"/>
          <w:szCs w:val="18"/>
          <w:color w:val="auto"/>
        </w:rPr>
        <w:t>The federal, state and local governments in the areas in which we operate impose taxes on the oil and natural gas products we sell and, for many of our wells, sales and use taxes on significant portions of our drilling and operating costs. Many states have raised state taxes on energy sources or state taxes associated with the extraction of hydrocarbons, and additional increases may occur. For instance, in New Mexico, there have been proposals to impose a surtax on natural gas processors that, if enacted into law, could adversely affect the prices we receive for our natural gas processed in New Mexico.</w:t>
      </w:r>
    </w:p>
    <w:p>
      <w:pPr>
        <w:spacing w:after="0" w:line="218" w:lineRule="exact"/>
        <w:rPr>
          <w:sz w:val="20"/>
          <w:szCs w:val="20"/>
          <w:color w:val="auto"/>
        </w:rPr>
      </w:pPr>
    </w:p>
    <w:p>
      <w:pPr>
        <w:ind w:right="720" w:firstLine="241"/>
        <w:spacing w:after="0" w:line="261" w:lineRule="auto"/>
        <w:rPr>
          <w:sz w:val="20"/>
          <w:szCs w:val="20"/>
          <w:color w:val="auto"/>
        </w:rPr>
      </w:pPr>
      <w:r>
        <w:rPr>
          <w:rFonts w:ascii="Calibri" w:cs="Calibri" w:eastAsia="Calibri" w:hAnsi="Calibri"/>
          <w:sz w:val="18"/>
          <w:szCs w:val="18"/>
          <w:color w:val="auto"/>
        </w:rPr>
        <w:t>Our federal and state income tax liabilities in 2026 and subsequent years will be dependent upon a variety of factors that will impact our taxable income, including oil and natural gas prices, allowable deductions and any legislative changes thereon, in addition to any tax credits generated that would offset tax liabilities in future periods.</w:t>
      </w:r>
    </w:p>
    <w:p>
      <w:pPr>
        <w:spacing w:after="0" w:line="223" w:lineRule="exact"/>
        <w:rPr>
          <w:sz w:val="20"/>
          <w:szCs w:val="20"/>
          <w:color w:val="auto"/>
        </w:rPr>
      </w:pPr>
    </w:p>
    <w:p>
      <w:pPr>
        <w:ind w:right="800" w:firstLine="241"/>
        <w:spacing w:after="0" w:line="264" w:lineRule="auto"/>
        <w:rPr>
          <w:sz w:val="20"/>
          <w:szCs w:val="20"/>
          <w:color w:val="auto"/>
        </w:rPr>
      </w:pPr>
      <w:r>
        <w:rPr>
          <w:rFonts w:ascii="Calibri" w:cs="Calibri" w:eastAsia="Calibri" w:hAnsi="Calibri"/>
          <w:sz w:val="18"/>
          <w:szCs w:val="18"/>
          <w:color w:val="auto"/>
        </w:rPr>
        <w:t>Additionally, U.S. federal income tax law provides for a 15% corporate minimum income tax for certain corporations with more than $1 billion in average adjusted financial statement income for the three-year tax period ending before the corporation’s current tax year. The impact of the 15% corporate minimum tax will depend on our results of operations each year. We do not expect such minimum tax to have any immediate material impact.</w:t>
      </w:r>
    </w:p>
    <w:p>
      <w:pPr>
        <w:spacing w:after="0" w:line="221" w:lineRule="exact"/>
        <w:rPr>
          <w:sz w:val="20"/>
          <w:szCs w:val="20"/>
          <w:color w:val="auto"/>
        </w:rPr>
      </w:pPr>
    </w:p>
    <w:p>
      <w:pPr>
        <w:ind w:right="720" w:firstLine="241"/>
        <w:spacing w:after="0" w:line="268" w:lineRule="auto"/>
        <w:rPr>
          <w:sz w:val="20"/>
          <w:szCs w:val="20"/>
          <w:color w:val="auto"/>
        </w:rPr>
      </w:pPr>
      <w:r>
        <w:rPr>
          <w:rFonts w:ascii="Calibri" w:cs="Calibri" w:eastAsia="Calibri" w:hAnsi="Calibri"/>
          <w:sz w:val="18"/>
          <w:szCs w:val="18"/>
          <w:color w:val="auto"/>
        </w:rPr>
        <w:t>In addition, from time to time there has been a significant amount of discussion by legislators and presidential administrations concerning a variety of energy tax proposals at the U.S. federal level. Periodically, legislation is introduced to eliminate certain key U.S. federal income tax preferences currently available to oil and natural gas exploration and production companies. Such changes include (i) the repeal of the percentage depletion allowance for certain oil and natural gas properties, (ii) the elimination of current deductions for intangible drilling and development costs, (iii) the elimination of the deduction for certain U.S. production or manufacturing activities and (iv) the increase in the amortization period for geological and geophysical costs paid or incurred in connection with the exploration for, or development of, oil or natural gas within the United States. The passage of any such legislation or any other similar change in U.S. federal income or state tax law could affect certain tax deductions that are currently available with respect to oil and natural gas exploration and production activities and could negatively impact our financial condition, results of operations and cash flows.</w:t>
      </w:r>
    </w:p>
    <w:p>
      <w:pPr>
        <w:spacing w:after="0" w:line="222" w:lineRule="exact"/>
        <w:rPr>
          <w:sz w:val="20"/>
          <w:szCs w:val="20"/>
          <w:color w:val="auto"/>
        </w:rPr>
      </w:pPr>
    </w:p>
    <w:p>
      <w:pPr>
        <w:ind w:right="920"/>
        <w:spacing w:after="0" w:line="252" w:lineRule="auto"/>
        <w:rPr>
          <w:sz w:val="20"/>
          <w:szCs w:val="20"/>
          <w:color w:val="auto"/>
        </w:rPr>
      </w:pPr>
      <w:r>
        <w:rPr>
          <w:rFonts w:ascii="Calibri" w:cs="Calibri" w:eastAsia="Calibri" w:hAnsi="Calibri"/>
          <w:sz w:val="18"/>
          <w:szCs w:val="18"/>
          <w:i w:val="1"/>
          <w:iCs w:val="1"/>
          <w:color w:val="214E93"/>
        </w:rPr>
        <w:t>Federal and state legislation and regulatory initiatives relating to hydraulic fracturing could result in increased costs and additional operating restrictions or delays.</w:t>
      </w:r>
    </w:p>
    <w:p>
      <w:pPr>
        <w:spacing w:after="0" w:line="230" w:lineRule="exact"/>
        <w:rPr>
          <w:sz w:val="20"/>
          <w:szCs w:val="20"/>
          <w:color w:val="auto"/>
        </w:rPr>
      </w:pPr>
    </w:p>
    <w:p>
      <w:pPr>
        <w:ind w:right="740" w:firstLine="241"/>
        <w:spacing w:after="0" w:line="285" w:lineRule="auto"/>
        <w:rPr>
          <w:sz w:val="20"/>
          <w:szCs w:val="20"/>
          <w:color w:val="auto"/>
        </w:rPr>
      </w:pPr>
      <w:r>
        <w:rPr>
          <w:rFonts w:ascii="Calibri" w:cs="Calibri" w:eastAsia="Calibri" w:hAnsi="Calibri"/>
          <w:sz w:val="17"/>
          <w:szCs w:val="17"/>
          <w:color w:val="auto"/>
        </w:rPr>
        <w:t>Hydraulic fracturing involves the injection of water, sand or other proppants and chemicals under pressure into rock formations to stimulate oil and natural gas production. We routinely use hydraulic fracturing to complete wells in order to produce oil, natural gas and NGLs from formations where we focus our operations. Hydraulic fracturing has been regulated at the state and local level through permitting and compliance requirements. Federal, state and local laws or regulations targeting various aspects of the hydraulic fracturing process are being considered, or have been proposed or implemented. In past sessions, Congress has considered, but has not passed, legislation to amend the SDWA, to remove the SDWA’s exemption granted to most hydraulic fracturing operations (other than operations using fluids containing diesel) and to require reporting and disclosure of chemicals used</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383" w:lineRule="exact"/>
        <w:rPr>
          <w:sz w:val="20"/>
          <w:szCs w:val="20"/>
          <w:color w:val="auto"/>
        </w:rPr>
      </w:pPr>
    </w:p>
    <w:p>
      <w:pPr>
        <w:ind w:left="892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1160" w:top="498" w:right="440" w:bottom="0" w:gutter="0" w:footer="0" w:header="0"/>
          <w:type w:val="continuous"/>
        </w:sectPr>
      </w:pPr>
    </w:p>
    <w:bookmarkStart w:id="79" w:name="page80"/>
    <w:bookmarkEnd w:id="79"/>
    <w:p>
      <w:pPr>
        <w:spacing w:after="0"/>
        <w:tabs>
          <w:tab w:leader="none" w:pos="740" w:val="left"/>
        </w:tabs>
        <w:rPr>
          <w:sz w:val="20"/>
          <w:szCs w:val="20"/>
          <w:color w:val="auto"/>
        </w:rPr>
      </w:pPr>
      <w:r>
        <w:rPr>
          <w:rFonts w:ascii="Calibri" w:cs="Calibri" w:eastAsia="Calibri" w:hAnsi="Calibri"/>
          <w:sz w:val="18"/>
          <w:szCs w:val="18"/>
          <w:color w:val="auto"/>
        </w:rPr>
        <w:t>66</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20" w:right="280"/>
        <w:spacing w:after="0" w:line="284" w:lineRule="auto"/>
        <w:rPr>
          <w:sz w:val="20"/>
          <w:szCs w:val="20"/>
          <w:color w:val="auto"/>
        </w:rPr>
      </w:pPr>
      <w:r>
        <w:rPr>
          <w:rFonts w:ascii="Calibri" w:cs="Calibri" w:eastAsia="Calibri" w:hAnsi="Calibri"/>
          <w:sz w:val="17"/>
          <w:szCs w:val="17"/>
          <w:color w:val="auto"/>
        </w:rPr>
        <w:t>by oil and natural gas companies in the hydraulic fracturing process. Also at the federal level, in March 2015, the BLM issued final rules, including new requirements relating to public disclosure, wellbore integrity and handling of flowback water, to regulate hydraulic fracturing on federal and Indian lands, but these rules never became effective. These rules were rescinded by rule in December 2017. The rescission was challenged, and the challenge remains pending before the Ninth Circuit Court of Appeals.</w:t>
      </w:r>
    </w:p>
    <w:p>
      <w:pPr>
        <w:spacing w:after="0" w:line="205" w:lineRule="exact"/>
        <w:rPr>
          <w:sz w:val="20"/>
          <w:szCs w:val="20"/>
          <w:color w:val="auto"/>
        </w:rPr>
      </w:pPr>
    </w:p>
    <w:p>
      <w:pPr>
        <w:ind w:left="720" w:firstLine="241"/>
        <w:spacing w:after="0" w:line="267" w:lineRule="auto"/>
        <w:rPr>
          <w:sz w:val="20"/>
          <w:szCs w:val="20"/>
          <w:color w:val="auto"/>
        </w:rPr>
      </w:pPr>
      <w:r>
        <w:rPr>
          <w:rFonts w:ascii="Calibri" w:cs="Calibri" w:eastAsia="Calibri" w:hAnsi="Calibri"/>
          <w:sz w:val="18"/>
          <w:szCs w:val="18"/>
          <w:color w:val="auto"/>
        </w:rPr>
        <w:t>Various policymakers, regulatory agencies and political candidates at the federal, state and local levels have proposed restrictions on hydraulic fracturing, including its outright prohibition. Any such restrictions on hydraulic fracturing on federal lands could adversely impact our operations in the Delaware Basin, and an outright prohibition would adversely impact essentially all of our operations. In addition, a number of states and local regulatory authorities are considering or have implemented more stringent regulatory requirements applicable to hydraulic fracturing, including bans or moratoria on drilling that effectively prohibit further production of oil and natural gas through the use of hydraulic fracturing or similar operations.</w:t>
      </w:r>
    </w:p>
    <w:p>
      <w:pPr>
        <w:spacing w:after="0" w:line="217" w:lineRule="exact"/>
        <w:rPr>
          <w:sz w:val="20"/>
          <w:szCs w:val="20"/>
          <w:color w:val="auto"/>
        </w:rPr>
      </w:pPr>
    </w:p>
    <w:p>
      <w:pPr>
        <w:ind w:left="720" w:right="40" w:firstLine="241"/>
        <w:spacing w:after="0" w:line="266" w:lineRule="auto"/>
        <w:rPr>
          <w:sz w:val="20"/>
          <w:szCs w:val="20"/>
          <w:color w:val="auto"/>
        </w:rPr>
      </w:pPr>
      <w:r>
        <w:rPr>
          <w:rFonts w:ascii="Calibri" w:cs="Calibri" w:eastAsia="Calibri" w:hAnsi="Calibri"/>
          <w:sz w:val="18"/>
          <w:szCs w:val="18"/>
          <w:color w:val="auto"/>
        </w:rPr>
        <w:t>The adoption of new laws or regulations imposing reporting or operational obligations on, or otherwise limiting or prohibiting, the hydraulic fracturing process could make it more difficult to complete oil and natural gas wells in unconventional plays. In addition, if hydraulic fracturing becomes regulated at the federal level as a result of federal legislation or regulatory initiatives by the EPA or BLM, hydraulic fracturing activities could become subject to additional permitting requirements, and also to attendant permitting delays and potential increases in cost, which could adversely affect our business and results of operations.</w:t>
      </w:r>
    </w:p>
    <w:p>
      <w:pPr>
        <w:spacing w:after="0" w:line="218" w:lineRule="exact"/>
        <w:rPr>
          <w:sz w:val="20"/>
          <w:szCs w:val="20"/>
          <w:color w:val="auto"/>
        </w:rPr>
      </w:pPr>
    </w:p>
    <w:p>
      <w:pPr>
        <w:jc w:val="both"/>
        <w:ind w:left="720" w:right="60"/>
        <w:spacing w:after="0" w:line="264" w:lineRule="auto"/>
        <w:rPr>
          <w:sz w:val="20"/>
          <w:szCs w:val="20"/>
          <w:color w:val="auto"/>
        </w:rPr>
      </w:pPr>
      <w:r>
        <w:rPr>
          <w:rFonts w:ascii="Calibri" w:cs="Calibri" w:eastAsia="Calibri" w:hAnsi="Calibri"/>
          <w:sz w:val="18"/>
          <w:szCs w:val="18"/>
          <w:i w:val="1"/>
          <w:iCs w:val="1"/>
          <w:color w:val="214E93"/>
        </w:rPr>
        <w:t>The potential adoption of federal, state and local legislation and regulations intended to address potential induced seismicity in the areas in which we operate could restrict our drilling and production activities and our midstream operations, as well as our ability to dispose of produced water gathered from such activities, which could decrease our and San Mateo’s revenues and result in increased costs and additional operating restrictions or delays.</w:t>
      </w:r>
    </w:p>
    <w:p>
      <w:pPr>
        <w:spacing w:after="0" w:line="221" w:lineRule="exact"/>
        <w:rPr>
          <w:sz w:val="20"/>
          <w:szCs w:val="20"/>
          <w:color w:val="auto"/>
        </w:rPr>
      </w:pPr>
    </w:p>
    <w:p>
      <w:pPr>
        <w:ind w:left="720" w:right="100" w:firstLine="241"/>
        <w:spacing w:after="0" w:line="268" w:lineRule="auto"/>
        <w:rPr>
          <w:sz w:val="20"/>
          <w:szCs w:val="20"/>
          <w:color w:val="auto"/>
        </w:rPr>
      </w:pPr>
      <w:r>
        <w:rPr>
          <w:rFonts w:ascii="Calibri" w:cs="Calibri" w:eastAsia="Calibri" w:hAnsi="Calibri"/>
          <w:sz w:val="18"/>
          <w:szCs w:val="18"/>
          <w:color w:val="auto"/>
        </w:rPr>
        <w:t>State and federal regulatory agencies recently have focused on a possible connection between the operation of injection wells used for produced water disposal and the increased occurrence of seismic activity. When caused by human activity, such events are called “induced seismicity.” Regulatory agencies at all levels are continuing to study the possible link between oil and natural gas activity and induced seismicity. In addition, a number of lawsuits have been filed in some states against others in our industry alleging that fluid injection or oil and natural gas extraction have caused damage to neighboring properties or otherwise violated state and federal rules regulating waste disposal. In response to these concerns, regulators in some states, including New Mexico and Texas, have imposed additional regulatory or permitting requirements, including requirements regarding the permitting of salt water disposal wells or otherwise, to assess the relationship between seismicity and the use of such wells and have modified their regulations or guidance to mitigate potential causes of induced seismicity. See “Business—Regulation—Underground Injection and Hydraulic Fracturing.”</w:t>
      </w:r>
    </w:p>
    <w:p>
      <w:pPr>
        <w:spacing w:after="0" w:line="222" w:lineRule="exact"/>
        <w:rPr>
          <w:sz w:val="20"/>
          <w:szCs w:val="20"/>
          <w:color w:val="auto"/>
        </w:rPr>
      </w:pPr>
    </w:p>
    <w:p>
      <w:pPr>
        <w:ind w:left="720" w:right="40" w:firstLine="241"/>
        <w:spacing w:after="0" w:line="269" w:lineRule="auto"/>
        <w:rPr>
          <w:sz w:val="20"/>
          <w:szCs w:val="20"/>
          <w:color w:val="auto"/>
        </w:rPr>
      </w:pPr>
      <w:r>
        <w:rPr>
          <w:rFonts w:ascii="Calibri" w:cs="Calibri" w:eastAsia="Calibri" w:hAnsi="Calibri"/>
          <w:sz w:val="18"/>
          <w:szCs w:val="18"/>
          <w:color w:val="auto"/>
        </w:rPr>
        <w:t>Increased seismicity in areas in which we operate could result in additional regulation and restrictions on the use of injection wells by us or by third parties whom we may contract with to dispose of produced water. Additional regulation and attention given to induced seismicity could also lead to greater opposition, including litigation, to oil and natural gas activities. Any one or more of these developments may result in operational delays, increase our operating and compliance costs or otherwise adversely affect our operations. We and San Mateo dispose of large volumes of produced water gathered from our and third parties’ drilling and production operations by injecting it into wells pursuant to permits issued to us by governmental authorities overseeing such disposal activities. While these permits are issued pursuant to existing laws and regulations, these legal requirements are subject to change, which could result in curtailment of injection operations, the imposition of more stringent operating constraints or new monitoring and reporting requirements, owing to, among other things, concerns of the public or governmental authorities regarding such gathering or disposal activities. The adoption and implementation of any new laws or regulations that restrict our ability to dispose of produced water gathered from drilling and production activities could adversely impact our business, cash flows and results of operations and could decrease our and San Mateo’s revenues and result in increased costs and additional operating restrictions or delays.</w:t>
      </w:r>
    </w:p>
    <w:p>
      <w:pPr>
        <w:sectPr>
          <w:pgSz w:w="11880" w:h="15480" w:orient="portrait"/>
          <w:cols w:equalWidth="0" w:num="1">
            <w:col w:w="10280"/>
          </w:cols>
          <w:pgMar w:left="44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440" w:top="498" w:right="1160" w:bottom="0" w:gutter="0" w:footer="0" w:header="0"/>
          <w:type w:val="continuous"/>
        </w:sectPr>
      </w:pPr>
    </w:p>
    <w:bookmarkStart w:id="80" w:name="page81"/>
    <w:bookmarkEnd w:id="80"/>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67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740"/>
        <w:spacing w:after="0" w:line="283" w:lineRule="auto"/>
        <w:rPr>
          <w:sz w:val="20"/>
          <w:szCs w:val="20"/>
          <w:color w:val="auto"/>
        </w:rPr>
      </w:pPr>
      <w:r>
        <w:rPr>
          <w:rFonts w:ascii="Calibri" w:cs="Calibri" w:eastAsia="Calibri" w:hAnsi="Calibri"/>
          <w:sz w:val="17"/>
          <w:szCs w:val="17"/>
          <w:i w:val="1"/>
          <w:iCs w:val="1"/>
          <w:color w:val="214E93"/>
        </w:rPr>
        <w:t>Legislation or regulations restricting emissions of greenhouse gases or promoting the development of alternative sources of energy could result in increased operating costs and reduced demand for the oil, natural gas and NGLs we produce, while the physical effects of climate change could disrupt our production and cause us to incur significant costs in preparing for or responding to those effects.</w:t>
      </w:r>
    </w:p>
    <w:p>
      <w:pPr>
        <w:spacing w:after="0" w:line="206" w:lineRule="exact"/>
        <w:rPr>
          <w:sz w:val="20"/>
          <w:szCs w:val="20"/>
          <w:color w:val="auto"/>
        </w:rPr>
      </w:pPr>
    </w:p>
    <w:p>
      <w:pPr>
        <w:ind w:right="720" w:firstLine="241"/>
        <w:spacing w:after="0" w:line="286" w:lineRule="auto"/>
        <w:rPr>
          <w:sz w:val="20"/>
          <w:szCs w:val="20"/>
          <w:color w:val="auto"/>
        </w:rPr>
      </w:pPr>
      <w:r>
        <w:rPr>
          <w:rFonts w:ascii="Calibri" w:cs="Calibri" w:eastAsia="Calibri" w:hAnsi="Calibri"/>
          <w:sz w:val="17"/>
          <w:szCs w:val="17"/>
          <w:color w:val="auto"/>
        </w:rPr>
        <w:t>We believe it is likely that scientific, public and political attention to issues concerning the extent, causes of and responsibility for climate change will continue, with the potential for further regulations and litigation that could affect our operations. Our operations result in greenhouse gas emissions. While the Trump administration has rolled back many regulations and findings related to greenhouse gas emissions and their effects on public health and welfare, a future administration may seek to impose new legislation or rules related to greenhouse gas emissions that could impact our operations. Further, various states have considered or adopted legislation that seeks to control or reduce emissions of greenhouse gases from a wide range of sources. In addition, the United States has at times been a party to certain international agreements, pacts and other commitments designed to address climate change and reduce greenhouse gas emissions, including the Paris Agreement and the Glasgow Climate Pact. For further discussion of these international commitments, see “Business—Regulation—Environmental, Health and Safety Regulation.”</w:t>
      </w:r>
    </w:p>
    <w:p>
      <w:pPr>
        <w:spacing w:after="0" w:line="202" w:lineRule="exact"/>
        <w:rPr>
          <w:sz w:val="20"/>
          <w:szCs w:val="20"/>
          <w:color w:val="auto"/>
        </w:rPr>
      </w:pPr>
    </w:p>
    <w:p>
      <w:pPr>
        <w:ind w:right="760" w:firstLine="241"/>
        <w:spacing w:after="0" w:line="267" w:lineRule="auto"/>
        <w:rPr>
          <w:sz w:val="20"/>
          <w:szCs w:val="20"/>
          <w:color w:val="auto"/>
        </w:rPr>
      </w:pPr>
      <w:r>
        <w:rPr>
          <w:rFonts w:ascii="Calibri" w:cs="Calibri" w:eastAsia="Calibri" w:hAnsi="Calibri"/>
          <w:sz w:val="18"/>
          <w:szCs w:val="18"/>
          <w:color w:val="auto"/>
        </w:rPr>
        <w:t>On August 16, 2022, the IRA created the Methane Emissions Reduction Program to incentivize methane emission reductions and, for the first time ever, impose a waste emissions charge on greenhouse gas emissions from certain facilities that exceed specified emissions levels. However, the OBBBA delayed implementation of the waste emissions charges for the oil and gas industry until 2034. The EPA has begun adopting and implementing a suite of regulations to restrict greenhouse gas emissions under existing provisions of the CAA and the authority of the IRA. In addition, some states, including New Mexico, have implemented rules and regulations relating to greenhouse gas emissions. For further discussion of these federal and state regulations, see “Business— Regulation—Environmental, Health and Safety Regulation.”</w:t>
      </w:r>
    </w:p>
    <w:p>
      <w:pPr>
        <w:spacing w:after="0" w:line="220" w:lineRule="exact"/>
        <w:rPr>
          <w:sz w:val="20"/>
          <w:szCs w:val="20"/>
          <w:color w:val="auto"/>
        </w:rPr>
      </w:pPr>
    </w:p>
    <w:p>
      <w:pPr>
        <w:ind w:right="740" w:firstLine="241"/>
        <w:spacing w:after="0" w:line="270" w:lineRule="auto"/>
        <w:rPr>
          <w:sz w:val="20"/>
          <w:szCs w:val="20"/>
          <w:color w:val="auto"/>
        </w:rPr>
      </w:pPr>
      <w:r>
        <w:rPr>
          <w:rFonts w:ascii="Calibri" w:cs="Calibri" w:eastAsia="Calibri" w:hAnsi="Calibri"/>
          <w:sz w:val="18"/>
          <w:szCs w:val="18"/>
          <w:color w:val="auto"/>
        </w:rPr>
        <w:t>In a 2010 interpretative guidance on climate change disclosures, the SEC indicated that climate change could have an effect on the severity of weather (including hurricanes, droughts, floods and freezes), sea levels, the arability of farmland and water availability and quality. If such effects were to occur, there is the potential for our exploration and production operations to be adversely affected. Potential adverse effects could include damages to our facilities from powerful winds or rising waters in low-lying areas, disruption of our production, less efficient or non-routine operating practices necessitated by climate effects, impacts on our workforce, supply chain or distribution chain and increased costs for, or difficulty procuring consistent levels of, insurance coverage in the aftermath of such effects. Any future exploration and development activities and equipment could also be adversely affected by severe weather conditions, such as floods, fires, tornadoes, droughts, hurricanes, tropical storms or severe cold weather, which may cause a loss of production from temporary cessation of activity from regional power outages or lost or damaged facilities and equipment. Such severe weather conditions could also impact access to our drilling and production facilities for routine operations, maintenance and repairs and the availability of and our access to, necessary third-party services, such as gathering, processing, compression and transportation services. These constraints and the resulting shortages or high costs could delay or temporarily halt our operations and materially increase our operation and capital costs, which could have a material adverse effect on our business, financial condition and results of operations. Significant physical effects of climate change could also have an indirect effect on our financing and operations by disrupting the transportation or process-related services provided by us or other midstream companies, service companies or suppliers with whom we have a business relationship. We may not be able to recover through insurance some or any of the damages, losses or costs that may result from potential physical effects of climate change. In addition, our hydraulic fracturing operations require large amounts of water. See “—Risks Related to our Operations—If we are unable to acquire adequate supplies of water for our drilling and hydraulic fracturing operations or are unable to dispose of the water we use at a reasonable cost and pursuant to applicable environmental rules, our ability to produce oil and natural gas commercially and in commercial quantities could be impaired.” Should climate change or other drought conditions occur, our ability to obtain water of a sufficient quality and quantity could be impacted and in turn, our ability to perform hydraulic fracturing operations could be restricted or made more costly.</w:t>
      </w:r>
    </w:p>
    <w:p>
      <w:pPr>
        <w:spacing w:after="0" w:line="214" w:lineRule="exact"/>
        <w:rPr>
          <w:sz w:val="20"/>
          <w:szCs w:val="20"/>
          <w:color w:val="auto"/>
        </w:rPr>
      </w:pPr>
    </w:p>
    <w:p>
      <w:pPr>
        <w:ind w:right="740" w:firstLine="241"/>
        <w:spacing w:after="0" w:line="285" w:lineRule="auto"/>
        <w:rPr>
          <w:sz w:val="20"/>
          <w:szCs w:val="20"/>
          <w:color w:val="auto"/>
        </w:rPr>
      </w:pPr>
      <w:r>
        <w:rPr>
          <w:rFonts w:ascii="Calibri" w:cs="Calibri" w:eastAsia="Calibri" w:hAnsi="Calibri"/>
          <w:sz w:val="17"/>
          <w:szCs w:val="17"/>
          <w:color w:val="auto"/>
        </w:rPr>
        <w:t>Legislative and regulatory initiatives related to climate change and greenhouse gas emissions could, and in all likelihood would, require us to incur increased operating costs adversely affecting our profits, such as costs to purchase and operate emissions control systems, to acquire emissions allowances or to comply with new regulatory or reporting requirements. Any such legislation or regulatory programs could also increase the cost of consuming, and thereby reduce demand for, the oil and natural gas we produce, depressing the prices we receive for oil and natural gas. Consequently, legislation and regulatory programs to reduce emissions of greenhouse gases could have a material adverse effect on our business, financial condition and results of operations. Additionally, the threat of climate change has resulted in increasing political risk in the United States as various policy makers, regulatory agencies</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92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1160" w:top="498" w:right="440" w:bottom="0" w:gutter="0" w:footer="0" w:header="0"/>
          <w:type w:val="continuous"/>
        </w:sectPr>
      </w:pPr>
    </w:p>
    <w:bookmarkStart w:id="81" w:name="page82"/>
    <w:bookmarkEnd w:id="81"/>
    <w:p>
      <w:pPr>
        <w:spacing w:after="0"/>
        <w:tabs>
          <w:tab w:leader="none" w:pos="740" w:val="left"/>
        </w:tabs>
        <w:rPr>
          <w:sz w:val="20"/>
          <w:szCs w:val="20"/>
          <w:color w:val="auto"/>
        </w:rPr>
      </w:pPr>
      <w:r>
        <w:rPr>
          <w:rFonts w:ascii="Calibri" w:cs="Calibri" w:eastAsia="Calibri" w:hAnsi="Calibri"/>
          <w:sz w:val="18"/>
          <w:szCs w:val="18"/>
          <w:color w:val="auto"/>
        </w:rPr>
        <w:t>68</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20" w:right="200"/>
        <w:spacing w:after="0" w:line="264" w:lineRule="auto"/>
        <w:rPr>
          <w:sz w:val="20"/>
          <w:szCs w:val="20"/>
          <w:color w:val="auto"/>
        </w:rPr>
      </w:pPr>
      <w:r>
        <w:rPr>
          <w:rFonts w:ascii="Calibri" w:cs="Calibri" w:eastAsia="Calibri" w:hAnsi="Calibri"/>
          <w:sz w:val="18"/>
          <w:szCs w:val="18"/>
          <w:color w:val="auto"/>
        </w:rPr>
        <w:t>and political candidates at the federal, state and local levels have at times proposed bans of new leases for production of minerals on federal properties and various restrictions on hydraulic fracturing, including its outright prohibition. Should these or other limitations or prohibitions be imposed or continue to be applied, our oil and natural gas operations on federal lands could be adversely impacted.</w:t>
      </w:r>
    </w:p>
    <w:p>
      <w:pPr>
        <w:spacing w:after="0" w:line="221" w:lineRule="exact"/>
        <w:rPr>
          <w:sz w:val="20"/>
          <w:szCs w:val="20"/>
          <w:color w:val="auto"/>
        </w:rPr>
      </w:pPr>
    </w:p>
    <w:p>
      <w:pPr>
        <w:ind w:left="720" w:firstLine="241"/>
        <w:spacing w:after="0" w:line="268" w:lineRule="auto"/>
        <w:rPr>
          <w:sz w:val="20"/>
          <w:szCs w:val="20"/>
          <w:color w:val="auto"/>
        </w:rPr>
      </w:pPr>
      <w:r>
        <w:rPr>
          <w:rFonts w:ascii="Calibri" w:cs="Calibri" w:eastAsia="Calibri" w:hAnsi="Calibri"/>
          <w:sz w:val="18"/>
          <w:szCs w:val="18"/>
          <w:color w:val="auto"/>
        </w:rPr>
        <w:t>Various policy makers, regulatory agencies and political candidates at the federal, state and local levels have identified climate change as a priority, and new executive orders, regulatory action and/or legislation targeting greenhouse gas emissions, promoting energy efficiency or the development and consumption of alternative forms of energy or prohibiting or restricting oil and natural gas development activities in certain areas, have been, or may in the future be, proposed and/or promulgated. While the Trump administration has revoked multiple Biden administration executive orders and rules regarding climate change, a future administration, or a state or local government, may impose new restrictions related to climate change and greenhouse gas emissions. For further discussion of these executive orders and other legislative and regulatory developments regarding climate change, see “Business—Regulation—Oil and Natural Gas Regulation.”</w:t>
      </w:r>
    </w:p>
    <w:p>
      <w:pPr>
        <w:spacing w:after="0" w:line="217" w:lineRule="exact"/>
        <w:rPr>
          <w:sz w:val="20"/>
          <w:szCs w:val="20"/>
          <w:color w:val="auto"/>
        </w:rPr>
      </w:pPr>
    </w:p>
    <w:p>
      <w:pPr>
        <w:ind w:left="720" w:right="40" w:firstLine="281"/>
        <w:spacing w:after="0" w:line="268" w:lineRule="auto"/>
        <w:rPr>
          <w:sz w:val="20"/>
          <w:szCs w:val="20"/>
          <w:color w:val="auto"/>
        </w:rPr>
      </w:pPr>
      <w:r>
        <w:rPr>
          <w:rFonts w:ascii="Calibri" w:cs="Calibri" w:eastAsia="Calibri" w:hAnsi="Calibri"/>
          <w:sz w:val="18"/>
          <w:szCs w:val="18"/>
          <w:color w:val="auto"/>
        </w:rPr>
        <w:t>In any event, increasing attention to the risks of climate change has resulted in an increased possibility of lawsuits or investigations brought by public and private entities against oil and natural gas companies in connection with their greenhouse gas emissions. Should we be targeted by any such litigation or investigations, we may incur liability, which, to the extent that societal pressures or political or other factors are involved, could be imposed without regard to the causation of or contribution to the asserted damage, or to other mitigating factors. The ultimate impact of greenhouse gas emissions-related agreements, legislation and measures on our financial performance is highly uncertain because we are unable to predict, for a multitude of individual jurisdictions, the outcome of political decision-making processes and the variables and trade-offs that inevitably occur in connection with such processes.</w:t>
      </w:r>
    </w:p>
    <w:p>
      <w:pPr>
        <w:spacing w:after="0" w:line="217" w:lineRule="exact"/>
        <w:rPr>
          <w:sz w:val="20"/>
          <w:szCs w:val="20"/>
          <w:color w:val="auto"/>
        </w:rPr>
      </w:pPr>
    </w:p>
    <w:p>
      <w:pPr>
        <w:ind w:left="720" w:right="360"/>
        <w:spacing w:after="0" w:line="252" w:lineRule="auto"/>
        <w:rPr>
          <w:sz w:val="20"/>
          <w:szCs w:val="20"/>
          <w:color w:val="auto"/>
        </w:rPr>
      </w:pPr>
      <w:r>
        <w:rPr>
          <w:rFonts w:ascii="Calibri" w:cs="Calibri" w:eastAsia="Calibri" w:hAnsi="Calibri"/>
          <w:sz w:val="18"/>
          <w:szCs w:val="18"/>
          <w:i w:val="1"/>
          <w:iCs w:val="1"/>
          <w:color w:val="214E93"/>
        </w:rPr>
        <w:t>New climate disclosure rules adopted by the SEC or states in which we have operations or do business could increase our costs of compliance and adversely impact our business.</w:t>
      </w:r>
    </w:p>
    <w:p>
      <w:pPr>
        <w:spacing w:after="0" w:line="230" w:lineRule="exact"/>
        <w:rPr>
          <w:sz w:val="20"/>
          <w:szCs w:val="20"/>
          <w:color w:val="auto"/>
        </w:rPr>
      </w:pPr>
    </w:p>
    <w:p>
      <w:pPr>
        <w:ind w:left="720" w:right="20" w:firstLine="241"/>
        <w:spacing w:after="0" w:line="269" w:lineRule="auto"/>
        <w:rPr>
          <w:sz w:val="20"/>
          <w:szCs w:val="20"/>
          <w:color w:val="auto"/>
        </w:rPr>
      </w:pPr>
      <w:r>
        <w:rPr>
          <w:rFonts w:ascii="Calibri" w:cs="Calibri" w:eastAsia="Calibri" w:hAnsi="Calibri"/>
          <w:sz w:val="18"/>
          <w:szCs w:val="18"/>
          <w:color w:val="auto"/>
        </w:rPr>
        <w:t>On March 6, 2024, the SEC adopted new rules that would require significantly expanded climate-related disclosures in SEC filings, including certain climate-related risks, climate-related metrics and greenhouse gas emissions, information about climate-related targets and goals, transition plans, if any, and extensive attestation requirements (the “SEC Climate Disclosure Rules”). The SEC Climate Disclosure Rules included certain phase-in compliance dates for disclosure of material Scope 1 and 2 greenhouse gas emissions. Litigation challenging the SEC Climate Disclosure Rules was filed by multiple parties in multiple jurisdictions, which was consolidated and assigned to the U.S. Court of Appeals for the Eighth Circuit. On April 4, 2024, the SEC issued an order staying implementation of the SEC Climate Disclosure Rules while the U.S. Court of Appeals considered the litigation. On March 27, 2025, the SEC voted to end its defense of the SEC Climate Disclosure Rules in the litigation, and on July 23, 2025, it filed a status report requesting that the U.S. Court of Appeals proceed with the case and issue an opinion on the challenges to the climate disclosure rules. On September 12, 2025, the U.S. Court of Appeals denied the SEC’s request to proceed with the case and indicated that the case would be held in abeyance until the SEC either renews its defense of the rules or revises the rules through notice-and-comment rulemaking. Accordingly, it is not clear whether, when or in what form the SEC Climate Disclosure Rules will be implemented or the ultimate timing of required compliance with such rules, and at this time we cannot predict the costs of implementation or any potential adverse impacts resulting from the SEC Climate Disclosure Rules. In addition, in the absence of federal action, states may propose and adopt climate disclosure requirements.</w:t>
      </w:r>
    </w:p>
    <w:p>
      <w:pPr>
        <w:spacing w:after="0" w:line="221" w:lineRule="exact"/>
        <w:rPr>
          <w:sz w:val="20"/>
          <w:szCs w:val="20"/>
          <w:color w:val="auto"/>
        </w:rPr>
      </w:pPr>
    </w:p>
    <w:p>
      <w:pPr>
        <w:ind w:left="720" w:right="40" w:firstLine="241"/>
        <w:spacing w:after="0" w:line="268" w:lineRule="auto"/>
        <w:rPr>
          <w:sz w:val="20"/>
          <w:szCs w:val="20"/>
          <w:color w:val="auto"/>
        </w:rPr>
      </w:pPr>
      <w:r>
        <w:rPr>
          <w:rFonts w:ascii="Calibri" w:cs="Calibri" w:eastAsia="Calibri" w:hAnsi="Calibri"/>
          <w:sz w:val="18"/>
          <w:szCs w:val="18"/>
          <w:color w:val="auto"/>
        </w:rPr>
        <w:t>In the event the states in which we operate or do business adopt climate disclosure requirements or the SEC in the future adopts climate disclosure rules that apply to us, we could incur significant additional costs relating to the assessment and disclosure of climate-related risks, including costs relating to monitoring, collecting, analyzing and reporting the new metrics and implementing systems and procuring additional internal and external personnel with the requisite skills and expertise to serve those functions. These additional costs or changes in operations could have a material adverse effect on our business, financial condition, results of operations and cash flows. We may also face increased litigation risks related to disclosures made pursuant to any such regulations. In addition, enhanced climate disclosure requirements could accelerate the trend of certain investors and lenders restricting or seeking more stringent conditions with respect to their investments in carbon-intensive sectors.</w:t>
      </w:r>
    </w:p>
    <w:p>
      <w:pPr>
        <w:sectPr>
          <w:pgSz w:w="11880" w:h="15480" w:orient="portrait"/>
          <w:cols w:equalWidth="0" w:num="1">
            <w:col w:w="10260"/>
          </w:cols>
          <w:pgMar w:left="440" w:top="49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60"/>
          </w:cols>
          <w:pgMar w:left="440" w:top="498" w:right="1180" w:bottom="0" w:gutter="0" w:footer="0" w:header="0"/>
          <w:type w:val="continuous"/>
        </w:sectPr>
      </w:pPr>
    </w:p>
    <w:bookmarkStart w:id="82" w:name="page83"/>
    <w:bookmarkEnd w:id="82"/>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69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214E93"/>
        </w:rPr>
        <w:t>New regulations on all emissions from our operations could cause us to incur significant costs.</w:t>
      </w:r>
    </w:p>
    <w:p>
      <w:pPr>
        <w:spacing w:after="0" w:line="241" w:lineRule="exact"/>
        <w:rPr>
          <w:sz w:val="20"/>
          <w:szCs w:val="20"/>
          <w:color w:val="auto"/>
        </w:rPr>
      </w:pPr>
    </w:p>
    <w:p>
      <w:pPr>
        <w:ind w:right="720" w:firstLine="241"/>
        <w:spacing w:after="0" w:line="286" w:lineRule="auto"/>
        <w:rPr>
          <w:sz w:val="20"/>
          <w:szCs w:val="20"/>
          <w:color w:val="auto"/>
        </w:rPr>
      </w:pPr>
      <w:r>
        <w:rPr>
          <w:rFonts w:ascii="Calibri" w:cs="Calibri" w:eastAsia="Calibri" w:hAnsi="Calibri"/>
          <w:sz w:val="17"/>
          <w:szCs w:val="17"/>
          <w:color w:val="auto"/>
        </w:rPr>
        <w:t>In recent years, the EPA issued final rules to subject oil and natural gas operations to regulation under the NSPS and NESHAP programs under the CAA and to impose new and amended requirements under both programs. The EPA rules include NSPS standards for completions of hydraulically fractured oil and natural gas wells, compressors, controllers, dehydrators, storage tanks, natural gas processing plants and certain other equipment. These rules have required changes to our operations, including the installation of new equipment to control emissions. In April 2024, the EPA issued a final consent decree that established a December 10, 2024 deadline for the EPA to review and propose revisions to the NESHAP for oil and natural gas production facilities and natural gas transmission and storage facilities, which may require us to make additional changes to our operations. The EPA has not yet proposed any such revisions. In addition, the EPA finalized a more stringent National Ambient Air Quality Standard for ozone in October 2015. To the extent regions reclassified as non-attainment areas under the lower ozone standard have begun implementing new, more stringent regulations, those regulations could also apply to our or San Mateo’s customers’ operations. The IRA contains a suite of provisions addressing onshore and offshore oil and natural gas development under federal leases. Under the authority of the IRA, on April 10, 2024, BLM finalized new regulations to reduce the waste of natural gas from venting, flaring and leaks during oil and natural gas production activities on Federal and Indian leases. The North Dakota federal district court enjoined enforcement of the regulations in Texas, North Dakota, Montana, Wyoming, and Utah. The injunction was appealed to the U.S. Court of Appeals for the Eighth Circuit, but the appeal has been held in abeyance since February 14, 2025. In November 2025, BLM announced that it will delay enforcement of provisions of the rule that had been scheduled to take effect in December 2025. These rules are expected to result in an increase to our operating costs and changes in our operations. In December 2023, the EPA issued final NSPS updates and emission guidelines to reduce methane and other pollutants from the oil and gas industry. In addition, several states are pursuing similar measures to regulate emissions of methane from new and existing sources within the oil and natural gas source category. The EPA issued a final rule on October 22, 2024, removing the affirmative defense for violations caused by malfunctions from the NESHAP for the oil and natural gas production source category and natural gas transmission and storage source category. On November 18, 2024, the EPA published a final rule under authority of the IRA that imposes a waste emissions charge on large emitters of waste methane from the oil and gas sector. The rule was nullified pursuant to a Joint Resolution of Disapproval under the Congressional Review Act signed by President Trump in March 2025, and the EPA issued a final rule in May 2025 removing the waste emissions charge rules from the Code of Federal Regulations. However, the underlying statute mandating the waste emissions charge remains in effect, though collection of the charge under that law with respect to the oil and gas sector has been delayed until 2034. As a result of this continued regulatory focus, these and any future federal and state regulations of the oil and natural gas industry could result in increased compliance costs for our operations.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214E93"/>
        </w:rPr>
        <w:t>We may incur significant costs and liabilities resulting from compliance with pipeline safety regulations.</w:t>
      </w:r>
    </w:p>
    <w:p>
      <w:pPr>
        <w:spacing w:after="0" w:line="241" w:lineRule="exact"/>
        <w:rPr>
          <w:sz w:val="20"/>
          <w:szCs w:val="20"/>
          <w:color w:val="auto"/>
        </w:rPr>
      </w:pPr>
    </w:p>
    <w:p>
      <w:pPr>
        <w:ind w:right="740" w:firstLine="241"/>
        <w:spacing w:after="0" w:line="286" w:lineRule="auto"/>
        <w:rPr>
          <w:sz w:val="20"/>
          <w:szCs w:val="20"/>
          <w:color w:val="auto"/>
        </w:rPr>
      </w:pPr>
      <w:r>
        <w:rPr>
          <w:rFonts w:ascii="Calibri" w:cs="Calibri" w:eastAsia="Calibri" w:hAnsi="Calibri"/>
          <w:sz w:val="17"/>
          <w:szCs w:val="17"/>
          <w:color w:val="auto"/>
        </w:rPr>
        <w:t>Our pipelines are subject to stringent and complex regulation related to pipeline safety and integrity management. For instance, the Department of Transportation, through PHMSA, has established a series of rules that require pipeline operators to develop and implement integrity management programs for hazardous liquid (including oil) pipeline segments that, in the event of a leak or rupture, could affect high-consequence areas. The Rustler Breaks Oil Pipeline System and the Trophy Pipeline System are subject to such rules. PHMSA also recently finalized rulemaking to expand existing integrity management, reporting and records retention, and safety requirements to certain natural gas transmission lines. Additional action by PHMSA with respect to pipeline integrity management requirements may occur in the future. At this time, we cannot predict the cost of such requirements, but they could be significant. Moreover, violations of pipeline safety regulations can result in the imposition of significant penalties.</w:t>
      </w:r>
    </w:p>
    <w:p>
      <w:pPr>
        <w:spacing w:after="0" w:line="201" w:lineRule="exact"/>
        <w:rPr>
          <w:sz w:val="20"/>
          <w:szCs w:val="20"/>
          <w:color w:val="auto"/>
        </w:rPr>
      </w:pPr>
    </w:p>
    <w:p>
      <w:pPr>
        <w:ind w:right="720" w:firstLine="241"/>
        <w:spacing w:after="0" w:line="266" w:lineRule="auto"/>
        <w:rPr>
          <w:sz w:val="20"/>
          <w:szCs w:val="20"/>
          <w:color w:val="auto"/>
        </w:rPr>
      </w:pPr>
      <w:r>
        <w:rPr>
          <w:rFonts w:ascii="Calibri" w:cs="Calibri" w:eastAsia="Calibri" w:hAnsi="Calibri"/>
          <w:sz w:val="18"/>
          <w:szCs w:val="18"/>
          <w:color w:val="auto"/>
        </w:rPr>
        <w:t>Several states have also passed legislation or promulgated rules to address pipeline safety. Compliance with pipeline integrity laws and other pipeline safety regulations issued by state agencies such as the RRC and the NMOCD could result in substantial expenditures for testing, repairs and replacement. Due to the possibility of new or amended laws and regulations or reinterpretation of existing laws and regulations, there can be no assurance that future compliance with PHMSA or state requirements will not have a material adverse effect on our results of operations or financial position.</w:t>
      </w:r>
    </w:p>
    <w:p>
      <w:pPr>
        <w:spacing w:after="0" w:line="218" w:lineRule="exact"/>
        <w:rPr>
          <w:sz w:val="20"/>
          <w:szCs w:val="20"/>
          <w:color w:val="auto"/>
        </w:rPr>
      </w:pPr>
    </w:p>
    <w:p>
      <w:pPr>
        <w:ind w:right="1020"/>
        <w:spacing w:after="0" w:line="252" w:lineRule="auto"/>
        <w:rPr>
          <w:sz w:val="20"/>
          <w:szCs w:val="20"/>
          <w:color w:val="auto"/>
        </w:rPr>
      </w:pPr>
      <w:r>
        <w:rPr>
          <w:rFonts w:ascii="Calibri" w:cs="Calibri" w:eastAsia="Calibri" w:hAnsi="Calibri"/>
          <w:sz w:val="18"/>
          <w:szCs w:val="18"/>
          <w:i w:val="1"/>
          <w:iCs w:val="1"/>
          <w:color w:val="214E93"/>
        </w:rPr>
        <w:t>A change in the jurisdictional characterization of some of our assets by FERC or a change in policy by FERC may result in increased regulation of our assets, which may cause our revenues to decline and operating expenses to increase.</w:t>
      </w:r>
    </w:p>
    <w:p>
      <w:pPr>
        <w:spacing w:after="0" w:line="230" w:lineRule="exact"/>
        <w:rPr>
          <w:sz w:val="20"/>
          <w:szCs w:val="20"/>
          <w:color w:val="auto"/>
        </w:rPr>
      </w:pPr>
    </w:p>
    <w:p>
      <w:pPr>
        <w:jc w:val="center"/>
        <w:ind w:right="880"/>
        <w:spacing w:after="0" w:line="281" w:lineRule="auto"/>
        <w:rPr>
          <w:sz w:val="20"/>
          <w:szCs w:val="20"/>
          <w:color w:val="auto"/>
        </w:rPr>
      </w:pPr>
      <w:r>
        <w:rPr>
          <w:rFonts w:ascii="Calibri" w:cs="Calibri" w:eastAsia="Calibri" w:hAnsi="Calibri"/>
          <w:sz w:val="17"/>
          <w:szCs w:val="17"/>
          <w:color w:val="auto"/>
        </w:rPr>
        <w:t>Section 1(b) of the NGA exempts natural gas gathering facilities from regulation by FERC under the NGA. We believe that the natural gas pipelines in our gathering systems meet the traditional tests FERC has used to establish a pipeline’s status as a gatherer</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92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1160" w:top="498" w:right="440" w:bottom="0" w:gutter="0" w:footer="0" w:header="0"/>
          <w:type w:val="continuous"/>
        </w:sectPr>
      </w:pPr>
    </w:p>
    <w:bookmarkStart w:id="83" w:name="page84"/>
    <w:bookmarkEnd w:id="83"/>
    <w:p>
      <w:pPr>
        <w:spacing w:after="0"/>
        <w:tabs>
          <w:tab w:leader="none" w:pos="740" w:val="left"/>
        </w:tabs>
        <w:rPr>
          <w:sz w:val="20"/>
          <w:szCs w:val="20"/>
          <w:color w:val="auto"/>
        </w:rPr>
      </w:pPr>
      <w:r>
        <w:rPr>
          <w:rFonts w:ascii="Calibri" w:cs="Calibri" w:eastAsia="Calibri" w:hAnsi="Calibri"/>
          <w:sz w:val="18"/>
          <w:szCs w:val="18"/>
          <w:color w:val="auto"/>
        </w:rPr>
        <w:t>70</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20" w:right="100"/>
        <w:spacing w:after="0" w:line="269" w:lineRule="auto"/>
        <w:rPr>
          <w:sz w:val="20"/>
          <w:szCs w:val="20"/>
          <w:color w:val="auto"/>
        </w:rPr>
      </w:pPr>
      <w:r>
        <w:rPr>
          <w:rFonts w:ascii="Calibri" w:cs="Calibri" w:eastAsia="Calibri" w:hAnsi="Calibri"/>
          <w:sz w:val="18"/>
          <w:szCs w:val="18"/>
          <w:color w:val="auto"/>
        </w:rPr>
        <w:t>not subject to FERC regulation. However, the distinction between FERC-regulated transmission services and federally unregulated gathering services is the subject of ongoing litigation, so the classification and regulation of our gathering facilities are subject to change based on future determinations by FERC, the courts or Congress. Similarly, intrastate crude oil pipeline facilities are exempt from regulation by FERC under the ICA. San Mateo’s Rustler Breaks Oil Pipeline System, which includes crude oil gathering and transportation pipelines from origin points in Eddy County, New Mexico to an interconnect with Plains, and our Trophy Pipeline System, which includes crude oil gathering and transportation pipelines from origin points in Lea County, New Mexico to various interconnects with third parties, are subject to FERC jurisdiction. We believe the other crude oil pipelines in our gathering systems meet the traditional tests FERC has used to establish a pipeline’s status as an intrastate facility not subject to FERC regulation. Whether a pipeline provides service in interstate commerce or intrastate commerce is highly fact dependent and determined on a case-by-case basis. A change in the jurisdictional characterization of our facilities by FERC, the courts or Congress, a change in policy by FERC or Congress or the expansion of our activities may result in increased regulation of our assets, which may cause our revenues to decline and operating expenses to increase.</w:t>
      </w:r>
    </w:p>
    <w:p>
      <w:pPr>
        <w:spacing w:after="0" w:line="211" w:lineRule="exact"/>
        <w:rPr>
          <w:sz w:val="20"/>
          <w:szCs w:val="20"/>
          <w:color w:val="auto"/>
        </w:rPr>
      </w:pPr>
    </w:p>
    <w:p>
      <w:pPr>
        <w:ind w:left="720"/>
        <w:spacing w:after="0"/>
        <w:rPr>
          <w:sz w:val="20"/>
          <w:szCs w:val="20"/>
          <w:color w:val="auto"/>
        </w:rPr>
      </w:pPr>
      <w:r>
        <w:rPr>
          <w:rFonts w:ascii="Calibri" w:cs="Calibri" w:eastAsia="Calibri" w:hAnsi="Calibri"/>
          <w:sz w:val="17"/>
          <w:szCs w:val="17"/>
          <w:i w:val="1"/>
          <w:iCs w:val="1"/>
          <w:color w:val="214E93"/>
        </w:rPr>
        <w:t>The rates of our regulated assets are subject to review and reporting by federal regulators, which could adversely affect our revenues.</w:t>
      </w:r>
    </w:p>
    <w:p>
      <w:pPr>
        <w:spacing w:after="0" w:line="241" w:lineRule="exact"/>
        <w:rPr>
          <w:sz w:val="20"/>
          <w:szCs w:val="20"/>
          <w:color w:val="auto"/>
        </w:rPr>
      </w:pPr>
    </w:p>
    <w:p>
      <w:pPr>
        <w:ind w:left="720" w:firstLine="241"/>
        <w:spacing w:after="0" w:line="286" w:lineRule="auto"/>
        <w:rPr>
          <w:sz w:val="20"/>
          <w:szCs w:val="20"/>
          <w:color w:val="auto"/>
        </w:rPr>
      </w:pPr>
      <w:r>
        <w:rPr>
          <w:rFonts w:ascii="Calibri" w:cs="Calibri" w:eastAsia="Calibri" w:hAnsi="Calibri"/>
          <w:sz w:val="17"/>
          <w:szCs w:val="17"/>
          <w:color w:val="auto"/>
        </w:rPr>
        <w:t>The Rustler Breaks Oil Pipeline System and the Trophy Pipeline System transport crude oil in interstate commerce. FERC regulates the rates, terms and conditions of service on pipelines that transport crude oil in interstate commerce. If a party with an economic interest were to file either a complaint against our tariff rates or protest any proposed increases to our tariff rates, or FERC were to initiate an investigation of our rates, then our rates could be subject to detailed review. If any proposed rate increases were found by FERC to be in excess of just and reasonable levels, FERC could order us to reduce our rates and to refund the amount by which the rate increases were determined to be excessive, plus interest. If our existing rates were found by FERC to be in excess of just and reasonable levels, we could be ordered to refund the excess we collected for up to two years prior to the date of the filing of the complaint challenging the rates, and we could be ordered to reduce our rates prospectively. In addition, a state commission also could investigate our intrastate rates or our terms and conditions of service on its own initiative or at the urging of a shipper or other interested party. If a state commission found that our rates exceeded levels justified by our cost of service, the state commission could order us to reduce our rates. Any such reductions may result in lower revenues and cash flows.</w:t>
      </w:r>
    </w:p>
    <w:p>
      <w:pPr>
        <w:spacing w:after="0" w:line="203" w:lineRule="exact"/>
        <w:rPr>
          <w:sz w:val="20"/>
          <w:szCs w:val="20"/>
          <w:color w:val="auto"/>
        </w:rPr>
      </w:pPr>
    </w:p>
    <w:p>
      <w:pPr>
        <w:ind w:left="720" w:right="160" w:firstLine="241"/>
        <w:spacing w:after="0" w:line="261" w:lineRule="auto"/>
        <w:rPr>
          <w:sz w:val="20"/>
          <w:szCs w:val="20"/>
          <w:color w:val="auto"/>
        </w:rPr>
      </w:pPr>
      <w:r>
        <w:rPr>
          <w:rFonts w:ascii="Calibri" w:cs="Calibri" w:eastAsia="Calibri" w:hAnsi="Calibri"/>
          <w:sz w:val="18"/>
          <w:szCs w:val="18"/>
          <w:color w:val="auto"/>
        </w:rPr>
        <w:t>In addition, FERC’s ratemaking policies are subject to change and may impact the rates charged and revenues received on the Rustler Breaks Oil Pipeline System, the Trophy Pipeline System and any other natural gas or crude oil pipeline that is determined to be under the jurisdiction of FERC.</w:t>
      </w:r>
    </w:p>
    <w:p>
      <w:pPr>
        <w:spacing w:after="0" w:line="223" w:lineRule="exact"/>
        <w:rPr>
          <w:sz w:val="20"/>
          <w:szCs w:val="20"/>
          <w:color w:val="auto"/>
        </w:rPr>
      </w:pPr>
    </w:p>
    <w:p>
      <w:pPr>
        <w:ind w:left="720" w:right="640"/>
        <w:spacing w:after="0" w:line="252" w:lineRule="auto"/>
        <w:rPr>
          <w:sz w:val="20"/>
          <w:szCs w:val="20"/>
          <w:color w:val="auto"/>
        </w:rPr>
      </w:pPr>
      <w:r>
        <w:rPr>
          <w:rFonts w:ascii="Calibri" w:cs="Calibri" w:eastAsia="Calibri" w:hAnsi="Calibri"/>
          <w:sz w:val="18"/>
          <w:szCs w:val="18"/>
          <w:i w:val="1"/>
          <w:iCs w:val="1"/>
          <w:color w:val="214E93"/>
        </w:rPr>
        <w:t>Should we fail to comply with all applicable FERC-administered statutes, rules, regulations and orders, we could be subject to substantial penalties and fines.</w:t>
      </w:r>
    </w:p>
    <w:p>
      <w:pPr>
        <w:spacing w:after="0" w:line="230" w:lineRule="exact"/>
        <w:rPr>
          <w:sz w:val="20"/>
          <w:szCs w:val="20"/>
          <w:color w:val="auto"/>
        </w:rPr>
      </w:pPr>
    </w:p>
    <w:p>
      <w:pPr>
        <w:ind w:left="720" w:right="80" w:firstLine="241"/>
        <w:spacing w:after="0" w:line="267" w:lineRule="auto"/>
        <w:rPr>
          <w:sz w:val="20"/>
          <w:szCs w:val="20"/>
          <w:color w:val="auto"/>
        </w:rPr>
      </w:pPr>
      <w:r>
        <w:rPr>
          <w:rFonts w:ascii="Calibri" w:cs="Calibri" w:eastAsia="Calibri" w:hAnsi="Calibri"/>
          <w:sz w:val="18"/>
          <w:szCs w:val="18"/>
          <w:color w:val="auto"/>
        </w:rPr>
        <w:t>Under the Energy Policy Act, FERC has civil penalty authority under the NGA to impose penalties for current violations of up to approximately $1.3 million per day for each violation and disgorgement of profits associated with any violation. This maximum penalty authority established by statute will continue to be adjusted periodically for inflation. While the nature of our gathering facilities is such that these facilities have not yet been regulated by FERC, the Rustler Breaks Oil Pipeline System and Trophy Pipeline System do transport crude oil in interstate commerce and, therefore, are subject to FERC regulation. Laws, rules and regulations pertaining to those and other matters may be considered or adopted by FERC or Congress from time to time. Failure to comply with those laws, rules and regulations in the future could subject us to civil penalty liability.</w:t>
      </w:r>
    </w:p>
    <w:p>
      <w:pPr>
        <w:spacing w:after="0" w:line="216" w:lineRule="exact"/>
        <w:rPr>
          <w:sz w:val="20"/>
          <w:szCs w:val="20"/>
          <w:color w:val="auto"/>
        </w:rPr>
      </w:pPr>
    </w:p>
    <w:p>
      <w:pPr>
        <w:ind w:left="720"/>
        <w:spacing w:after="0"/>
        <w:rPr>
          <w:sz w:val="20"/>
          <w:szCs w:val="20"/>
          <w:color w:val="auto"/>
        </w:rPr>
      </w:pPr>
      <w:r>
        <w:rPr>
          <w:rFonts w:ascii="Calibri" w:cs="Calibri" w:eastAsia="Calibri" w:hAnsi="Calibri"/>
          <w:sz w:val="17"/>
          <w:szCs w:val="17"/>
          <w:i w:val="1"/>
          <w:iCs w:val="1"/>
          <w:color w:val="214E93"/>
        </w:rPr>
        <w:t>Derivatives legislation adopted by Congress could have an adverse impact on our ability to hedge risks associated with our business.</w:t>
      </w:r>
    </w:p>
    <w:p>
      <w:pPr>
        <w:spacing w:after="0" w:line="241" w:lineRule="exact"/>
        <w:rPr>
          <w:sz w:val="20"/>
          <w:szCs w:val="20"/>
          <w:color w:val="auto"/>
        </w:rPr>
      </w:pPr>
    </w:p>
    <w:p>
      <w:pPr>
        <w:ind w:left="720" w:right="60" w:firstLine="241"/>
        <w:spacing w:after="0" w:line="286" w:lineRule="auto"/>
        <w:rPr>
          <w:sz w:val="20"/>
          <w:szCs w:val="20"/>
          <w:color w:val="auto"/>
        </w:rPr>
      </w:pPr>
      <w:r>
        <w:rPr>
          <w:rFonts w:ascii="Calibri" w:cs="Calibri" w:eastAsia="Calibri" w:hAnsi="Calibri"/>
          <w:sz w:val="17"/>
          <w:szCs w:val="17"/>
          <w:color w:val="auto"/>
        </w:rPr>
        <w:t>The Dodd-Frank Wall Street Reform and Consumer Protection Act (the “Dodd-Frank Act”), among other things, established federal oversight and regulation of certain derivative products, including commodity hedges of the type we use. The Dodd-Frank Act requires the Commodity Futures Trading Commission (“CFTC”) and the SEC to promulgate rules and regulations implementing the Dodd-Frank Act. Although the CFTC has finalized certain regulations, others remain to be finalized or implemented, and it is not possible at this time to predict when, or if, this will be accomplished. For example, the CFTC has proposed, but not finalized, rules that would place limits on positions in certain core futures and equivalent swaps contracts for or linked to certain physical commodities, subject to exceptions for certain bona fide hedging transactions. The Dodd-Frank Act could also result in additional regulatory requirements on our derivative arrangements, which could include new margin, reporting and clearing requirements. In</w:t>
      </w:r>
    </w:p>
    <w:p>
      <w:pPr>
        <w:sectPr>
          <w:pgSz w:w="11880" w:h="15480" w:orient="portrait"/>
          <w:cols w:equalWidth="0" w:num="1">
            <w:col w:w="10280"/>
          </w:cols>
          <w:pgMar w:left="44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440" w:top="498" w:right="1160" w:bottom="0" w:gutter="0" w:footer="0" w:header="0"/>
          <w:type w:val="continuous"/>
        </w:sectPr>
      </w:pPr>
    </w:p>
    <w:bookmarkStart w:id="84" w:name="page85"/>
    <w:bookmarkEnd w:id="84"/>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71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500"/>
        <w:spacing w:after="0" w:line="252" w:lineRule="auto"/>
        <w:rPr>
          <w:sz w:val="20"/>
          <w:szCs w:val="20"/>
          <w:color w:val="auto"/>
        </w:rPr>
      </w:pPr>
      <w:r>
        <w:rPr>
          <w:rFonts w:ascii="Calibri" w:cs="Calibri" w:eastAsia="Calibri" w:hAnsi="Calibri"/>
          <w:sz w:val="18"/>
          <w:szCs w:val="18"/>
          <w:color w:val="auto"/>
        </w:rPr>
        <w:t>addition, this legislation could have a substantial impact on our counterparties and may increase the cost of our derivative arrangements in the future.</w:t>
      </w:r>
    </w:p>
    <w:p>
      <w:pPr>
        <w:spacing w:after="0" w:line="230" w:lineRule="exact"/>
        <w:rPr>
          <w:sz w:val="20"/>
          <w:szCs w:val="20"/>
          <w:color w:val="auto"/>
        </w:rPr>
      </w:pPr>
    </w:p>
    <w:p>
      <w:pPr>
        <w:ind w:right="920" w:firstLine="241"/>
        <w:spacing w:after="0" w:line="264" w:lineRule="auto"/>
        <w:rPr>
          <w:sz w:val="20"/>
          <w:szCs w:val="20"/>
          <w:color w:val="auto"/>
        </w:rPr>
      </w:pPr>
      <w:r>
        <w:rPr>
          <w:rFonts w:ascii="Calibri" w:cs="Calibri" w:eastAsia="Calibri" w:hAnsi="Calibri"/>
          <w:sz w:val="18"/>
          <w:szCs w:val="18"/>
          <w:color w:val="auto"/>
        </w:rPr>
        <w:t>If these types of commodity hedges become unavailable or uneconomic, our commodity price risk could increase, which would increase the volatility of revenues and may decrease the amount of credit available to us. Any limitations or changes in our use of derivative arrangements could also materially affect our cash flows, which could adversely affect our ability to make capital expenditures.</w:t>
      </w:r>
    </w:p>
    <w:p>
      <w:pPr>
        <w:spacing w:after="0" w:line="221" w:lineRule="exact"/>
        <w:rPr>
          <w:sz w:val="20"/>
          <w:szCs w:val="20"/>
          <w:color w:val="auto"/>
        </w:rPr>
      </w:pPr>
    </w:p>
    <w:p>
      <w:pPr>
        <w:ind w:right="780" w:firstLine="241"/>
        <w:spacing w:after="0" w:line="283" w:lineRule="auto"/>
        <w:rPr>
          <w:sz w:val="20"/>
          <w:szCs w:val="20"/>
          <w:color w:val="auto"/>
        </w:rPr>
      </w:pPr>
      <w:r>
        <w:rPr>
          <w:rFonts w:ascii="Calibri" w:cs="Calibri" w:eastAsia="Calibri" w:hAnsi="Calibri"/>
          <w:sz w:val="17"/>
          <w:szCs w:val="17"/>
          <w:color w:val="auto"/>
        </w:rPr>
        <w:t>Finally, the Dodd-Frank Act was intended, in part, to reduce the volatility of oil and natural gas prices, which some legislators attributed to speculative trading in derivatives and commodity instruments related to oil and natural gas. Our revenues could therefore be adversely affected if a consequence of the Dodd-Frank Act and implementing regulations is to lower commodity prices.</w:t>
      </w:r>
    </w:p>
    <w:p>
      <w:pPr>
        <w:spacing w:after="0" w:line="188" w:lineRule="exact"/>
        <w:rPr>
          <w:sz w:val="20"/>
          <w:szCs w:val="20"/>
          <w:color w:val="auto"/>
        </w:rPr>
      </w:pPr>
    </w:p>
    <w:p>
      <w:pPr>
        <w:ind w:left="240"/>
        <w:spacing w:after="0"/>
        <w:rPr>
          <w:sz w:val="20"/>
          <w:szCs w:val="20"/>
          <w:color w:val="auto"/>
        </w:rPr>
      </w:pPr>
      <w:r>
        <w:rPr>
          <w:rFonts w:ascii="Calibri" w:cs="Calibri" w:eastAsia="Calibri" w:hAnsi="Calibri"/>
          <w:sz w:val="18"/>
          <w:szCs w:val="18"/>
          <w:color w:val="auto"/>
        </w:rPr>
        <w:t>Any of these consequences could have a material adverse effect on our business, financial condition and results of operations.</w:t>
      </w:r>
    </w:p>
    <w:p>
      <w:pPr>
        <w:spacing w:after="0" w:line="241" w:lineRule="exact"/>
        <w:rPr>
          <w:sz w:val="20"/>
          <w:szCs w:val="20"/>
          <w:color w:val="auto"/>
        </w:rPr>
      </w:pPr>
    </w:p>
    <w:p>
      <w:pPr>
        <w:ind w:right="740"/>
        <w:spacing w:after="0" w:line="261" w:lineRule="auto"/>
        <w:rPr>
          <w:sz w:val="20"/>
          <w:szCs w:val="20"/>
          <w:color w:val="auto"/>
        </w:rPr>
      </w:pPr>
      <w:r>
        <w:rPr>
          <w:rFonts w:ascii="Calibri" w:cs="Calibri" w:eastAsia="Calibri" w:hAnsi="Calibri"/>
          <w:sz w:val="18"/>
          <w:szCs w:val="18"/>
          <w:i w:val="1"/>
          <w:iCs w:val="1"/>
          <w:color w:val="214E93"/>
        </w:rPr>
        <w:t>Changes in U.S. foreign trade policies, including the imposition of additional tariffs and other trade barriers, and efforts to withdraw from or materially modify international trade agreements, may materially and adversely affect our business, operations and financial condition.</w:t>
      </w:r>
    </w:p>
    <w:p>
      <w:pPr>
        <w:spacing w:after="0" w:line="223" w:lineRule="exact"/>
        <w:rPr>
          <w:sz w:val="20"/>
          <w:szCs w:val="20"/>
          <w:color w:val="auto"/>
        </w:rPr>
      </w:pPr>
    </w:p>
    <w:p>
      <w:pPr>
        <w:ind w:right="720" w:firstLine="241"/>
        <w:spacing w:after="0" w:line="269" w:lineRule="auto"/>
        <w:rPr>
          <w:sz w:val="20"/>
          <w:szCs w:val="20"/>
          <w:color w:val="auto"/>
        </w:rPr>
      </w:pPr>
      <w:r>
        <w:rPr>
          <w:rFonts w:ascii="Calibri" w:cs="Calibri" w:eastAsia="Calibri" w:hAnsi="Calibri"/>
          <w:sz w:val="18"/>
          <w:szCs w:val="18"/>
          <w:color w:val="auto"/>
        </w:rPr>
        <w:t>U.S. foreign trade policy continues to evolve, and recent actions have resulted in the imposition of new and increased tariffs, as well as other trade barriers on the foreign import of certain materials and products. For example, in April 2025, the U.S. government announced a new tariff regime that included a 10% baseline tariff on most products imported from other countries and an additional individualized reciprocal tariff on the countries with which the U.S. has the largest trade deficits, including China. Since that time, the U.S. expanded tariffs on key industrial inputs, including tariffs on steel and aluminum imports, and at times announced, rescinded, modified and temporarily suspended multiple tariffs on several foreign jurisdictions, which increased uncertainty regarding the ultimate effect of the tariffs on economic conditions. In August 2025, however, the U.S. Court of Appeals for the Federal Circuit ruled that the tariffs imposed under the Trump Administration exceed presidential authority and therefore are invalid, and in February 2026, the U.S. Supreme Court affirmed such decision. Following the ruling, the Trump Administration signed an executive order imposing a 10% “global tariff” and later indicated an intention to increase such “global tariff” to 15%, effective immediately, using presidential powers under certain U.S. trade laws. If implemented, such tariffs can remain in effect for up to 150 days, which may be extended by the U.S. Congress. The Trump Administration may continue to impose additional tariffs under other U.S. trade laws. In addition, from time to time, certain leaders in the U.S. government, including in the Trump administration, have indicated a willingness to revise, renegotiate or terminate various existing bilateral and multilateral trade agreements. The uncertainty over such policies has caused volatility in commodity, capital and financial markets, increased concerns over domestic and global inflation and adversely impacted consumer confidence in the U.S and worldwide. Any future tariffs or other trade restrictions may lead to continuing uncertainty and volatility in U.S. and global financial and economic conditions and commodity markets, declining consumer confidence, significant inflation and diminished expectations for the economy, and ultimately reduced demand for oil and natural gas.</w:t>
      </w:r>
    </w:p>
    <w:p>
      <w:pPr>
        <w:spacing w:after="0" w:line="228" w:lineRule="exact"/>
        <w:rPr>
          <w:sz w:val="20"/>
          <w:szCs w:val="20"/>
          <w:color w:val="auto"/>
        </w:rPr>
      </w:pPr>
    </w:p>
    <w:p>
      <w:pPr>
        <w:ind w:right="720" w:firstLine="241"/>
        <w:spacing w:after="0" w:line="269" w:lineRule="auto"/>
        <w:rPr>
          <w:sz w:val="20"/>
          <w:szCs w:val="20"/>
          <w:color w:val="auto"/>
        </w:rPr>
      </w:pPr>
      <w:r>
        <w:rPr>
          <w:rFonts w:ascii="Calibri" w:cs="Calibri" w:eastAsia="Calibri" w:hAnsi="Calibri"/>
          <w:sz w:val="18"/>
          <w:szCs w:val="18"/>
          <w:color w:val="auto"/>
        </w:rPr>
        <w:t>Changes in tariffs and trade restrictions can be announced with little or no advance notice. We cannot predict what additional changes to trade policy or tariffs will be made by the Trump administration, Congress or other governments, including whether existing or new tariff policies will be maintained or modified, what materials or products may be subject to such policies or whether the entry into new bilateral or multilateral trade agreements, or the amendment or termination of existing trade agreements, will occur, nor can we predict the effects that any such changes would have on our business. However, such steps, if adopted, could increase our costs, disrupt supply chains, delay project timelines or otherwise adversely impact our business and operations. For example, price increases for the materials we and San Mateo use in the construction of our midstream assets may result in increased costs associated with the continued build-out of such assets, as well as projects under development. Because our midstream business generates substantially all of its revenue under commercial agreements with customers that provide for fixed-fee structures, our midstream business will generally be unable to pass these cost increases along to our customers, and our income from operations and cash flows may be adversely affected.</w:t>
      </w:r>
    </w:p>
    <w:p>
      <w:pPr>
        <w:spacing w:after="0" w:line="214" w:lineRule="exact"/>
        <w:rPr>
          <w:sz w:val="20"/>
          <w:szCs w:val="20"/>
          <w:color w:val="auto"/>
        </w:rPr>
      </w:pPr>
    </w:p>
    <w:p>
      <w:pPr>
        <w:ind w:right="860" w:firstLine="241"/>
        <w:spacing w:after="0" w:line="283" w:lineRule="auto"/>
        <w:rPr>
          <w:sz w:val="20"/>
          <w:szCs w:val="20"/>
          <w:color w:val="auto"/>
        </w:rPr>
      </w:pPr>
      <w:r>
        <w:rPr>
          <w:rFonts w:ascii="Calibri" w:cs="Calibri" w:eastAsia="Calibri" w:hAnsi="Calibri"/>
          <w:sz w:val="17"/>
          <w:szCs w:val="17"/>
          <w:color w:val="auto"/>
        </w:rPr>
        <w:t>In addition, changes in U.S. trade policy and tariffs have resulted, and could again result, in reactions from U.S. trading partners, including adopting responsive trade policies making it more difficult or costly for us to conduct business across the jurisdictions in which we operate. For example, in response to the U.S. government’s additional tariff on imports from China, on February 4, 2025,</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892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1160" w:top="498" w:right="440" w:bottom="0" w:gutter="0" w:footer="0" w:header="0"/>
          <w:type w:val="continuous"/>
        </w:sectPr>
      </w:pPr>
    </w:p>
    <w:bookmarkStart w:id="85" w:name="page86"/>
    <w:bookmarkEnd w:id="85"/>
    <w:p>
      <w:pPr>
        <w:spacing w:after="0"/>
        <w:tabs>
          <w:tab w:leader="none" w:pos="740" w:val="left"/>
        </w:tabs>
        <w:rPr>
          <w:sz w:val="20"/>
          <w:szCs w:val="20"/>
          <w:color w:val="auto"/>
        </w:rPr>
      </w:pPr>
      <w:r>
        <w:rPr>
          <w:rFonts w:ascii="Calibri" w:cs="Calibri" w:eastAsia="Calibri" w:hAnsi="Calibri"/>
          <w:sz w:val="18"/>
          <w:szCs w:val="18"/>
          <w:color w:val="auto"/>
        </w:rPr>
        <w:t>72</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20"/>
        <w:spacing w:after="0" w:line="266" w:lineRule="auto"/>
        <w:rPr>
          <w:sz w:val="20"/>
          <w:szCs w:val="20"/>
          <w:color w:val="auto"/>
        </w:rPr>
      </w:pPr>
      <w:r>
        <w:rPr>
          <w:rFonts w:ascii="Calibri" w:cs="Calibri" w:eastAsia="Calibri" w:hAnsi="Calibri"/>
          <w:sz w:val="18"/>
          <w:szCs w:val="18"/>
          <w:color w:val="auto"/>
        </w:rPr>
        <w:t>the Chinese government announced that it would implement tariffs on certain goods being imported into China from the U.S. Similar responsive measures have been announced or implemented by other countries affected by U.S. trade actions. There can be no assurance that such changes in U.S. or foreign trade policy or tariffs or in laws and policies governing foreign trade, and any resulting negative sentiments or retaliatory trade practices towards the United States as a result of such changes, would not materially and adversely affect our business, financial condition, results of operations and liquidity.</w:t>
      </w:r>
    </w:p>
    <w:p>
      <w:pPr>
        <w:spacing w:after="0" w:line="216" w:lineRule="exact"/>
        <w:rPr>
          <w:sz w:val="20"/>
          <w:szCs w:val="20"/>
          <w:color w:val="auto"/>
        </w:rPr>
      </w:pPr>
    </w:p>
    <w:p>
      <w:pPr>
        <w:ind w:left="720"/>
        <w:spacing w:after="0"/>
        <w:rPr>
          <w:sz w:val="20"/>
          <w:szCs w:val="20"/>
          <w:color w:val="auto"/>
        </w:rPr>
      </w:pPr>
      <w:r>
        <w:rPr>
          <w:rFonts w:ascii="Verdana" w:cs="Verdana" w:eastAsia="Verdana" w:hAnsi="Verdana"/>
          <w:sz w:val="20"/>
          <w:szCs w:val="20"/>
          <w:color w:val="214E93"/>
        </w:rPr>
        <w:t>RISKS RELATED TO OUR COMMON STOCK</w:t>
      </w:r>
    </w:p>
    <w:p>
      <w:pPr>
        <w:spacing w:after="0" w:line="192" w:lineRule="exact"/>
        <w:rPr>
          <w:sz w:val="20"/>
          <w:szCs w:val="20"/>
          <w:color w:val="auto"/>
        </w:rPr>
      </w:pPr>
    </w:p>
    <w:p>
      <w:pPr>
        <w:ind w:left="720"/>
        <w:spacing w:after="0"/>
        <w:rPr>
          <w:sz w:val="20"/>
          <w:szCs w:val="20"/>
          <w:color w:val="auto"/>
        </w:rPr>
      </w:pPr>
      <w:r>
        <w:rPr>
          <w:rFonts w:ascii="Calibri" w:cs="Calibri" w:eastAsia="Calibri" w:hAnsi="Calibri"/>
          <w:sz w:val="18"/>
          <w:szCs w:val="18"/>
          <w:i w:val="1"/>
          <w:iCs w:val="1"/>
          <w:color w:val="214E93"/>
        </w:rPr>
        <w:t>The price of our common stock has fluctuated substantially and may fluctuate substantially in the future.</w:t>
      </w:r>
    </w:p>
    <w:p>
      <w:pPr>
        <w:spacing w:after="0" w:line="241" w:lineRule="exact"/>
        <w:rPr>
          <w:sz w:val="20"/>
          <w:szCs w:val="20"/>
          <w:color w:val="auto"/>
        </w:rPr>
      </w:pPr>
    </w:p>
    <w:p>
      <w:pPr>
        <w:ind w:left="720" w:right="200" w:firstLine="241"/>
        <w:spacing w:after="0" w:line="267" w:lineRule="auto"/>
        <w:rPr>
          <w:sz w:val="20"/>
          <w:szCs w:val="20"/>
          <w:color w:val="auto"/>
        </w:rPr>
      </w:pPr>
      <w:r>
        <w:rPr>
          <w:rFonts w:ascii="Calibri" w:cs="Calibri" w:eastAsia="Calibri" w:hAnsi="Calibri"/>
          <w:sz w:val="18"/>
          <w:szCs w:val="18"/>
          <w:color w:val="auto"/>
        </w:rPr>
        <w:t>Our stock price has experienced volatility and could vary significantly as a result of a number of factors. In 2025, our stock price fluctuated between a high of $64.05 and a low of $35.19. In addition, the trading volume of our common stock may continue to fluctuate and cause significant price variations to occur. In the event of a drop in the market price of our common stock, you could lose a substantial part or all of your investment in our common stock. In addition, the stock markets in general have experienced extreme volatility that has often been unrelated to the operating performance of particular companies. These broad market fluctuations may adversely affect the trading price of our common stock.</w:t>
      </w:r>
    </w:p>
    <w:p>
      <w:pPr>
        <w:spacing w:after="0" w:line="217" w:lineRule="exact"/>
        <w:rPr>
          <w:sz w:val="20"/>
          <w:szCs w:val="20"/>
          <w:color w:val="auto"/>
        </w:rPr>
      </w:pPr>
    </w:p>
    <w:p>
      <w:pPr>
        <w:ind w:left="720" w:right="480"/>
        <w:spacing w:after="0" w:line="281" w:lineRule="auto"/>
        <w:rPr>
          <w:sz w:val="20"/>
          <w:szCs w:val="20"/>
          <w:color w:val="auto"/>
        </w:rPr>
      </w:pPr>
      <w:r>
        <w:rPr>
          <w:rFonts w:ascii="Calibri" w:cs="Calibri" w:eastAsia="Calibri" w:hAnsi="Calibri"/>
          <w:sz w:val="17"/>
          <w:szCs w:val="17"/>
          <w:i w:val="1"/>
          <w:iCs w:val="1"/>
          <w:color w:val="214E93"/>
        </w:rPr>
        <w:t>Attention to environmental, social and governance (“ESG”) and conservation matters and a negative shift in market perception towards the oil and natural gas industry could adversely affect demand for oil and natural gas and our stock price.</w:t>
      </w:r>
    </w:p>
    <w:p>
      <w:pPr>
        <w:spacing w:after="0" w:line="206" w:lineRule="exact"/>
        <w:rPr>
          <w:sz w:val="20"/>
          <w:szCs w:val="20"/>
          <w:color w:val="auto"/>
        </w:rPr>
      </w:pPr>
    </w:p>
    <w:p>
      <w:pPr>
        <w:ind w:left="720" w:right="20" w:firstLine="241"/>
        <w:spacing w:after="0" w:line="269" w:lineRule="auto"/>
        <w:rPr>
          <w:sz w:val="20"/>
          <w:szCs w:val="20"/>
          <w:color w:val="auto"/>
        </w:rPr>
      </w:pPr>
      <w:r>
        <w:rPr>
          <w:rFonts w:ascii="Calibri" w:cs="Calibri" w:eastAsia="Calibri" w:hAnsi="Calibri"/>
          <w:sz w:val="18"/>
          <w:szCs w:val="18"/>
          <w:color w:val="auto"/>
        </w:rPr>
        <w:t>Attention from governmental and regulatory bodies, investors, consumers and other stakeholders on ESG practices, together with changes in consumer, industrial and commercial behavior, investor and societal expectations on companies to address climate change and to make voluntary disclosures related to climate change and sustainability, preferences and attitudes with respect to the generation and consumption of energy, the use of hydrocarbons and the use of products manufactured with, or powered, by hydrocarbons, may result in the enactment of climate and ESG-related regulations, policies and initiatives at the government, regulator, corporate and/or investor community levels; technological advances with respect to the generation, transmission, storage and consumption of energy; and the development of, and increased demand from consumers for, lower-emission products and services. These developments may in the future result in increased costs (including increased costs associated with compliance, shareholder engagement, contracting and insurance) and reduced demand for products manufactured with, or powered by, petroleum products, as well as the demand for our products and services. Such developments could result in downward pressure on the stock prices of oil and natural gas companies, including ours.</w:t>
      </w:r>
    </w:p>
    <w:p>
      <w:pPr>
        <w:spacing w:after="0" w:line="214" w:lineRule="exact"/>
        <w:rPr>
          <w:sz w:val="20"/>
          <w:szCs w:val="20"/>
          <w:color w:val="auto"/>
        </w:rPr>
      </w:pPr>
    </w:p>
    <w:p>
      <w:pPr>
        <w:ind w:left="720" w:firstLine="241"/>
        <w:spacing w:after="0" w:line="269" w:lineRule="auto"/>
        <w:rPr>
          <w:sz w:val="20"/>
          <w:szCs w:val="20"/>
          <w:color w:val="auto"/>
        </w:rPr>
      </w:pPr>
      <w:r>
        <w:rPr>
          <w:rFonts w:ascii="Calibri" w:cs="Calibri" w:eastAsia="Calibri" w:hAnsi="Calibri"/>
          <w:sz w:val="18"/>
          <w:szCs w:val="18"/>
          <w:color w:val="auto"/>
        </w:rPr>
        <w:t>In addition, negative perceptions regarding our industry and reputational risks, including perceptions related to the sufficiency of our ESG program (which may include policies, practices and extralegal objectives related to climate change, environmental stewardship, social responsibility and corporate governance), may in the future adversely affect our ability to successfully carry out our business strategy by adversely affecting our access to capital. In particular, certain segments of the investor community have at times expressed negative sentiment towards investing in the oil and natural gas industry. There have also been efforts in recent years to influence the investment community, including investment advisors, investment fund managers, pension funds, sovereign wealth funds, university endowments, individual investors and family foundations, to divest, or limit investment in, fossil fuel-related equities. As a result, some investors have adopted policies to reduce or eliminate their investments in the oil and natural gas sector based on social and environmental considerations. Other significant investors and asset managers, both domestically and internationally, have published ESG guidelines and disclosure standards that companies in which they invest are expected to adopt or follow.</w:t>
      </w:r>
    </w:p>
    <w:p>
      <w:pPr>
        <w:spacing w:after="0" w:line="214" w:lineRule="exact"/>
        <w:rPr>
          <w:sz w:val="20"/>
          <w:szCs w:val="20"/>
          <w:color w:val="auto"/>
        </w:rPr>
      </w:pPr>
    </w:p>
    <w:p>
      <w:pPr>
        <w:ind w:left="720" w:firstLine="241"/>
        <w:spacing w:after="0" w:line="286" w:lineRule="auto"/>
        <w:rPr>
          <w:sz w:val="20"/>
          <w:szCs w:val="20"/>
          <w:color w:val="auto"/>
        </w:rPr>
      </w:pPr>
      <w:r>
        <w:rPr>
          <w:rFonts w:ascii="Calibri" w:cs="Calibri" w:eastAsia="Calibri" w:hAnsi="Calibri"/>
          <w:sz w:val="17"/>
          <w:szCs w:val="17"/>
          <w:color w:val="auto"/>
        </w:rPr>
        <w:t>Certain other stakeholders have pressured commercial and investment banks and other capital providers to stop or limit funding of oil and natural gas projects and have pressured insurance underwriters to limit coverages to companies engaged in the extraction of fossil fuel reserves. Institutional lenders that provide financing to energy companies have also become more attentive to sustainable lending practices, and some may elect not to provide traditional energy producers or companies that support such producers with funding. With the continued volatility in oil and natural gas prices and elevated interest rates, which have increased the cost of borrowing, certain investors have emphasized capital efficiency and free cash flow from earnings as key drivers for energy companies, especially those primarily focused in the shale plays. This may result in an increase in our expenses and a reduction of revenues and available capital funding for potential development projects, further impacting our future financial results.</w:t>
      </w:r>
    </w:p>
    <w:p>
      <w:pPr>
        <w:sectPr>
          <w:pgSz w:w="11880" w:h="15480" w:orient="portrait"/>
          <w:cols w:equalWidth="0" w:num="1">
            <w:col w:w="10280"/>
          </w:cols>
          <w:pgMar w:left="44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440" w:top="498" w:right="1160" w:bottom="0" w:gutter="0" w:footer="0" w:header="0"/>
          <w:type w:val="continuous"/>
        </w:sectPr>
      </w:pPr>
    </w:p>
    <w:bookmarkStart w:id="86" w:name="page87"/>
    <w:bookmarkEnd w:id="86"/>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73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940"/>
        <w:spacing w:after="0" w:line="252" w:lineRule="auto"/>
        <w:rPr>
          <w:sz w:val="20"/>
          <w:szCs w:val="20"/>
          <w:color w:val="auto"/>
        </w:rPr>
      </w:pPr>
      <w:r>
        <w:rPr>
          <w:rFonts w:ascii="Calibri" w:cs="Calibri" w:eastAsia="Calibri" w:hAnsi="Calibri"/>
          <w:sz w:val="18"/>
          <w:szCs w:val="18"/>
          <w:color w:val="auto"/>
        </w:rPr>
        <w:t>Furthermore, if we are unable to achieve the desired level of capital efficiency or free cash flow within the timeframe expected by the market, our stock price may be adversely affected.</w:t>
      </w:r>
    </w:p>
    <w:p>
      <w:pPr>
        <w:spacing w:after="0" w:line="230" w:lineRule="exact"/>
        <w:rPr>
          <w:sz w:val="20"/>
          <w:szCs w:val="20"/>
          <w:color w:val="auto"/>
        </w:rPr>
      </w:pPr>
    </w:p>
    <w:p>
      <w:pPr>
        <w:ind w:right="760" w:firstLine="241"/>
        <w:spacing w:after="0" w:line="267" w:lineRule="auto"/>
        <w:rPr>
          <w:sz w:val="20"/>
          <w:szCs w:val="20"/>
          <w:color w:val="auto"/>
        </w:rPr>
      </w:pPr>
      <w:r>
        <w:rPr>
          <w:rFonts w:ascii="Calibri" w:cs="Calibri" w:eastAsia="Calibri" w:hAnsi="Calibri"/>
          <w:sz w:val="18"/>
          <w:szCs w:val="18"/>
          <w:color w:val="auto"/>
        </w:rPr>
        <w:t>In addition, shareholder activism has been recently increasing in the oil and gas industry, and shareholders may attempt to effect changes to our business or governance, whether by shareholder proposals, public campaigns, proxy solicitations or otherwise. Organizations that provide information to investors on corporate governance and related matters have developed ratings processes for evaluating companies on their approach to ESG matters, and such ratings are used by some investors to inform their investment and voting decisions. Unfavorable ESG ratings and activism directed at shifting funding away from companies with energy-related assets could lead to increased negative investor sentiment toward us and to the diversion of investment to other industries, which could have an adverse effect on our stock price and our access to and costs of capital.</w:t>
      </w:r>
    </w:p>
    <w:p>
      <w:pPr>
        <w:spacing w:after="0" w:line="220" w:lineRule="exact"/>
        <w:rPr>
          <w:sz w:val="20"/>
          <w:szCs w:val="20"/>
          <w:color w:val="auto"/>
        </w:rPr>
      </w:pPr>
    </w:p>
    <w:p>
      <w:pPr>
        <w:ind w:right="980"/>
        <w:spacing w:after="0" w:line="252" w:lineRule="auto"/>
        <w:rPr>
          <w:sz w:val="20"/>
          <w:szCs w:val="20"/>
          <w:color w:val="auto"/>
        </w:rPr>
      </w:pPr>
      <w:r>
        <w:rPr>
          <w:rFonts w:ascii="Calibri" w:cs="Calibri" w:eastAsia="Calibri" w:hAnsi="Calibri"/>
          <w:sz w:val="18"/>
          <w:szCs w:val="18"/>
          <w:i w:val="1"/>
          <w:iCs w:val="1"/>
          <w:color w:val="214E93"/>
        </w:rPr>
        <w:t>Future sales of shares of our common stock by existing shareholders and future offerings of our common stock by us could depress the price of our common stock.</w:t>
      </w:r>
    </w:p>
    <w:p>
      <w:pPr>
        <w:spacing w:after="0" w:line="230" w:lineRule="exact"/>
        <w:rPr>
          <w:sz w:val="20"/>
          <w:szCs w:val="20"/>
          <w:color w:val="auto"/>
        </w:rPr>
      </w:pPr>
    </w:p>
    <w:p>
      <w:pPr>
        <w:ind w:right="780" w:firstLine="241"/>
        <w:spacing w:after="0" w:line="266" w:lineRule="auto"/>
        <w:rPr>
          <w:sz w:val="20"/>
          <w:szCs w:val="20"/>
          <w:color w:val="auto"/>
        </w:rPr>
      </w:pPr>
      <w:r>
        <w:rPr>
          <w:rFonts w:ascii="Calibri" w:cs="Calibri" w:eastAsia="Calibri" w:hAnsi="Calibri"/>
          <w:sz w:val="18"/>
          <w:szCs w:val="18"/>
          <w:color w:val="auto"/>
        </w:rPr>
        <w:t>The market price of our common stock could decline as a result of sales of a large number of shares of our common stock in the market, including shares of equity or debt securities convertible into common stock, and the perception that these sales could occur may also depress the market price of our common stock. Sales of our common stock may make it more difficult for us to sell equity securities in the future at a time and at a price that we deem appropriate. These sales could also cause our stock price to decrease and make it more difficult for you to sell shares of our common stock.</w:t>
      </w:r>
    </w:p>
    <w:p>
      <w:pPr>
        <w:spacing w:after="0" w:line="218" w:lineRule="exact"/>
        <w:rPr>
          <w:sz w:val="20"/>
          <w:szCs w:val="20"/>
          <w:color w:val="auto"/>
        </w:rPr>
      </w:pPr>
    </w:p>
    <w:p>
      <w:pPr>
        <w:ind w:right="800" w:firstLine="241"/>
        <w:spacing w:after="0" w:line="264" w:lineRule="auto"/>
        <w:rPr>
          <w:sz w:val="20"/>
          <w:szCs w:val="20"/>
          <w:color w:val="auto"/>
        </w:rPr>
      </w:pPr>
      <w:r>
        <w:rPr>
          <w:rFonts w:ascii="Calibri" w:cs="Calibri" w:eastAsia="Calibri" w:hAnsi="Calibri"/>
          <w:sz w:val="18"/>
          <w:szCs w:val="18"/>
          <w:color w:val="auto"/>
        </w:rPr>
        <w:t>We may also sell or issue additional shares of common stock or equity or debt securities convertible into common stock in public or private offerings or in connection with acquisitions. We cannot predict the size of future issuances of our common stock or convertible securities or the effect, if any, that future issuances and sales of shares of our common stock or convertible securities would have on the market price of our common stock.</w:t>
      </w:r>
    </w:p>
    <w:p>
      <w:pPr>
        <w:spacing w:after="0" w:line="221" w:lineRule="exact"/>
        <w:rPr>
          <w:sz w:val="20"/>
          <w:szCs w:val="20"/>
          <w:color w:val="auto"/>
        </w:rPr>
      </w:pPr>
    </w:p>
    <w:p>
      <w:pPr>
        <w:ind w:right="1400"/>
        <w:spacing w:after="0" w:line="252" w:lineRule="auto"/>
        <w:rPr>
          <w:sz w:val="20"/>
          <w:szCs w:val="20"/>
          <w:color w:val="auto"/>
        </w:rPr>
      </w:pPr>
      <w:r>
        <w:rPr>
          <w:rFonts w:ascii="Calibri" w:cs="Calibri" w:eastAsia="Calibri" w:hAnsi="Calibri"/>
          <w:sz w:val="18"/>
          <w:szCs w:val="18"/>
          <w:i w:val="1"/>
          <w:iCs w:val="1"/>
          <w:color w:val="214E93"/>
        </w:rPr>
        <w:t>Our directors and executive officers own a significant percentage of our equity, which could give them influence in corporate transactions and other matters, and their interests could differ from other shareholders.</w:t>
      </w:r>
    </w:p>
    <w:p>
      <w:pPr>
        <w:spacing w:after="0" w:line="230" w:lineRule="exact"/>
        <w:rPr>
          <w:sz w:val="20"/>
          <w:szCs w:val="20"/>
          <w:color w:val="auto"/>
        </w:rPr>
      </w:pPr>
    </w:p>
    <w:p>
      <w:pPr>
        <w:ind w:right="780" w:firstLine="241"/>
        <w:spacing w:after="0" w:line="267" w:lineRule="auto"/>
        <w:rPr>
          <w:sz w:val="20"/>
          <w:szCs w:val="20"/>
          <w:color w:val="auto"/>
        </w:rPr>
      </w:pPr>
      <w:r>
        <w:rPr>
          <w:rFonts w:ascii="Calibri" w:cs="Calibri" w:eastAsia="Calibri" w:hAnsi="Calibri"/>
          <w:sz w:val="18"/>
          <w:szCs w:val="18"/>
          <w:color w:val="auto"/>
        </w:rPr>
        <w:t>As of February 24, 2026, our directors and executive officers beneficially owned approximately 5.8% of our outstanding common stock. These shareholders could influence or control to some degree the outcome of matters requiring a shareholder vote, including the election of directors, the adoption of any amendment to our certificate of formation or bylaws and the approval of mergers and other significant corporate transactions. Their influence or control of the Company may have the effect of delaying or preventing a change of control of the Company and may adversely affect the voting and other rights of other shareholders. In addition, due to their ownership interest in our common stock, our directors and executive officers may be able to remain entrenched in their positions.</w:t>
      </w:r>
    </w:p>
    <w:p>
      <w:pPr>
        <w:spacing w:after="0" w:line="220" w:lineRule="exact"/>
        <w:rPr>
          <w:sz w:val="20"/>
          <w:szCs w:val="20"/>
          <w:color w:val="auto"/>
        </w:rPr>
      </w:pPr>
    </w:p>
    <w:p>
      <w:pPr>
        <w:ind w:right="800"/>
        <w:spacing w:after="0" w:line="252" w:lineRule="auto"/>
        <w:rPr>
          <w:sz w:val="20"/>
          <w:szCs w:val="20"/>
          <w:color w:val="auto"/>
        </w:rPr>
      </w:pPr>
      <w:r>
        <w:rPr>
          <w:rFonts w:ascii="Calibri" w:cs="Calibri" w:eastAsia="Calibri" w:hAnsi="Calibri"/>
          <w:sz w:val="18"/>
          <w:szCs w:val="18"/>
          <w:i w:val="1"/>
          <w:iCs w:val="1"/>
          <w:color w:val="214E93"/>
        </w:rPr>
        <w:t>Our Board can authorize the issuance of preferred stock, which could diminish the rights of holders of our common stock and make a change of control of the Company more difficult even if it might benefit our shareholders.</w:t>
      </w:r>
    </w:p>
    <w:p>
      <w:pPr>
        <w:spacing w:after="0" w:line="230" w:lineRule="exact"/>
        <w:rPr>
          <w:sz w:val="20"/>
          <w:szCs w:val="20"/>
          <w:color w:val="auto"/>
        </w:rPr>
      </w:pPr>
    </w:p>
    <w:p>
      <w:pPr>
        <w:ind w:right="940" w:firstLine="241"/>
        <w:spacing w:after="0" w:line="264" w:lineRule="auto"/>
        <w:rPr>
          <w:sz w:val="20"/>
          <w:szCs w:val="20"/>
          <w:color w:val="auto"/>
        </w:rPr>
      </w:pPr>
      <w:r>
        <w:rPr>
          <w:rFonts w:ascii="Calibri" w:cs="Calibri" w:eastAsia="Calibri" w:hAnsi="Calibri"/>
          <w:sz w:val="18"/>
          <w:szCs w:val="18"/>
          <w:color w:val="auto"/>
        </w:rPr>
        <w:t>Our Board is authorized to issue shares of preferred stock in one or more series and to fix the voting powers, preferences and other rights and limitations of the preferred stock. Accordingly, we may issue shares of preferred stock with a preference over our common stock with respect to dividends or distributions on liquidation or dissolution, or that may otherwise adversely affect the voting or other rights of the holders of common stock.</w:t>
      </w:r>
    </w:p>
    <w:p>
      <w:pPr>
        <w:spacing w:after="0" w:line="221" w:lineRule="exact"/>
        <w:rPr>
          <w:sz w:val="20"/>
          <w:szCs w:val="20"/>
          <w:color w:val="auto"/>
        </w:rPr>
      </w:pPr>
    </w:p>
    <w:p>
      <w:pPr>
        <w:jc w:val="both"/>
        <w:ind w:right="1140" w:firstLine="241"/>
        <w:spacing w:after="0" w:line="261" w:lineRule="auto"/>
        <w:rPr>
          <w:sz w:val="20"/>
          <w:szCs w:val="20"/>
          <w:color w:val="auto"/>
        </w:rPr>
      </w:pPr>
      <w:r>
        <w:rPr>
          <w:rFonts w:ascii="Calibri" w:cs="Calibri" w:eastAsia="Calibri" w:hAnsi="Calibri"/>
          <w:sz w:val="18"/>
          <w:szCs w:val="18"/>
          <w:color w:val="auto"/>
        </w:rPr>
        <w:t>Issuances of preferred stock, depending upon the rights, preferences and designations of the preferred stock, may have the effect of delaying, deterring or preventing a change of control of the Company, even if that change of control might benefit our shareholders.</w:t>
      </w:r>
    </w:p>
    <w:p>
      <w:pPr>
        <w:spacing w:after="0" w:line="221" w:lineRule="exact"/>
        <w:rPr>
          <w:sz w:val="20"/>
          <w:szCs w:val="20"/>
          <w:color w:val="auto"/>
        </w:rPr>
      </w:pPr>
    </w:p>
    <w:p>
      <w:pPr>
        <w:spacing w:after="0"/>
        <w:rPr>
          <w:sz w:val="20"/>
          <w:szCs w:val="20"/>
          <w:color w:val="auto"/>
        </w:rPr>
      </w:pPr>
      <w:r>
        <w:rPr>
          <w:rFonts w:ascii="Verdana" w:cs="Verdana" w:eastAsia="Verdana" w:hAnsi="Verdana"/>
          <w:sz w:val="20"/>
          <w:szCs w:val="20"/>
          <w:color w:val="214E93"/>
        </w:rPr>
        <w:t>GENERAL RISK FACTORS</w:t>
      </w:r>
    </w:p>
    <w:p>
      <w:pPr>
        <w:spacing w:after="0" w:line="209" w:lineRule="exact"/>
        <w:rPr>
          <w:sz w:val="20"/>
          <w:szCs w:val="20"/>
          <w:color w:val="auto"/>
        </w:rPr>
      </w:pPr>
    </w:p>
    <w:p>
      <w:pPr>
        <w:ind w:right="1220"/>
        <w:spacing w:after="0" w:line="252" w:lineRule="auto"/>
        <w:rPr>
          <w:sz w:val="20"/>
          <w:szCs w:val="20"/>
          <w:color w:val="auto"/>
        </w:rPr>
      </w:pPr>
      <w:r>
        <w:rPr>
          <w:rFonts w:ascii="Calibri" w:cs="Calibri" w:eastAsia="Calibri" w:hAnsi="Calibri"/>
          <w:sz w:val="18"/>
          <w:szCs w:val="18"/>
          <w:i w:val="1"/>
          <w:iCs w:val="1"/>
          <w:color w:val="214E93"/>
        </w:rPr>
        <w:t>We may have difficulty managing growth in our business, which could have a material adverse effect on our business, financial condition, results of operations and cash flows and our ability to execute our business plan in a timely fashion.</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892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1160" w:top="498" w:right="440" w:bottom="0" w:gutter="0" w:footer="0" w:header="0"/>
          <w:type w:val="continuous"/>
        </w:sectPr>
      </w:pPr>
    </w:p>
    <w:bookmarkStart w:id="87" w:name="page88"/>
    <w:bookmarkEnd w:id="87"/>
    <w:p>
      <w:pPr>
        <w:spacing w:after="0"/>
        <w:tabs>
          <w:tab w:leader="none" w:pos="740" w:val="left"/>
        </w:tabs>
        <w:rPr>
          <w:sz w:val="20"/>
          <w:szCs w:val="20"/>
          <w:color w:val="auto"/>
        </w:rPr>
      </w:pPr>
      <w:r>
        <w:rPr>
          <w:rFonts w:ascii="Calibri" w:cs="Calibri" w:eastAsia="Calibri" w:hAnsi="Calibri"/>
          <w:sz w:val="18"/>
          <w:szCs w:val="18"/>
          <w:color w:val="auto"/>
        </w:rPr>
        <w:t>74</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20" w:firstLine="241"/>
        <w:spacing w:after="0" w:line="285" w:lineRule="auto"/>
        <w:rPr>
          <w:sz w:val="20"/>
          <w:szCs w:val="20"/>
          <w:color w:val="auto"/>
        </w:rPr>
      </w:pPr>
      <w:r>
        <w:rPr>
          <w:rFonts w:ascii="Calibri" w:cs="Calibri" w:eastAsia="Calibri" w:hAnsi="Calibri"/>
          <w:sz w:val="17"/>
          <w:szCs w:val="17"/>
          <w:color w:val="auto"/>
        </w:rPr>
        <w:t>Because of our size, growth in accordance with our business plans, if achieved, will place a significant strain on our financial, technical, operational and management resources. As and when we expand our activities, including our midstream business, through San Mateo or otherwise, there will be additional demands on our financial, technical and management resources. The failure to continue to upgrade our technical, administrative, operating and financial control systems or the occurrence of unexpected expansion difficulties, including the inability to recruit and retain experienced managers, geoscientists, petroleum engineers, landmen, midstream professionals, attorneys and financial and accounting professionals, could have a material adverse effect on our business, financial condition, results of operations and cash flows and our ability to execute our business plan in a timely fashion.</w:t>
      </w:r>
    </w:p>
    <w:p>
      <w:pPr>
        <w:spacing w:after="0" w:line="207" w:lineRule="exact"/>
        <w:rPr>
          <w:sz w:val="20"/>
          <w:szCs w:val="20"/>
          <w:color w:val="auto"/>
        </w:rPr>
      </w:pPr>
    </w:p>
    <w:p>
      <w:pPr>
        <w:ind w:left="720" w:right="120"/>
        <w:spacing w:after="0" w:line="261" w:lineRule="auto"/>
        <w:rPr>
          <w:sz w:val="20"/>
          <w:szCs w:val="20"/>
          <w:color w:val="auto"/>
        </w:rPr>
      </w:pPr>
      <w:r>
        <w:rPr>
          <w:rFonts w:ascii="Calibri" w:cs="Calibri" w:eastAsia="Calibri" w:hAnsi="Calibri"/>
          <w:sz w:val="18"/>
          <w:szCs w:val="18"/>
          <w:i w:val="1"/>
          <w:iCs w:val="1"/>
          <w:color w:val="214E93"/>
        </w:rPr>
        <w:t>Our success depends, to a large extent, on our ability to retain our key personnel, including our chairman and chief executive officer, management and technical team and the members of our Board, and the loss of any key personnel or Board member could disrupt our business operations.</w:t>
      </w:r>
    </w:p>
    <w:p>
      <w:pPr>
        <w:spacing w:after="0" w:line="223" w:lineRule="exact"/>
        <w:rPr>
          <w:sz w:val="20"/>
          <w:szCs w:val="20"/>
          <w:color w:val="auto"/>
        </w:rPr>
      </w:pPr>
    </w:p>
    <w:p>
      <w:pPr>
        <w:ind w:left="720" w:right="60" w:firstLine="241"/>
        <w:spacing w:after="0" w:line="268" w:lineRule="auto"/>
        <w:rPr>
          <w:sz w:val="20"/>
          <w:szCs w:val="20"/>
          <w:color w:val="auto"/>
        </w:rPr>
      </w:pPr>
      <w:r>
        <w:rPr>
          <w:rFonts w:ascii="Calibri" w:cs="Calibri" w:eastAsia="Calibri" w:hAnsi="Calibri"/>
          <w:sz w:val="18"/>
          <w:szCs w:val="18"/>
          <w:color w:val="auto"/>
        </w:rPr>
        <w:t>Investors in our common stock must rely upon the ability, expertise, judgment and discretion of our management and the success of our technical team in identifying, evaluating and developing prospects and reserves. Our performance and success are dependent to a large extent on the efforts and continued employment of our management and technical personnel, including our Chairman and Chief Executive Officer, Joseph Wm. Foran. We do not believe that these individuals could be quickly replaced with personnel of equal experience and capabilities, and their successors may not be as effective. We have entered into employment agreements with Mr. Foran and other key personnel. However, these employment agreements do not ensure that these individuals will remain in our employment. If Mr. Foran or other key personnel resign or become unable to continue in their present roles and if they are not adequately replaced, our business operations could be adversely affected. With the exception of Mr. Foran, we do not maintain, nor do we plan to obtain, any insurance against the loss of any of these individuals.</w:t>
      </w:r>
    </w:p>
    <w:p>
      <w:pPr>
        <w:spacing w:after="0" w:line="219" w:lineRule="exact"/>
        <w:rPr>
          <w:sz w:val="20"/>
          <w:szCs w:val="20"/>
          <w:color w:val="auto"/>
        </w:rPr>
      </w:pPr>
    </w:p>
    <w:p>
      <w:pPr>
        <w:ind w:left="720" w:right="160" w:firstLine="241"/>
        <w:spacing w:after="0" w:line="266" w:lineRule="auto"/>
        <w:rPr>
          <w:sz w:val="20"/>
          <w:szCs w:val="20"/>
          <w:color w:val="auto"/>
        </w:rPr>
      </w:pPr>
      <w:r>
        <w:rPr>
          <w:rFonts w:ascii="Calibri" w:cs="Calibri" w:eastAsia="Calibri" w:hAnsi="Calibri"/>
          <w:sz w:val="18"/>
          <w:szCs w:val="18"/>
          <w:color w:val="auto"/>
        </w:rPr>
        <w:t>We have an active Board that meets at least quarterly throughout the year and is closely involved in our business and the determination of our operational strategies. Members of our Board work closely with management to identify potential prospects, acquisitions and areas for further development. If any of our directors resign or become unable to continue in their present role, it may be difficult to find replacements with the same knowledge and experience and, as a result, our operations may be adversely affected.</w:t>
      </w:r>
    </w:p>
    <w:p>
      <w:pPr>
        <w:spacing w:after="0" w:line="218" w:lineRule="exact"/>
        <w:rPr>
          <w:sz w:val="20"/>
          <w:szCs w:val="20"/>
          <w:color w:val="auto"/>
        </w:rPr>
      </w:pPr>
    </w:p>
    <w:p>
      <w:pPr>
        <w:ind w:left="720" w:firstLine="241"/>
        <w:spacing w:after="0" w:line="267" w:lineRule="auto"/>
        <w:rPr>
          <w:sz w:val="20"/>
          <w:szCs w:val="20"/>
          <w:color w:val="auto"/>
        </w:rPr>
      </w:pPr>
      <w:r>
        <w:rPr>
          <w:rFonts w:ascii="Calibri" w:cs="Calibri" w:eastAsia="Calibri" w:hAnsi="Calibri"/>
          <w:sz w:val="18"/>
          <w:szCs w:val="18"/>
          <w:color w:val="auto"/>
        </w:rPr>
        <w:t>Although overall labor market conditions in the U.S. have moderated from the extremes experienced during and immediately following the COVID-19 pandemic, many companies in our industry continue to report challenges in attracting and retaining qualified personnel, which has resulted in increased costs to attract skilled labor, such as higher wages or costs for contractors. We may experience employee turnover or labor shortages if our business requirements, compensation, benefits and/or perquisites are inconsistent with the expectations of current or prospective employees, or if workers pursue employment in fields with less volatility than in the energy industry. If we are unsuccessful in our efforts to attract and retain sufficient qualified personnel on terms acceptable to us, or do so at rates necessary to maintain our competitive position, our business could be adversely affected.</w:t>
      </w:r>
    </w:p>
    <w:p>
      <w:pPr>
        <w:spacing w:after="0" w:line="203" w:lineRule="exact"/>
        <w:rPr>
          <w:sz w:val="20"/>
          <w:szCs w:val="20"/>
          <w:color w:val="auto"/>
        </w:rPr>
      </w:pPr>
    </w:p>
    <w:p>
      <w:pPr>
        <w:ind w:left="720"/>
        <w:spacing w:after="0"/>
        <w:rPr>
          <w:sz w:val="20"/>
          <w:szCs w:val="20"/>
          <w:color w:val="auto"/>
        </w:rPr>
      </w:pPr>
      <w:r>
        <w:rPr>
          <w:rFonts w:ascii="Calibri" w:cs="Calibri" w:eastAsia="Calibri" w:hAnsi="Calibri"/>
          <w:sz w:val="18"/>
          <w:szCs w:val="18"/>
          <w:i w:val="1"/>
          <w:iCs w:val="1"/>
          <w:color w:val="214E93"/>
        </w:rPr>
        <w:t>A cyber incident could occur and result in information theft, data corruption, operational disruption or financial loss.</w:t>
      </w:r>
    </w:p>
    <w:p>
      <w:pPr>
        <w:spacing w:after="0" w:line="241" w:lineRule="exact"/>
        <w:rPr>
          <w:sz w:val="20"/>
          <w:szCs w:val="20"/>
          <w:color w:val="auto"/>
        </w:rPr>
      </w:pPr>
    </w:p>
    <w:p>
      <w:pPr>
        <w:ind w:left="720" w:firstLine="241"/>
        <w:spacing w:after="0" w:line="285" w:lineRule="auto"/>
        <w:rPr>
          <w:sz w:val="20"/>
          <w:szCs w:val="20"/>
          <w:color w:val="auto"/>
        </w:rPr>
      </w:pPr>
      <w:r>
        <w:rPr>
          <w:rFonts w:ascii="Calibri" w:cs="Calibri" w:eastAsia="Calibri" w:hAnsi="Calibri"/>
          <w:sz w:val="17"/>
          <w:szCs w:val="17"/>
          <w:color w:val="auto"/>
        </w:rPr>
        <w:t>Our business, like the oil and natural gas industry in general, is dependent on digital technologies to conduct certain exploration, development, production, gathering, processing and financial activities, including technologies that are managed by third-party service providers or other providers to our industry on whom we directly or indirectly rely to help us collect, host or process information. We depend on such digital technology to, among other things, estimate oil and natural gas reserves quantities, plan, execute and analyze drilling, completion, production, gathering, processing and disposal operations, process and record financial and operating data and communicate with employees, shareholders, royalty owners and other third-party industry participants. Industrial control systems, such as our SCADA systems, control important processes and facilities that are critical to our operations.</w:t>
      </w:r>
    </w:p>
    <w:p>
      <w:pPr>
        <w:spacing w:after="0" w:line="207" w:lineRule="exact"/>
        <w:rPr>
          <w:sz w:val="20"/>
          <w:szCs w:val="20"/>
          <w:color w:val="auto"/>
        </w:rPr>
      </w:pPr>
    </w:p>
    <w:p>
      <w:pPr>
        <w:ind w:left="720" w:right="60" w:firstLine="241"/>
        <w:spacing w:after="0" w:line="285" w:lineRule="auto"/>
        <w:rPr>
          <w:sz w:val="20"/>
          <w:szCs w:val="20"/>
          <w:color w:val="auto"/>
        </w:rPr>
      </w:pPr>
      <w:r>
        <w:rPr>
          <w:rFonts w:ascii="Calibri" w:cs="Calibri" w:eastAsia="Calibri" w:hAnsi="Calibri"/>
          <w:sz w:val="17"/>
          <w:szCs w:val="17"/>
          <w:color w:val="auto"/>
        </w:rPr>
        <w:t>While we and our third-party service providers commit resources to the design, implementation and monitoring of our information systems, there is no guarantee that these security measures will provide absolute security. Despite these security measures, we may not be able to anticipate, detect or prevent cyberattacks, particularly because the methodologies used by attackers change frequently or may not be recognized until launch, and because attackers are increasingly using technologies designed to circumvent controls and avoid detection. Security incidents can also occur as a result of non-technical issues, such as physical theft. If any of such programs or systems were to fail or create erroneous information in our hardware or software network infrastructure or we were subject to cyberspace breaches, ransomware or other malware, phishing or social engineering schemes or</w:t>
      </w:r>
    </w:p>
    <w:p>
      <w:pPr>
        <w:sectPr>
          <w:pgSz w:w="11880" w:h="15480" w:orient="portrait"/>
          <w:cols w:equalWidth="0" w:num="1">
            <w:col w:w="10280"/>
          </w:cols>
          <w:pgMar w:left="44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440" w:top="498" w:right="1160" w:bottom="0" w:gutter="0" w:footer="0" w:header="0"/>
          <w:type w:val="continuous"/>
        </w:sectPr>
      </w:pPr>
    </w:p>
    <w:bookmarkStart w:id="88" w:name="page89"/>
    <w:bookmarkEnd w:id="88"/>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75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780"/>
        <w:spacing w:after="0" w:line="268" w:lineRule="auto"/>
        <w:rPr>
          <w:sz w:val="20"/>
          <w:szCs w:val="20"/>
          <w:color w:val="auto"/>
        </w:rPr>
      </w:pPr>
      <w:r>
        <w:rPr>
          <w:rFonts w:ascii="Calibri" w:cs="Calibri" w:eastAsia="Calibri" w:hAnsi="Calibri"/>
          <w:sz w:val="18"/>
          <w:szCs w:val="18"/>
          <w:color w:val="auto"/>
        </w:rPr>
        <w:t>attacks or other cybersecurity threats or attacks, possible consequences include financial losses, damage to our reputation and the inability to engage in any of the aforementioned activities. Any such consequence could have a material adverse effect on our business. In addition, any failure of our third-party providers’ computer systems, or those of our customers, suppliers or others with whom we do business, could materially disrupt our ability to operate our business. Moreover, the rapid advancement and increased adoption of artificial intelligence and machine learning technologies has given rise to additional vulnerabilities and potential entry points for cyberattacks, including a risk of exposure of confidential, proprietary or other sensitive information through the inadvertent use of open artificial intelligence tools. These technologies can be exploited by malicious actors to enhance the sophistication, scale or intensity of cyberattacks, making it more challenging to detect and mitigate such threats.</w:t>
      </w:r>
    </w:p>
    <w:p>
      <w:pPr>
        <w:spacing w:after="0" w:line="217" w:lineRule="exact"/>
        <w:rPr>
          <w:sz w:val="20"/>
          <w:szCs w:val="20"/>
          <w:color w:val="auto"/>
        </w:rPr>
      </w:pPr>
    </w:p>
    <w:p>
      <w:pPr>
        <w:ind w:right="860" w:firstLine="241"/>
        <w:spacing w:after="0" w:line="267" w:lineRule="auto"/>
        <w:rPr>
          <w:sz w:val="20"/>
          <w:szCs w:val="20"/>
          <w:color w:val="auto"/>
        </w:rPr>
      </w:pPr>
      <w:r>
        <w:rPr>
          <w:rFonts w:ascii="Calibri" w:cs="Calibri" w:eastAsia="Calibri" w:hAnsi="Calibri"/>
          <w:sz w:val="18"/>
          <w:szCs w:val="18"/>
          <w:color w:val="auto"/>
        </w:rPr>
        <w:t>While we have experienced certain phishing schemes and efforts to access our network, we have not experienced any material losses due to cyber incidents. However, we may suffer such losses in the future. If our or our third-party providers’ systems for protecting against cyber incidents prove to be insufficient, we could be adversely affected by unauthorized access to proprietary or other sensitive information, which could lead to data corruption, communication interruption, exposure of our or third parties’ confidential or proprietary information, disruptions of our current or planned business operations or transactions, damage to our reputation or financial loss. Additionally, costs for insurance may also increase as a result of cybersecurity threats, and insurance against losses relating to cyber incidents may become more difficult to obtain.</w:t>
      </w:r>
    </w:p>
    <w:p>
      <w:pPr>
        <w:spacing w:after="0" w:line="220" w:lineRule="exact"/>
        <w:rPr>
          <w:sz w:val="20"/>
          <w:szCs w:val="20"/>
          <w:color w:val="auto"/>
        </w:rPr>
      </w:pPr>
    </w:p>
    <w:p>
      <w:pPr>
        <w:ind w:right="720" w:firstLine="241"/>
        <w:spacing w:after="0" w:line="268" w:lineRule="auto"/>
        <w:rPr>
          <w:sz w:val="20"/>
          <w:szCs w:val="20"/>
          <w:color w:val="auto"/>
        </w:rPr>
      </w:pPr>
      <w:r>
        <w:rPr>
          <w:rFonts w:ascii="Calibri" w:cs="Calibri" w:eastAsia="Calibri" w:hAnsi="Calibri"/>
          <w:sz w:val="18"/>
          <w:szCs w:val="18"/>
          <w:color w:val="auto"/>
        </w:rPr>
        <w:t>As cyber threats continue to evolve, we may be required to expend additional resources to continue to modify and further enhance our protective systems or to investigate and remediate any vulnerabilities. In addition, the continuing and evolving threat of cybersecurity attacks has resulted in evolving legal and compliance matters, including increased regulatory focus on prevention, mitigation and notification, which could lead to increased regulatory compliance costs, insurance coverage cost or capital expenditures. New laws and regulations governing data privacy and the unauthorized disclosure of personal or confidential information may also pose compliance challenges and could elevate our costs. Any failure by us to comply with any additional regulations could result in significant penalties and liability to us, and we cannot predict the potential impact to our business or the energy industry resulting from additional regulations. We may also be subject to regulatory investigations or litigation relating to cybersecurity issues.</w:t>
      </w:r>
    </w:p>
    <w:p>
      <w:pPr>
        <w:spacing w:after="0" w:line="219" w:lineRule="exact"/>
        <w:rPr>
          <w:sz w:val="20"/>
          <w:szCs w:val="20"/>
          <w:color w:val="auto"/>
        </w:rPr>
      </w:pPr>
    </w:p>
    <w:p>
      <w:pPr>
        <w:ind w:right="720"/>
        <w:spacing w:after="0" w:line="252" w:lineRule="auto"/>
        <w:rPr>
          <w:sz w:val="20"/>
          <w:szCs w:val="20"/>
          <w:color w:val="auto"/>
        </w:rPr>
      </w:pPr>
      <w:r>
        <w:rPr>
          <w:rFonts w:ascii="Calibri" w:cs="Calibri" w:eastAsia="Calibri" w:hAnsi="Calibri"/>
          <w:sz w:val="18"/>
          <w:szCs w:val="18"/>
          <w:i w:val="1"/>
          <w:iCs w:val="1"/>
          <w:color w:val="214E93"/>
        </w:rPr>
        <w:t>Provisions of our certificate of formation, bylaws and Texas law may have anti-takeover effects that could prevent a change in control even if it might be beneficial to our shareholders.</w:t>
      </w:r>
    </w:p>
    <w:p>
      <w:pPr>
        <w:spacing w:after="0" w:line="230" w:lineRule="exact"/>
        <w:rPr>
          <w:sz w:val="20"/>
          <w:szCs w:val="20"/>
          <w:color w:val="auto"/>
        </w:rPr>
      </w:pPr>
    </w:p>
    <w:p>
      <w:pPr>
        <w:ind w:right="840" w:firstLine="241"/>
        <w:spacing w:after="0" w:line="281" w:lineRule="auto"/>
        <w:rPr>
          <w:sz w:val="20"/>
          <w:szCs w:val="20"/>
          <w:color w:val="auto"/>
        </w:rPr>
      </w:pPr>
      <w:r>
        <w:rPr>
          <w:rFonts w:ascii="Calibri" w:cs="Calibri" w:eastAsia="Calibri" w:hAnsi="Calibri"/>
          <w:sz w:val="17"/>
          <w:szCs w:val="17"/>
          <w:color w:val="auto"/>
        </w:rPr>
        <w:t>Our certificate of formation and bylaws contain certain provisions that may discourage, delay or prevent a merger or acquisition of the Company or other change in control transaction that our shareholders may consider favorable. These provisions include:</w:t>
      </w:r>
    </w:p>
    <w:p>
      <w:pPr>
        <w:spacing w:after="0" w:line="189" w:lineRule="exact"/>
        <w:rPr>
          <w:sz w:val="20"/>
          <w:szCs w:val="20"/>
          <w:color w:val="auto"/>
        </w:rPr>
      </w:pPr>
    </w:p>
    <w:p>
      <w:pPr>
        <w:ind w:left="700" w:hanging="349"/>
        <w:spacing w:after="0"/>
        <w:tabs>
          <w:tab w:leader="none" w:pos="700" w:val="left"/>
        </w:tabs>
        <w:numPr>
          <w:ilvl w:val="0"/>
          <w:numId w:val="61"/>
        </w:numPr>
        <w:rPr>
          <w:rFonts w:ascii="Calibri" w:cs="Calibri" w:eastAsia="Calibri" w:hAnsi="Calibri"/>
          <w:sz w:val="18"/>
          <w:szCs w:val="18"/>
          <w:color w:val="auto"/>
        </w:rPr>
      </w:pPr>
      <w:r>
        <w:rPr>
          <w:rFonts w:ascii="Calibri" w:cs="Calibri" w:eastAsia="Calibri" w:hAnsi="Calibri"/>
          <w:sz w:val="18"/>
          <w:szCs w:val="18"/>
          <w:color w:val="auto"/>
        </w:rPr>
        <w:t>authorization for our Board to issue preferred stock without shareholder approval;</w:t>
      </w:r>
    </w:p>
    <w:p>
      <w:pPr>
        <w:spacing w:after="0" w:line="223" w:lineRule="exact"/>
        <w:rPr>
          <w:rFonts w:ascii="Calibri" w:cs="Calibri" w:eastAsia="Calibri" w:hAnsi="Calibri"/>
          <w:sz w:val="18"/>
          <w:szCs w:val="18"/>
          <w:color w:val="auto"/>
        </w:rPr>
      </w:pPr>
    </w:p>
    <w:p>
      <w:pPr>
        <w:ind w:left="700" w:hanging="349"/>
        <w:spacing w:after="0"/>
        <w:tabs>
          <w:tab w:leader="none" w:pos="700" w:val="left"/>
        </w:tabs>
        <w:numPr>
          <w:ilvl w:val="0"/>
          <w:numId w:val="61"/>
        </w:numPr>
        <w:rPr>
          <w:rFonts w:ascii="Calibri" w:cs="Calibri" w:eastAsia="Calibri" w:hAnsi="Calibri"/>
          <w:sz w:val="18"/>
          <w:szCs w:val="18"/>
          <w:color w:val="auto"/>
        </w:rPr>
      </w:pPr>
      <w:r>
        <w:rPr>
          <w:rFonts w:ascii="Calibri" w:cs="Calibri" w:eastAsia="Calibri" w:hAnsi="Calibri"/>
          <w:sz w:val="18"/>
          <w:szCs w:val="18"/>
          <w:color w:val="auto"/>
        </w:rPr>
        <w:t>a classified Board so that not all members of our Board are elected at one time;</w:t>
      </w:r>
    </w:p>
    <w:p>
      <w:pPr>
        <w:spacing w:after="0" w:line="223" w:lineRule="exact"/>
        <w:rPr>
          <w:rFonts w:ascii="Calibri" w:cs="Calibri" w:eastAsia="Calibri" w:hAnsi="Calibri"/>
          <w:sz w:val="18"/>
          <w:szCs w:val="18"/>
          <w:color w:val="auto"/>
        </w:rPr>
      </w:pPr>
    </w:p>
    <w:p>
      <w:pPr>
        <w:ind w:left="700" w:hanging="349"/>
        <w:spacing w:after="0"/>
        <w:tabs>
          <w:tab w:leader="none" w:pos="700" w:val="left"/>
        </w:tabs>
        <w:numPr>
          <w:ilvl w:val="0"/>
          <w:numId w:val="61"/>
        </w:numPr>
        <w:rPr>
          <w:rFonts w:ascii="Calibri" w:cs="Calibri" w:eastAsia="Calibri" w:hAnsi="Calibri"/>
          <w:sz w:val="18"/>
          <w:szCs w:val="18"/>
          <w:color w:val="auto"/>
        </w:rPr>
      </w:pPr>
      <w:r>
        <w:rPr>
          <w:rFonts w:ascii="Calibri" w:cs="Calibri" w:eastAsia="Calibri" w:hAnsi="Calibri"/>
          <w:sz w:val="18"/>
          <w:szCs w:val="18"/>
          <w:color w:val="auto"/>
        </w:rPr>
        <w:t>the prohibition of cumulative voting in the election of directors; and</w:t>
      </w:r>
    </w:p>
    <w:p>
      <w:pPr>
        <w:spacing w:after="0" w:line="241" w:lineRule="exact"/>
        <w:rPr>
          <w:rFonts w:ascii="Calibri" w:cs="Calibri" w:eastAsia="Calibri" w:hAnsi="Calibri"/>
          <w:sz w:val="18"/>
          <w:szCs w:val="18"/>
          <w:color w:val="auto"/>
        </w:rPr>
      </w:pPr>
    </w:p>
    <w:p>
      <w:pPr>
        <w:ind w:left="700" w:right="900" w:hanging="349"/>
        <w:spacing w:after="0" w:line="252" w:lineRule="auto"/>
        <w:tabs>
          <w:tab w:leader="none" w:pos="700" w:val="left"/>
        </w:tabs>
        <w:numPr>
          <w:ilvl w:val="0"/>
          <w:numId w:val="61"/>
        </w:numPr>
        <w:rPr>
          <w:rFonts w:ascii="Calibri" w:cs="Calibri" w:eastAsia="Calibri" w:hAnsi="Calibri"/>
          <w:sz w:val="18"/>
          <w:szCs w:val="18"/>
          <w:color w:val="auto"/>
        </w:rPr>
      </w:pPr>
      <w:r>
        <w:rPr>
          <w:rFonts w:ascii="Calibri" w:cs="Calibri" w:eastAsia="Calibri" w:hAnsi="Calibri"/>
          <w:sz w:val="18"/>
          <w:szCs w:val="18"/>
          <w:color w:val="auto"/>
        </w:rPr>
        <w:t>a limitation on the ability of shareholders to call special meetings to those owning at least 25% of our outstanding shares of common stock.</w:t>
      </w:r>
    </w:p>
    <w:p>
      <w:pPr>
        <w:spacing w:after="0" w:line="230" w:lineRule="exact"/>
        <w:rPr>
          <w:sz w:val="20"/>
          <w:szCs w:val="20"/>
          <w:color w:val="auto"/>
        </w:rPr>
      </w:pPr>
    </w:p>
    <w:p>
      <w:pPr>
        <w:ind w:right="740" w:firstLine="241"/>
        <w:spacing w:after="0" w:line="267" w:lineRule="auto"/>
        <w:rPr>
          <w:sz w:val="20"/>
          <w:szCs w:val="20"/>
          <w:color w:val="auto"/>
        </w:rPr>
      </w:pPr>
      <w:r>
        <w:rPr>
          <w:rFonts w:ascii="Calibri" w:cs="Calibri" w:eastAsia="Calibri" w:hAnsi="Calibri"/>
          <w:sz w:val="18"/>
          <w:szCs w:val="18"/>
          <w:color w:val="auto"/>
        </w:rPr>
        <w:t>Provisions of Texas law may also discourage, delay or prevent someone from acquiring or merging with us, which may cause the market price of our common stock to decline. Under Texas law, a shareholder who beneficially owns more than 20% of our voting stock, or an affiliated shareholder, cannot acquire us for a period of three years from the date this person became an affiliated shareholder, unless various conditions are met, such as approval of the transaction by our Board before this person became an affiliated shareholder or approval of the holders of at least two-thirds of our outstanding voting shares not beneficially owned by the affiliated shareholder.</w:t>
      </w:r>
    </w:p>
    <w:p>
      <w:pPr>
        <w:spacing w:after="0" w:line="217" w:lineRule="exact"/>
        <w:rPr>
          <w:sz w:val="20"/>
          <w:szCs w:val="20"/>
          <w:color w:val="auto"/>
        </w:rPr>
      </w:pPr>
    </w:p>
    <w:p>
      <w:pPr>
        <w:ind w:right="1100"/>
        <w:spacing w:after="0" w:line="252" w:lineRule="auto"/>
        <w:rPr>
          <w:sz w:val="20"/>
          <w:szCs w:val="20"/>
          <w:color w:val="auto"/>
        </w:rPr>
      </w:pPr>
      <w:r>
        <w:rPr>
          <w:rFonts w:ascii="Calibri" w:cs="Calibri" w:eastAsia="Calibri" w:hAnsi="Calibri"/>
          <w:sz w:val="18"/>
          <w:szCs w:val="18"/>
          <w:i w:val="1"/>
          <w:iCs w:val="1"/>
          <w:color w:val="214E93"/>
        </w:rPr>
        <w:t>We operate in a litigious environment and may be involved in legal proceedings that could have a material adverse effect on our results of operations and financial condition.</w:t>
      </w:r>
    </w:p>
    <w:p>
      <w:pPr>
        <w:spacing w:after="0" w:line="230" w:lineRule="exact"/>
        <w:rPr>
          <w:sz w:val="20"/>
          <w:szCs w:val="20"/>
          <w:color w:val="auto"/>
        </w:rPr>
      </w:pPr>
    </w:p>
    <w:p>
      <w:pPr>
        <w:ind w:right="720" w:firstLine="241"/>
        <w:spacing w:after="0" w:line="281" w:lineRule="auto"/>
        <w:rPr>
          <w:sz w:val="20"/>
          <w:szCs w:val="20"/>
          <w:color w:val="auto"/>
        </w:rPr>
      </w:pPr>
      <w:r>
        <w:rPr>
          <w:rFonts w:ascii="Calibri" w:cs="Calibri" w:eastAsia="Calibri" w:hAnsi="Calibri"/>
          <w:sz w:val="17"/>
          <w:szCs w:val="17"/>
          <w:color w:val="auto"/>
        </w:rPr>
        <w:t>Like many oil and natural gas companies, we are from time to time involved in various legal and other proceedings in the ordinary course of business, such as title, royalty or contractual disputes, regulatory compliance matters and personal injury or property</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892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1160" w:top="498" w:right="440" w:bottom="0" w:gutter="0" w:footer="0" w:header="0"/>
          <w:type w:val="continuous"/>
        </w:sectPr>
      </w:pPr>
    </w:p>
    <w:bookmarkStart w:id="89" w:name="page90"/>
    <w:bookmarkEnd w:id="89"/>
    <w:p>
      <w:pPr>
        <w:spacing w:after="0"/>
        <w:tabs>
          <w:tab w:leader="none" w:pos="740" w:val="left"/>
        </w:tabs>
        <w:rPr>
          <w:sz w:val="20"/>
          <w:szCs w:val="20"/>
          <w:color w:val="auto"/>
        </w:rPr>
      </w:pPr>
      <w:r>
        <w:rPr>
          <w:rFonts w:ascii="Calibri" w:cs="Calibri" w:eastAsia="Calibri" w:hAnsi="Calibri"/>
          <w:sz w:val="18"/>
          <w:szCs w:val="18"/>
          <w:color w:val="auto"/>
        </w:rPr>
        <w:t>76</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20" w:right="100"/>
        <w:spacing w:after="0" w:line="267" w:lineRule="auto"/>
        <w:rPr>
          <w:sz w:val="20"/>
          <w:szCs w:val="20"/>
          <w:color w:val="auto"/>
        </w:rPr>
      </w:pPr>
      <w:r>
        <w:rPr>
          <w:rFonts w:ascii="Calibri" w:cs="Calibri" w:eastAsia="Calibri" w:hAnsi="Calibri"/>
          <w:sz w:val="18"/>
          <w:szCs w:val="18"/>
          <w:color w:val="auto"/>
        </w:rPr>
        <w:t>damage matters. Such legal proceedings are inherently uncertain and their results cannot be predicted. Regardless of the outcome, such proceedings could have a material adverse impact on us because of legal costs, diversion of management and other personnel and other factors. In addition, it is possible that a resolution of one or more such proceedings could result in liability, penalties or sanctions, as well as judgments, consent decrees or orders requiring a change in our business practices, which could materially and adversely affect our business, operating results and financial condition. Accruals for such liability, penalties or sanctions may be insufficient. Judgments and estimates to determine accruals or range of losses related to legal and other proceedings could change from one period to the next, and such changes could be material.</w:t>
      </w:r>
    </w:p>
    <w:p>
      <w:pPr>
        <w:spacing w:after="0" w:line="219" w:lineRule="exact"/>
        <w:rPr>
          <w:sz w:val="20"/>
          <w:szCs w:val="20"/>
          <w:color w:val="auto"/>
        </w:rPr>
      </w:pPr>
    </w:p>
    <w:p>
      <w:pPr>
        <w:ind w:left="720"/>
        <w:spacing w:after="0"/>
        <w:rPr>
          <w:sz w:val="20"/>
          <w:szCs w:val="20"/>
          <w:color w:val="auto"/>
        </w:rPr>
      </w:pPr>
      <w:r>
        <w:rPr>
          <w:rFonts w:ascii="Verdana" w:cs="Verdana" w:eastAsia="Verdana" w:hAnsi="Verdana"/>
          <w:sz w:val="20"/>
          <w:szCs w:val="20"/>
          <w:color w:val="214E93"/>
        </w:rPr>
        <w:t>ITEM 1B. UNRESOLVED STAFF COMMENTS.</w:t>
      </w:r>
    </w:p>
    <w:p>
      <w:pPr>
        <w:spacing w:after="0" w:line="192" w:lineRule="exact"/>
        <w:rPr>
          <w:sz w:val="20"/>
          <w:szCs w:val="20"/>
          <w:color w:val="auto"/>
        </w:rPr>
      </w:pPr>
    </w:p>
    <w:p>
      <w:pPr>
        <w:ind w:left="960"/>
        <w:spacing w:after="0"/>
        <w:rPr>
          <w:sz w:val="20"/>
          <w:szCs w:val="20"/>
          <w:color w:val="auto"/>
        </w:rPr>
      </w:pPr>
      <w:r>
        <w:rPr>
          <w:rFonts w:ascii="Calibri" w:cs="Calibri" w:eastAsia="Calibri" w:hAnsi="Calibri"/>
          <w:sz w:val="18"/>
          <w:szCs w:val="18"/>
          <w:color w:val="auto"/>
        </w:rPr>
        <w:t>Not applicable.</w:t>
      </w:r>
    </w:p>
    <w:p>
      <w:pPr>
        <w:spacing w:after="0" w:line="239" w:lineRule="exact"/>
        <w:rPr>
          <w:sz w:val="20"/>
          <w:szCs w:val="20"/>
          <w:color w:val="auto"/>
        </w:rPr>
      </w:pPr>
    </w:p>
    <w:p>
      <w:pPr>
        <w:ind w:left="720"/>
        <w:spacing w:after="0"/>
        <w:rPr>
          <w:sz w:val="20"/>
          <w:szCs w:val="20"/>
          <w:color w:val="auto"/>
        </w:rPr>
      </w:pPr>
      <w:r>
        <w:rPr>
          <w:rFonts w:ascii="Verdana" w:cs="Verdana" w:eastAsia="Verdana" w:hAnsi="Verdana"/>
          <w:sz w:val="20"/>
          <w:szCs w:val="20"/>
          <w:color w:val="214E93"/>
        </w:rPr>
        <w:t>ITEM 1C. CYBERSECURITY.</w:t>
      </w:r>
    </w:p>
    <w:p>
      <w:pPr>
        <w:spacing w:after="0" w:line="208" w:lineRule="exact"/>
        <w:rPr>
          <w:sz w:val="20"/>
          <w:szCs w:val="20"/>
          <w:color w:val="auto"/>
        </w:rPr>
      </w:pPr>
    </w:p>
    <w:p>
      <w:pPr>
        <w:ind w:left="720"/>
        <w:spacing w:after="0"/>
        <w:rPr>
          <w:sz w:val="20"/>
          <w:szCs w:val="20"/>
          <w:color w:val="auto"/>
        </w:rPr>
      </w:pPr>
      <w:r>
        <w:rPr>
          <w:rFonts w:ascii="Verdana" w:cs="Verdana" w:eastAsia="Verdana" w:hAnsi="Verdana"/>
          <w:sz w:val="20"/>
          <w:szCs w:val="20"/>
          <w:color w:val="214E93"/>
        </w:rPr>
        <w:t>RISK MANAGEMENT AND STRATEGY</w:t>
      </w:r>
    </w:p>
    <w:p>
      <w:pPr>
        <w:spacing w:after="0" w:line="209" w:lineRule="exact"/>
        <w:rPr>
          <w:sz w:val="20"/>
          <w:szCs w:val="20"/>
          <w:color w:val="auto"/>
        </w:rPr>
      </w:pPr>
    </w:p>
    <w:p>
      <w:pPr>
        <w:ind w:left="720" w:right="620" w:firstLine="241"/>
        <w:spacing w:after="0" w:line="252" w:lineRule="auto"/>
        <w:rPr>
          <w:sz w:val="20"/>
          <w:szCs w:val="20"/>
          <w:color w:val="auto"/>
        </w:rPr>
      </w:pPr>
      <w:r>
        <w:rPr>
          <w:rFonts w:ascii="Calibri" w:cs="Calibri" w:eastAsia="Calibri" w:hAnsi="Calibri"/>
          <w:sz w:val="18"/>
          <w:szCs w:val="18"/>
          <w:color w:val="auto"/>
        </w:rPr>
        <w:t>The Company recognizes the importance of developing, implementing and maintaining cybersecurity measures to better safeguard our information systems and protect the confidentiality, integrity and availability of our data.</w:t>
      </w:r>
    </w:p>
    <w:p>
      <w:pPr>
        <w:spacing w:after="0" w:line="216" w:lineRule="exact"/>
        <w:rPr>
          <w:sz w:val="20"/>
          <w:szCs w:val="20"/>
          <w:color w:val="auto"/>
        </w:rPr>
      </w:pPr>
    </w:p>
    <w:p>
      <w:pPr>
        <w:ind w:left="720"/>
        <w:spacing w:after="0"/>
        <w:rPr>
          <w:sz w:val="20"/>
          <w:szCs w:val="20"/>
          <w:color w:val="auto"/>
        </w:rPr>
      </w:pPr>
      <w:r>
        <w:rPr>
          <w:rFonts w:ascii="Calibri" w:cs="Calibri" w:eastAsia="Calibri" w:hAnsi="Calibri"/>
          <w:sz w:val="19"/>
          <w:szCs w:val="19"/>
          <w:i w:val="1"/>
          <w:iCs w:val="1"/>
          <w:color w:val="214E93"/>
        </w:rPr>
        <w:t>Managing Material Risks and Integrated Overall Risk Management</w:t>
      </w:r>
    </w:p>
    <w:p>
      <w:pPr>
        <w:spacing w:after="0" w:line="208" w:lineRule="exact"/>
        <w:rPr>
          <w:sz w:val="20"/>
          <w:szCs w:val="20"/>
          <w:color w:val="auto"/>
        </w:rPr>
      </w:pPr>
    </w:p>
    <w:p>
      <w:pPr>
        <w:ind w:left="720" w:right="20" w:firstLine="241"/>
        <w:spacing w:after="0" w:line="264" w:lineRule="auto"/>
        <w:rPr>
          <w:sz w:val="20"/>
          <w:szCs w:val="20"/>
          <w:color w:val="auto"/>
        </w:rPr>
      </w:pPr>
      <w:r>
        <w:rPr>
          <w:rFonts w:ascii="Calibri" w:cs="Calibri" w:eastAsia="Calibri" w:hAnsi="Calibri"/>
          <w:sz w:val="18"/>
          <w:szCs w:val="18"/>
          <w:color w:val="auto"/>
        </w:rPr>
        <w:t>The Company has integrated cybersecurity into our broader risk management framework. Our risk management team works closely with our IT department to evaluate and address cybersecurity risks in alignment with our business objectives and operational needs. The Company requires the Board and employees to complete cybersecurity training related to the physical security of assets, data privacy and other information security policies and procedures.</w:t>
      </w:r>
    </w:p>
    <w:p>
      <w:pPr>
        <w:spacing w:after="0" w:line="207" w:lineRule="exact"/>
        <w:rPr>
          <w:sz w:val="20"/>
          <w:szCs w:val="20"/>
          <w:color w:val="auto"/>
        </w:rPr>
      </w:pPr>
    </w:p>
    <w:p>
      <w:pPr>
        <w:ind w:left="720"/>
        <w:spacing w:after="0"/>
        <w:rPr>
          <w:sz w:val="20"/>
          <w:szCs w:val="20"/>
          <w:color w:val="auto"/>
        </w:rPr>
      </w:pPr>
      <w:r>
        <w:rPr>
          <w:rFonts w:ascii="Calibri" w:cs="Calibri" w:eastAsia="Calibri" w:hAnsi="Calibri"/>
          <w:sz w:val="19"/>
          <w:szCs w:val="19"/>
          <w:i w:val="1"/>
          <w:iCs w:val="1"/>
          <w:color w:val="214E93"/>
        </w:rPr>
        <w:t>Engage Third Parties on Risk Management</w:t>
      </w:r>
    </w:p>
    <w:p>
      <w:pPr>
        <w:spacing w:after="0" w:line="208" w:lineRule="exact"/>
        <w:rPr>
          <w:sz w:val="20"/>
          <w:szCs w:val="20"/>
          <w:color w:val="auto"/>
        </w:rPr>
      </w:pPr>
    </w:p>
    <w:p>
      <w:pPr>
        <w:ind w:left="720" w:right="60" w:firstLine="241"/>
        <w:spacing w:after="0" w:line="261" w:lineRule="auto"/>
        <w:rPr>
          <w:sz w:val="20"/>
          <w:szCs w:val="20"/>
          <w:color w:val="auto"/>
        </w:rPr>
      </w:pPr>
      <w:r>
        <w:rPr>
          <w:rFonts w:ascii="Calibri" w:cs="Calibri" w:eastAsia="Calibri" w:hAnsi="Calibri"/>
          <w:sz w:val="18"/>
          <w:szCs w:val="18"/>
          <w:color w:val="auto"/>
        </w:rPr>
        <w:t>Recognizing the complexity and evolving nature of cybersecurity threats, the Company engages with a range of external experts, including cybersecurity consultants in evaluating and testing our risk management systems. Our collaboration with these third parties includes regular audits, threat assessments, penetration tests and consultation on security enhancements.</w:t>
      </w:r>
    </w:p>
    <w:p>
      <w:pPr>
        <w:spacing w:after="0" w:line="209" w:lineRule="exact"/>
        <w:rPr>
          <w:sz w:val="20"/>
          <w:szCs w:val="20"/>
          <w:color w:val="auto"/>
        </w:rPr>
      </w:pPr>
    </w:p>
    <w:p>
      <w:pPr>
        <w:ind w:left="720"/>
        <w:spacing w:after="0"/>
        <w:rPr>
          <w:sz w:val="20"/>
          <w:szCs w:val="20"/>
          <w:color w:val="auto"/>
        </w:rPr>
      </w:pPr>
      <w:r>
        <w:rPr>
          <w:rFonts w:ascii="Calibri" w:cs="Calibri" w:eastAsia="Calibri" w:hAnsi="Calibri"/>
          <w:sz w:val="19"/>
          <w:szCs w:val="19"/>
          <w:i w:val="1"/>
          <w:iCs w:val="1"/>
          <w:color w:val="214E93"/>
        </w:rPr>
        <w:t>Oversee Third-Party Risk</w:t>
      </w:r>
    </w:p>
    <w:p>
      <w:pPr>
        <w:spacing w:after="0" w:line="208" w:lineRule="exact"/>
        <w:rPr>
          <w:sz w:val="20"/>
          <w:szCs w:val="20"/>
          <w:color w:val="auto"/>
        </w:rPr>
      </w:pPr>
    </w:p>
    <w:p>
      <w:pPr>
        <w:ind w:left="720" w:right="220" w:firstLine="241"/>
        <w:spacing w:after="0" w:line="266" w:lineRule="auto"/>
        <w:rPr>
          <w:sz w:val="20"/>
          <w:szCs w:val="20"/>
          <w:color w:val="auto"/>
        </w:rPr>
      </w:pPr>
      <w:r>
        <w:rPr>
          <w:rFonts w:ascii="Calibri" w:cs="Calibri" w:eastAsia="Calibri" w:hAnsi="Calibri"/>
          <w:sz w:val="18"/>
          <w:szCs w:val="18"/>
          <w:color w:val="auto"/>
        </w:rPr>
        <w:t>Because we are aware of the risks associated with third-party vendors, service providers and business partners, we have implemented processes to oversee and manage these risks. We conduct initial risk assessments of third-party providers before engagement. These assessments include due diligence reviews of third parties that have access to our networks, confidential information and information systems in order to assess the risks from cybersecurity threats. This approach is designed to mitigate risks related to data breaches or other security incidents originating from third parties.</w:t>
      </w:r>
    </w:p>
    <w:p>
      <w:pPr>
        <w:spacing w:after="0" w:line="204" w:lineRule="exact"/>
        <w:rPr>
          <w:sz w:val="20"/>
          <w:szCs w:val="20"/>
          <w:color w:val="auto"/>
        </w:rPr>
      </w:pPr>
    </w:p>
    <w:p>
      <w:pPr>
        <w:ind w:left="720"/>
        <w:spacing w:after="0"/>
        <w:rPr>
          <w:sz w:val="20"/>
          <w:szCs w:val="20"/>
          <w:color w:val="auto"/>
        </w:rPr>
      </w:pPr>
      <w:r>
        <w:rPr>
          <w:rFonts w:ascii="Calibri" w:cs="Calibri" w:eastAsia="Calibri" w:hAnsi="Calibri"/>
          <w:sz w:val="19"/>
          <w:szCs w:val="19"/>
          <w:i w:val="1"/>
          <w:iCs w:val="1"/>
          <w:color w:val="214E93"/>
        </w:rPr>
        <w:t>Risks from Cybersecurity Threats</w:t>
      </w:r>
    </w:p>
    <w:p>
      <w:pPr>
        <w:spacing w:after="0" w:line="208" w:lineRule="exact"/>
        <w:rPr>
          <w:sz w:val="20"/>
          <w:szCs w:val="20"/>
          <w:color w:val="auto"/>
        </w:rPr>
      </w:pPr>
    </w:p>
    <w:p>
      <w:pPr>
        <w:ind w:left="720" w:right="60" w:firstLine="241"/>
        <w:spacing w:after="0" w:line="285" w:lineRule="auto"/>
        <w:rPr>
          <w:sz w:val="20"/>
          <w:szCs w:val="20"/>
          <w:color w:val="auto"/>
        </w:rPr>
      </w:pPr>
      <w:r>
        <w:rPr>
          <w:rFonts w:ascii="Calibri" w:cs="Calibri" w:eastAsia="Calibri" w:hAnsi="Calibri"/>
          <w:sz w:val="17"/>
          <w:szCs w:val="17"/>
          <w:color w:val="auto"/>
        </w:rPr>
        <w:t>As of February 24, 2026, we were not aware of any cybersecurity threats or incidents that have materially affected or are reasonably likely to materially affect the Company, including our business strategy, results of operations or financial standing. However, there can be no assurance that our cybersecurity processes will prevent or mitigate cybersecurity incidents or threats and that our efforts will always be successful. For further discussion regarding our cybersecurity risks, see “Risk Factors—General Risk Factors—A cyber incident could occur and result in information theft, data corruption, operational disruption or financial loss.”</w:t>
      </w:r>
    </w:p>
    <w:p>
      <w:pPr>
        <w:spacing w:after="0" w:line="202" w:lineRule="exact"/>
        <w:rPr>
          <w:sz w:val="20"/>
          <w:szCs w:val="20"/>
          <w:color w:val="auto"/>
        </w:rPr>
      </w:pPr>
    </w:p>
    <w:p>
      <w:pPr>
        <w:ind w:left="720"/>
        <w:spacing w:after="0"/>
        <w:rPr>
          <w:sz w:val="20"/>
          <w:szCs w:val="20"/>
          <w:color w:val="auto"/>
        </w:rPr>
      </w:pPr>
      <w:r>
        <w:rPr>
          <w:rFonts w:ascii="Verdana" w:cs="Verdana" w:eastAsia="Verdana" w:hAnsi="Verdana"/>
          <w:sz w:val="20"/>
          <w:szCs w:val="20"/>
          <w:color w:val="214E93"/>
        </w:rPr>
        <w:t>GOVERNANCE</w:t>
      </w:r>
    </w:p>
    <w:p>
      <w:pPr>
        <w:spacing w:after="0" w:line="209" w:lineRule="exact"/>
        <w:rPr>
          <w:sz w:val="20"/>
          <w:szCs w:val="20"/>
          <w:color w:val="auto"/>
        </w:rPr>
      </w:pPr>
    </w:p>
    <w:p>
      <w:pPr>
        <w:ind w:left="720" w:firstLine="241"/>
        <w:spacing w:after="0" w:line="261" w:lineRule="auto"/>
        <w:rPr>
          <w:sz w:val="20"/>
          <w:szCs w:val="20"/>
          <w:color w:val="auto"/>
        </w:rPr>
      </w:pPr>
      <w:r>
        <w:rPr>
          <w:rFonts w:ascii="Calibri" w:cs="Calibri" w:eastAsia="Calibri" w:hAnsi="Calibri"/>
          <w:sz w:val="18"/>
          <w:szCs w:val="18"/>
          <w:color w:val="auto"/>
        </w:rPr>
        <w:t>The Company is aware of the critical nature of managing risks associated with cybersecurity threats and has established oversight mechanisms at the Board and management levels to ensure effective governance in managing risks associated with cybersecurity threats.</w:t>
      </w:r>
    </w:p>
    <w:p>
      <w:pPr>
        <w:sectPr>
          <w:pgSz w:w="11880" w:h="15480" w:orient="portrait"/>
          <w:cols w:equalWidth="0" w:num="1">
            <w:col w:w="10260"/>
          </w:cols>
          <w:pgMar w:left="440" w:top="49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60"/>
          </w:cols>
          <w:pgMar w:left="440" w:top="498" w:right="1180" w:bottom="0" w:gutter="0" w:footer="0" w:header="0"/>
          <w:type w:val="continuous"/>
        </w:sectPr>
      </w:pPr>
    </w:p>
    <w:bookmarkStart w:id="90" w:name="page91"/>
    <w:bookmarkEnd w:id="90"/>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77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Board Oversight</w:t>
      </w:r>
    </w:p>
    <w:p>
      <w:pPr>
        <w:spacing w:after="0" w:line="208" w:lineRule="exact"/>
        <w:rPr>
          <w:sz w:val="20"/>
          <w:szCs w:val="20"/>
          <w:color w:val="auto"/>
        </w:rPr>
      </w:pPr>
    </w:p>
    <w:p>
      <w:pPr>
        <w:ind w:right="740" w:firstLine="241"/>
        <w:spacing w:after="0" w:line="266" w:lineRule="auto"/>
        <w:rPr>
          <w:sz w:val="20"/>
          <w:szCs w:val="20"/>
          <w:color w:val="auto"/>
        </w:rPr>
      </w:pPr>
      <w:r>
        <w:rPr>
          <w:rFonts w:ascii="Calibri" w:cs="Calibri" w:eastAsia="Calibri" w:hAnsi="Calibri"/>
          <w:sz w:val="18"/>
          <w:szCs w:val="18"/>
          <w:color w:val="auto"/>
        </w:rPr>
        <w:t>The Board has oversight of cybersecurity risks and, specifically, the Audit Committee of the Board is charged with the oversight of the Company’s guidelines and policies to govern the process by which risk assessment and risk management are undertaken by management, including with respect to cybersecurity risks. Our Board is composed of members with diverse expertise, including risk management, technology and finance, which experience provides them with the skills needed to oversee cybersecurity risks effectively.</w:t>
      </w:r>
    </w:p>
    <w:p>
      <w:pPr>
        <w:spacing w:after="0" w:line="204"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Management’s Role Managing Risk</w:t>
      </w:r>
    </w:p>
    <w:p>
      <w:pPr>
        <w:spacing w:after="0" w:line="208" w:lineRule="exact"/>
        <w:rPr>
          <w:sz w:val="20"/>
          <w:szCs w:val="20"/>
          <w:color w:val="auto"/>
        </w:rPr>
      </w:pPr>
    </w:p>
    <w:p>
      <w:pPr>
        <w:ind w:right="820" w:firstLine="241"/>
        <w:spacing w:after="0" w:line="266" w:lineRule="auto"/>
        <w:rPr>
          <w:sz w:val="20"/>
          <w:szCs w:val="20"/>
          <w:color w:val="auto"/>
        </w:rPr>
      </w:pPr>
      <w:r>
        <w:rPr>
          <w:rFonts w:ascii="Calibri" w:cs="Calibri" w:eastAsia="Calibri" w:hAnsi="Calibri"/>
          <w:sz w:val="18"/>
          <w:szCs w:val="18"/>
          <w:color w:val="auto"/>
        </w:rPr>
        <w:t>The Company’s IT Committee, which includes senior executives and other members of management, meets regularly to monitor and discuss cybersecurity issues. The Senior Vice President of Information Technology, the Executive Vice President and Chief Financial Officer (“CFO”) and the Co-President, Chief Legal Officer and Head of M&amp;A (“CLO”) play a pivotal role in informing the Board on cybersecurity risks. They provide comprehensive briefings to the Board on a regular basis, with a minimum frequency of once per year. These briefings encompass a broad range of topics, including:</w:t>
      </w:r>
    </w:p>
    <w:p>
      <w:pPr>
        <w:spacing w:after="0" w:line="201" w:lineRule="exact"/>
        <w:rPr>
          <w:sz w:val="20"/>
          <w:szCs w:val="20"/>
          <w:color w:val="auto"/>
        </w:rPr>
      </w:pPr>
    </w:p>
    <w:p>
      <w:pPr>
        <w:ind w:left="700" w:hanging="349"/>
        <w:spacing w:after="0"/>
        <w:tabs>
          <w:tab w:leader="none" w:pos="700" w:val="left"/>
        </w:tabs>
        <w:numPr>
          <w:ilvl w:val="0"/>
          <w:numId w:val="62"/>
        </w:numPr>
        <w:rPr>
          <w:rFonts w:ascii="Calibri" w:cs="Calibri" w:eastAsia="Calibri" w:hAnsi="Calibri"/>
          <w:sz w:val="18"/>
          <w:szCs w:val="18"/>
          <w:color w:val="auto"/>
        </w:rPr>
      </w:pPr>
      <w:r>
        <w:rPr>
          <w:rFonts w:ascii="Calibri" w:cs="Calibri" w:eastAsia="Calibri" w:hAnsi="Calibri"/>
          <w:sz w:val="18"/>
          <w:szCs w:val="18"/>
          <w:color w:val="auto"/>
        </w:rPr>
        <w:t>current cybersecurity landscape and emerging threats;</w:t>
      </w:r>
    </w:p>
    <w:p>
      <w:pPr>
        <w:spacing w:after="0" w:line="223" w:lineRule="exact"/>
        <w:rPr>
          <w:rFonts w:ascii="Calibri" w:cs="Calibri" w:eastAsia="Calibri" w:hAnsi="Calibri"/>
          <w:sz w:val="18"/>
          <w:szCs w:val="18"/>
          <w:color w:val="auto"/>
        </w:rPr>
      </w:pPr>
    </w:p>
    <w:p>
      <w:pPr>
        <w:ind w:left="700" w:hanging="349"/>
        <w:spacing w:after="0"/>
        <w:tabs>
          <w:tab w:leader="none" w:pos="700" w:val="left"/>
        </w:tabs>
        <w:numPr>
          <w:ilvl w:val="0"/>
          <w:numId w:val="62"/>
        </w:numPr>
        <w:rPr>
          <w:rFonts w:ascii="Calibri" w:cs="Calibri" w:eastAsia="Calibri" w:hAnsi="Calibri"/>
          <w:sz w:val="18"/>
          <w:szCs w:val="18"/>
          <w:color w:val="auto"/>
        </w:rPr>
      </w:pPr>
      <w:r>
        <w:rPr>
          <w:rFonts w:ascii="Calibri" w:cs="Calibri" w:eastAsia="Calibri" w:hAnsi="Calibri"/>
          <w:sz w:val="18"/>
          <w:szCs w:val="18"/>
          <w:color w:val="auto"/>
        </w:rPr>
        <w:t>status of ongoing cybersecurity initiatives and strategies;</w:t>
      </w:r>
    </w:p>
    <w:p>
      <w:pPr>
        <w:spacing w:after="0" w:line="223" w:lineRule="exact"/>
        <w:rPr>
          <w:rFonts w:ascii="Calibri" w:cs="Calibri" w:eastAsia="Calibri" w:hAnsi="Calibri"/>
          <w:sz w:val="18"/>
          <w:szCs w:val="18"/>
          <w:color w:val="auto"/>
        </w:rPr>
      </w:pPr>
    </w:p>
    <w:p>
      <w:pPr>
        <w:ind w:left="700" w:hanging="349"/>
        <w:spacing w:after="0"/>
        <w:tabs>
          <w:tab w:leader="none" w:pos="700" w:val="left"/>
        </w:tabs>
        <w:numPr>
          <w:ilvl w:val="0"/>
          <w:numId w:val="62"/>
        </w:numPr>
        <w:rPr>
          <w:rFonts w:ascii="Calibri" w:cs="Calibri" w:eastAsia="Calibri" w:hAnsi="Calibri"/>
          <w:sz w:val="18"/>
          <w:szCs w:val="18"/>
          <w:color w:val="auto"/>
        </w:rPr>
      </w:pPr>
      <w:r>
        <w:rPr>
          <w:rFonts w:ascii="Calibri" w:cs="Calibri" w:eastAsia="Calibri" w:hAnsi="Calibri"/>
          <w:sz w:val="18"/>
          <w:szCs w:val="18"/>
          <w:color w:val="auto"/>
        </w:rPr>
        <w:t>incident reports and learnings from any cybersecurity events; and</w:t>
      </w:r>
    </w:p>
    <w:p>
      <w:pPr>
        <w:spacing w:after="0" w:line="223" w:lineRule="exact"/>
        <w:rPr>
          <w:rFonts w:ascii="Calibri" w:cs="Calibri" w:eastAsia="Calibri" w:hAnsi="Calibri"/>
          <w:sz w:val="18"/>
          <w:szCs w:val="18"/>
          <w:color w:val="auto"/>
        </w:rPr>
      </w:pPr>
    </w:p>
    <w:p>
      <w:pPr>
        <w:ind w:left="700" w:hanging="349"/>
        <w:spacing w:after="0"/>
        <w:tabs>
          <w:tab w:leader="none" w:pos="700" w:val="left"/>
        </w:tabs>
        <w:numPr>
          <w:ilvl w:val="0"/>
          <w:numId w:val="62"/>
        </w:numPr>
        <w:rPr>
          <w:rFonts w:ascii="Calibri" w:cs="Calibri" w:eastAsia="Calibri" w:hAnsi="Calibri"/>
          <w:sz w:val="18"/>
          <w:szCs w:val="18"/>
          <w:color w:val="auto"/>
        </w:rPr>
      </w:pPr>
      <w:r>
        <w:rPr>
          <w:rFonts w:ascii="Calibri" w:cs="Calibri" w:eastAsia="Calibri" w:hAnsi="Calibri"/>
          <w:sz w:val="18"/>
          <w:szCs w:val="18"/>
          <w:color w:val="auto"/>
        </w:rPr>
        <w:t>compliance with regulatory requirements and industry standards.</w:t>
      </w:r>
    </w:p>
    <w:p>
      <w:pPr>
        <w:spacing w:after="0" w:line="241" w:lineRule="exact"/>
        <w:rPr>
          <w:sz w:val="20"/>
          <w:szCs w:val="20"/>
          <w:color w:val="auto"/>
        </w:rPr>
      </w:pPr>
    </w:p>
    <w:p>
      <w:pPr>
        <w:ind w:right="780" w:firstLine="241"/>
        <w:spacing w:after="0" w:line="266" w:lineRule="auto"/>
        <w:rPr>
          <w:sz w:val="20"/>
          <w:szCs w:val="20"/>
          <w:color w:val="auto"/>
        </w:rPr>
      </w:pPr>
      <w:r>
        <w:rPr>
          <w:rFonts w:ascii="Calibri" w:cs="Calibri" w:eastAsia="Calibri" w:hAnsi="Calibri"/>
          <w:sz w:val="18"/>
          <w:szCs w:val="18"/>
          <w:color w:val="auto"/>
        </w:rPr>
        <w:t>In addition to our scheduled meetings, the Board, Senior Vice President of Information Technology, CFO and CLO maintain an ongoing dialogue regarding emerging or potential cybersecurity risks. Together, they receive updates on significant developments in the cybersecurity domain, ensuring the Board’s oversight is proactive and responsive. The Board actively participates in strategic decisions related to cybersecurity, offering guidance and approval for major initiatives. This involvement ensures that cybersecurity considerations are integrated into the broader strategic objectives of the Company.</w:t>
      </w:r>
    </w:p>
    <w:p>
      <w:pPr>
        <w:spacing w:after="0" w:line="204"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Risk Management Personnel</w:t>
      </w:r>
    </w:p>
    <w:p>
      <w:pPr>
        <w:spacing w:after="0" w:line="208" w:lineRule="exact"/>
        <w:rPr>
          <w:sz w:val="20"/>
          <w:szCs w:val="20"/>
          <w:color w:val="auto"/>
        </w:rPr>
      </w:pPr>
    </w:p>
    <w:p>
      <w:pPr>
        <w:ind w:right="820" w:firstLine="241"/>
        <w:spacing w:after="0" w:line="266" w:lineRule="auto"/>
        <w:rPr>
          <w:sz w:val="20"/>
          <w:szCs w:val="20"/>
          <w:color w:val="auto"/>
        </w:rPr>
      </w:pPr>
      <w:r>
        <w:rPr>
          <w:rFonts w:ascii="Calibri" w:cs="Calibri" w:eastAsia="Calibri" w:hAnsi="Calibri"/>
          <w:sz w:val="18"/>
          <w:szCs w:val="18"/>
          <w:color w:val="auto"/>
        </w:rPr>
        <w:t>Primary responsibility for assessing, monitoring and managing our cybersecurity risks rests with the Senior Vice President of Information Technology. With over 35 years of experience in the information technology field, he brings a wealth of expertise to his role. His in-depth knowledge and experience are instrumental in developing and executing our cybersecurity strategies. Our Senior Vice President of Information Technology tests our compliance with standards, remediates known risks and leads our employee training program.</w:t>
      </w:r>
    </w:p>
    <w:p>
      <w:pPr>
        <w:spacing w:after="0" w:line="204"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Reporting to the Board</w:t>
      </w:r>
    </w:p>
    <w:p>
      <w:pPr>
        <w:spacing w:after="0" w:line="208" w:lineRule="exact"/>
        <w:rPr>
          <w:sz w:val="20"/>
          <w:szCs w:val="20"/>
          <w:color w:val="auto"/>
        </w:rPr>
      </w:pPr>
    </w:p>
    <w:p>
      <w:pPr>
        <w:ind w:right="980" w:firstLine="241"/>
        <w:spacing w:after="0" w:line="266" w:lineRule="auto"/>
        <w:rPr>
          <w:sz w:val="20"/>
          <w:szCs w:val="20"/>
          <w:color w:val="auto"/>
        </w:rPr>
      </w:pPr>
      <w:r>
        <w:rPr>
          <w:rFonts w:ascii="Calibri" w:cs="Calibri" w:eastAsia="Calibri" w:hAnsi="Calibri"/>
          <w:sz w:val="18"/>
          <w:szCs w:val="18"/>
          <w:color w:val="auto"/>
        </w:rPr>
        <w:t>The Senior Vice President of Information Technology regularly informs the Chief Executive Officer and Chief Legal Officer of all aspects related to cybersecurity risks and incidents. This ensures that the highest levels of management are kept abreast of the cybersecurity posture and potential risks facing the Company. Furthermore, significant cybersecurity matters and strategic risk management decisions are escalated to the Board, ensuring the Board has comprehensive oversight and can provide guidance on critical cybersecurity issues.</w:t>
      </w:r>
    </w:p>
    <w:p>
      <w:pPr>
        <w:spacing w:after="0" w:line="204"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Monitor Cybersecurity Incidents</w:t>
      </w:r>
    </w:p>
    <w:p>
      <w:pPr>
        <w:spacing w:after="0" w:line="208" w:lineRule="exact"/>
        <w:rPr>
          <w:sz w:val="20"/>
          <w:szCs w:val="20"/>
          <w:color w:val="auto"/>
        </w:rPr>
      </w:pPr>
    </w:p>
    <w:p>
      <w:pPr>
        <w:ind w:right="760" w:firstLine="241"/>
        <w:spacing w:after="0" w:line="267" w:lineRule="auto"/>
        <w:rPr>
          <w:sz w:val="20"/>
          <w:szCs w:val="20"/>
          <w:color w:val="auto"/>
        </w:rPr>
      </w:pPr>
      <w:r>
        <w:rPr>
          <w:rFonts w:ascii="Calibri" w:cs="Calibri" w:eastAsia="Calibri" w:hAnsi="Calibri"/>
          <w:sz w:val="18"/>
          <w:szCs w:val="18"/>
          <w:color w:val="auto"/>
        </w:rPr>
        <w:t>The Senior Vice President of Information Technology monitors the latest developments in cybersecurity, including potential threats and innovative risk management techniques. The Senior Vice President of Information Technology implements and oversees processes for the regular monitoring of our information systems. This includes the deployment of advanced security measures and regular system audits to identify potential vulnerabilities. In the event of a cybersecurity incident, the Senior Vice President of Information Technology is equipped with an incident response plan. This plan includes immediate actions to mitigate the impact and long-term strategies for remediation and prevention of future incidents.</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92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80"/>
          </w:cols>
          <w:pgMar w:left="1160" w:top="498" w:right="440" w:bottom="0" w:gutter="0" w:footer="0" w:header="0"/>
          <w:type w:val="continuous"/>
        </w:sectPr>
      </w:pPr>
    </w:p>
    <w:bookmarkStart w:id="91" w:name="page92"/>
    <w:bookmarkEnd w:id="91"/>
    <w:p>
      <w:pPr>
        <w:spacing w:after="0"/>
        <w:tabs>
          <w:tab w:leader="none" w:pos="740" w:val="left"/>
        </w:tabs>
        <w:rPr>
          <w:sz w:val="20"/>
          <w:szCs w:val="20"/>
          <w:color w:val="auto"/>
        </w:rPr>
      </w:pPr>
      <w:r>
        <w:rPr>
          <w:rFonts w:ascii="Calibri" w:cs="Calibri" w:eastAsia="Calibri" w:hAnsi="Calibri"/>
          <w:sz w:val="18"/>
          <w:szCs w:val="18"/>
          <w:color w:val="auto"/>
        </w:rPr>
        <w:t>78</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20"/>
        <w:spacing w:after="0"/>
        <w:rPr>
          <w:sz w:val="20"/>
          <w:szCs w:val="20"/>
          <w:color w:val="auto"/>
        </w:rPr>
      </w:pPr>
      <w:r>
        <w:rPr>
          <w:rFonts w:ascii="Verdana" w:cs="Verdana" w:eastAsia="Verdana" w:hAnsi="Verdana"/>
          <w:sz w:val="20"/>
          <w:szCs w:val="20"/>
          <w:color w:val="214E93"/>
        </w:rPr>
        <w:t>ITEM 2. PROPERTIES.</w:t>
      </w:r>
    </w:p>
    <w:p>
      <w:pPr>
        <w:spacing w:after="0" w:line="209" w:lineRule="exact"/>
        <w:rPr>
          <w:sz w:val="20"/>
          <w:szCs w:val="20"/>
          <w:color w:val="auto"/>
        </w:rPr>
      </w:pPr>
    </w:p>
    <w:p>
      <w:pPr>
        <w:ind w:left="720" w:firstLine="241"/>
        <w:spacing w:after="0" w:line="261" w:lineRule="auto"/>
        <w:rPr>
          <w:sz w:val="20"/>
          <w:szCs w:val="20"/>
          <w:color w:val="auto"/>
        </w:rPr>
      </w:pPr>
      <w:r>
        <w:rPr>
          <w:rFonts w:ascii="Calibri" w:cs="Calibri" w:eastAsia="Calibri" w:hAnsi="Calibri"/>
          <w:sz w:val="18"/>
          <w:szCs w:val="18"/>
          <w:color w:val="auto"/>
        </w:rPr>
        <w:t>See “Business” for descriptions of our properties. We also have various operating leases for rental of office space and office and field equipment. See Note 4 to the consolidated financial statements in this Annual Report for the future minimum rental payments. Such information is incorporated herein by reference.</w:t>
      </w:r>
    </w:p>
    <w:p>
      <w:pPr>
        <w:spacing w:after="0" w:line="221" w:lineRule="exact"/>
        <w:rPr>
          <w:sz w:val="20"/>
          <w:szCs w:val="20"/>
          <w:color w:val="auto"/>
        </w:rPr>
      </w:pPr>
    </w:p>
    <w:p>
      <w:pPr>
        <w:ind w:left="720"/>
        <w:spacing w:after="0"/>
        <w:rPr>
          <w:sz w:val="20"/>
          <w:szCs w:val="20"/>
          <w:color w:val="auto"/>
        </w:rPr>
      </w:pPr>
      <w:r>
        <w:rPr>
          <w:rFonts w:ascii="Verdana" w:cs="Verdana" w:eastAsia="Verdana" w:hAnsi="Verdana"/>
          <w:sz w:val="20"/>
          <w:szCs w:val="20"/>
          <w:color w:val="214E93"/>
        </w:rPr>
        <w:t>ITEM 3. LEGAL PROCEEDINGS.</w:t>
      </w:r>
    </w:p>
    <w:p>
      <w:pPr>
        <w:spacing w:after="0" w:line="209" w:lineRule="exact"/>
        <w:rPr>
          <w:sz w:val="20"/>
          <w:szCs w:val="20"/>
          <w:color w:val="auto"/>
        </w:rPr>
      </w:pPr>
    </w:p>
    <w:p>
      <w:pPr>
        <w:ind w:left="720" w:firstLine="241"/>
        <w:spacing w:after="0" w:line="261" w:lineRule="auto"/>
        <w:rPr>
          <w:sz w:val="20"/>
          <w:szCs w:val="20"/>
          <w:color w:val="auto"/>
        </w:rPr>
      </w:pPr>
      <w:r>
        <w:rPr>
          <w:rFonts w:ascii="Calibri" w:cs="Calibri" w:eastAsia="Calibri" w:hAnsi="Calibri"/>
          <w:sz w:val="18"/>
          <w:szCs w:val="18"/>
          <w:color w:val="auto"/>
        </w:rPr>
        <w:t>We are party to several legal proceedings encountered in the ordinary course of business. While the ultimate outcome and impact on us cannot be predicted with certainty, in the opinion of management, it is remote that these legal proceedings will have a material adverse impact on our financial condition, results of operations or cash flows.</w:t>
      </w:r>
    </w:p>
    <w:p>
      <w:pPr>
        <w:spacing w:after="0" w:line="221" w:lineRule="exact"/>
        <w:rPr>
          <w:sz w:val="20"/>
          <w:szCs w:val="20"/>
          <w:color w:val="auto"/>
        </w:rPr>
      </w:pPr>
    </w:p>
    <w:p>
      <w:pPr>
        <w:ind w:left="720"/>
        <w:spacing w:after="0"/>
        <w:rPr>
          <w:sz w:val="20"/>
          <w:szCs w:val="20"/>
          <w:color w:val="auto"/>
        </w:rPr>
      </w:pPr>
      <w:r>
        <w:rPr>
          <w:rFonts w:ascii="Verdana" w:cs="Verdana" w:eastAsia="Verdana" w:hAnsi="Verdana"/>
          <w:sz w:val="20"/>
          <w:szCs w:val="20"/>
          <w:color w:val="214E93"/>
        </w:rPr>
        <w:t>ITEM 4. MINE SAFETY DISCLOSURES.</w:t>
      </w:r>
    </w:p>
    <w:p>
      <w:pPr>
        <w:spacing w:after="0" w:line="192" w:lineRule="exact"/>
        <w:rPr>
          <w:sz w:val="20"/>
          <w:szCs w:val="20"/>
          <w:color w:val="auto"/>
        </w:rPr>
      </w:pPr>
    </w:p>
    <w:p>
      <w:pPr>
        <w:ind w:left="960"/>
        <w:spacing w:after="0"/>
        <w:rPr>
          <w:sz w:val="20"/>
          <w:szCs w:val="20"/>
          <w:color w:val="auto"/>
        </w:rPr>
      </w:pPr>
      <w:r>
        <w:rPr>
          <w:rFonts w:ascii="Calibri" w:cs="Calibri" w:eastAsia="Calibri" w:hAnsi="Calibri"/>
          <w:sz w:val="18"/>
          <w:szCs w:val="18"/>
          <w:color w:val="auto"/>
        </w:rPr>
        <w:t>Not applicable.</w:t>
      </w:r>
    </w:p>
    <w:p>
      <w:pPr>
        <w:sectPr>
          <w:pgSz w:w="11880" w:h="15480" w:orient="portrait"/>
          <w:cols w:equalWidth="0" w:num="1">
            <w:col w:w="10220"/>
          </w:cols>
          <w:pgMar w:left="440" w:top="498"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w:t>
      </w:r>
    </w:p>
    <w:p>
      <w:pPr>
        <w:sectPr>
          <w:pgSz w:w="11880" w:h="15480" w:orient="portrait"/>
          <w:cols w:equalWidth="0" w:num="1">
            <w:col w:w="10220"/>
          </w:cols>
          <w:pgMar w:left="440" w:top="498" w:right="1220" w:bottom="0" w:gutter="0" w:footer="0" w:header="0"/>
          <w:type w:val="continuous"/>
        </w:sectPr>
      </w:pPr>
    </w:p>
    <w:bookmarkStart w:id="92" w:name="page93"/>
    <w:bookmarkEnd w:id="92"/>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79</w:t>
            </w:r>
          </w:p>
        </w:tc>
      </w:tr>
    </w:tbl>
    <w:p>
      <w:pPr>
        <w:spacing w:after="0" w:line="235" w:lineRule="exact"/>
        <w:rPr>
          <w:sz w:val="20"/>
          <w:szCs w:val="20"/>
          <w:color w:val="auto"/>
        </w:rPr>
      </w:pPr>
    </w:p>
    <w:p>
      <w:pPr>
        <w:ind w:left="40"/>
        <w:spacing w:after="0"/>
        <w:rPr>
          <w:sz w:val="20"/>
          <w:szCs w:val="20"/>
          <w:color w:val="auto"/>
        </w:rPr>
      </w:pPr>
      <w:r>
        <w:rPr>
          <w:rFonts w:ascii="Verdana" w:cs="Verdana" w:eastAsia="Verdana" w:hAnsi="Verdana"/>
          <w:sz w:val="20"/>
          <w:szCs w:val="20"/>
          <w:color w:val="214E93"/>
        </w:rPr>
        <w:t>PART II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17145</wp:posOffset>
                </wp:positionV>
                <wp:extent cx="6811645"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1.35pt" to="478.35pt,1.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17145</wp:posOffset>
                </wp:positionV>
                <wp:extent cx="6811645" cy="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1.35pt" to="478.35pt,1.35pt" o:allowincell="f" strokecolor="#214E93" strokeweight="1pt"/>
            </w:pict>
          </mc:Fallback>
        </mc:AlternateContent>
      </w:r>
    </w:p>
    <w:p>
      <w:pPr>
        <w:spacing w:after="0" w:line="200" w:lineRule="exact"/>
        <w:rPr>
          <w:sz w:val="20"/>
          <w:szCs w:val="20"/>
          <w:color w:val="auto"/>
        </w:rPr>
      </w:pPr>
    </w:p>
    <w:p>
      <w:pPr>
        <w:spacing w:after="0" w:line="368" w:lineRule="exact"/>
        <w:rPr>
          <w:sz w:val="20"/>
          <w:szCs w:val="20"/>
          <w:color w:val="auto"/>
        </w:rPr>
      </w:pPr>
    </w:p>
    <w:p>
      <w:pPr>
        <w:ind w:right="1180"/>
        <w:spacing w:after="0" w:line="254" w:lineRule="auto"/>
        <w:rPr>
          <w:sz w:val="20"/>
          <w:szCs w:val="20"/>
          <w:color w:val="auto"/>
        </w:rPr>
      </w:pPr>
      <w:r>
        <w:rPr>
          <w:rFonts w:ascii="Verdana" w:cs="Verdana" w:eastAsia="Verdana" w:hAnsi="Verdana"/>
          <w:sz w:val="20"/>
          <w:szCs w:val="20"/>
          <w:color w:val="214E93"/>
        </w:rPr>
        <w:t>ITEM 5. MARKET FOR REGISTRANT’S COMMON EQUITY, RELATED STOCKHOLDER MATTERS AND ISSUER PURCHASES OF EQUITY SECURITIES.</w:t>
      </w:r>
    </w:p>
    <w:p>
      <w:pPr>
        <w:spacing w:after="0" w:line="172" w:lineRule="exact"/>
        <w:rPr>
          <w:sz w:val="20"/>
          <w:szCs w:val="20"/>
          <w:color w:val="auto"/>
        </w:rPr>
      </w:pPr>
    </w:p>
    <w:p>
      <w:pPr>
        <w:spacing w:after="0"/>
        <w:rPr>
          <w:sz w:val="20"/>
          <w:szCs w:val="20"/>
          <w:color w:val="auto"/>
        </w:rPr>
      </w:pPr>
      <w:r>
        <w:rPr>
          <w:rFonts w:ascii="Verdana" w:cs="Verdana" w:eastAsia="Verdana" w:hAnsi="Verdana"/>
          <w:sz w:val="20"/>
          <w:szCs w:val="20"/>
          <w:color w:val="214E93"/>
        </w:rPr>
        <w:t>GENERAL MARKET INFORMATION</w:t>
      </w:r>
    </w:p>
    <w:p>
      <w:pPr>
        <w:spacing w:after="0" w:line="209" w:lineRule="exact"/>
        <w:rPr>
          <w:sz w:val="20"/>
          <w:szCs w:val="20"/>
          <w:color w:val="auto"/>
        </w:rPr>
      </w:pPr>
    </w:p>
    <w:p>
      <w:pPr>
        <w:ind w:right="860" w:firstLine="241"/>
        <w:spacing w:after="0" w:line="252" w:lineRule="auto"/>
        <w:rPr>
          <w:sz w:val="20"/>
          <w:szCs w:val="20"/>
          <w:color w:val="auto"/>
        </w:rPr>
      </w:pPr>
      <w:r>
        <w:rPr>
          <w:rFonts w:ascii="Calibri" w:cs="Calibri" w:eastAsia="Calibri" w:hAnsi="Calibri"/>
          <w:sz w:val="18"/>
          <w:szCs w:val="18"/>
          <w:color w:val="auto"/>
        </w:rPr>
        <w:t>Shares of our common stock are traded on the NYSE under the symbol “MTDR.” Our shares have been traded on the NYSE since February 2, 2012. Prior to trading on the NYSE, there was no established public trading market for our common stock.</w:t>
      </w:r>
    </w:p>
    <w:p>
      <w:pPr>
        <w:spacing w:after="0" w:line="230" w:lineRule="exact"/>
        <w:rPr>
          <w:sz w:val="20"/>
          <w:szCs w:val="20"/>
          <w:color w:val="auto"/>
        </w:rPr>
      </w:pPr>
    </w:p>
    <w:p>
      <w:pPr>
        <w:ind w:right="1160" w:firstLine="241"/>
        <w:spacing w:after="0" w:line="252" w:lineRule="auto"/>
        <w:rPr>
          <w:sz w:val="20"/>
          <w:szCs w:val="20"/>
          <w:color w:val="auto"/>
        </w:rPr>
      </w:pPr>
      <w:r>
        <w:rPr>
          <w:rFonts w:ascii="Calibri" w:cs="Calibri" w:eastAsia="Calibri" w:hAnsi="Calibri"/>
          <w:sz w:val="18"/>
          <w:szCs w:val="18"/>
          <w:color w:val="auto"/>
        </w:rPr>
        <w:t>On February 24, 2026, we had 124,249,941 shares of common stock outstanding held by approximately 444 record holders, excluding shareholders for whom shares are held in “nominee” or “street” name.</w:t>
      </w:r>
    </w:p>
    <w:p>
      <w:pPr>
        <w:spacing w:after="0" w:line="228" w:lineRule="exact"/>
        <w:rPr>
          <w:sz w:val="20"/>
          <w:szCs w:val="20"/>
          <w:color w:val="auto"/>
        </w:rPr>
      </w:pPr>
    </w:p>
    <w:p>
      <w:pPr>
        <w:spacing w:after="0"/>
        <w:rPr>
          <w:sz w:val="20"/>
          <w:szCs w:val="20"/>
          <w:color w:val="auto"/>
        </w:rPr>
      </w:pPr>
      <w:r>
        <w:rPr>
          <w:rFonts w:ascii="Verdana" w:cs="Verdana" w:eastAsia="Verdana" w:hAnsi="Verdana"/>
          <w:sz w:val="20"/>
          <w:szCs w:val="20"/>
          <w:color w:val="214E93"/>
        </w:rPr>
        <w:t>DIVIDENDS</w:t>
      </w:r>
    </w:p>
    <w:p>
      <w:pPr>
        <w:spacing w:after="0" w:line="209" w:lineRule="exact"/>
        <w:rPr>
          <w:sz w:val="20"/>
          <w:szCs w:val="20"/>
          <w:color w:val="auto"/>
        </w:rPr>
      </w:pPr>
    </w:p>
    <w:p>
      <w:pPr>
        <w:ind w:right="840" w:firstLine="241"/>
        <w:spacing w:after="0" w:line="267" w:lineRule="auto"/>
        <w:rPr>
          <w:sz w:val="20"/>
          <w:szCs w:val="20"/>
          <w:color w:val="auto"/>
        </w:rPr>
      </w:pPr>
      <w:r>
        <w:rPr>
          <w:rFonts w:ascii="Calibri" w:cs="Calibri" w:eastAsia="Calibri" w:hAnsi="Calibri"/>
          <w:sz w:val="18"/>
          <w:szCs w:val="18"/>
          <w:color w:val="auto"/>
        </w:rPr>
        <w:t>In each of the first, second and third quarters of 2025, our Board declared quarterly cash dividends of $0.3125 per share of common stock. In October 2025, the Board amended our dividend policy to increase the quarterly dividend to $0.375 per share of common stock and also declared a quarterly cash dividend of $0.375 per share of common stock. In February 2026, the Board declared a quarterly cash dividend of $0.375 per share of common stock payable on March 10, 2026 to shareholders of record as of February 27, 2026. We expect that, based on current circumstances, comparable cash dividends will continue to be paid in the foreseeable future.</w:t>
      </w:r>
    </w:p>
    <w:p>
      <w:pPr>
        <w:spacing w:after="0" w:line="215" w:lineRule="exact"/>
        <w:rPr>
          <w:sz w:val="20"/>
          <w:szCs w:val="20"/>
          <w:color w:val="auto"/>
        </w:rPr>
      </w:pPr>
    </w:p>
    <w:p>
      <w:pPr>
        <w:spacing w:after="0"/>
        <w:rPr>
          <w:sz w:val="20"/>
          <w:szCs w:val="20"/>
          <w:color w:val="auto"/>
        </w:rPr>
      </w:pPr>
      <w:r>
        <w:rPr>
          <w:rFonts w:ascii="Verdana" w:cs="Verdana" w:eastAsia="Verdana" w:hAnsi="Verdana"/>
          <w:sz w:val="20"/>
          <w:szCs w:val="20"/>
          <w:color w:val="214E93"/>
        </w:rPr>
        <w:t>EQUITY COMPENSATION PLAN INFORMATION</w:t>
      </w:r>
    </w:p>
    <w:p>
      <w:pPr>
        <w:spacing w:after="0" w:line="209" w:lineRule="exact"/>
        <w:rPr>
          <w:sz w:val="20"/>
          <w:szCs w:val="20"/>
          <w:color w:val="auto"/>
        </w:rPr>
      </w:pPr>
    </w:p>
    <w:p>
      <w:pPr>
        <w:ind w:right="820" w:firstLine="241"/>
        <w:spacing w:after="0" w:line="261" w:lineRule="auto"/>
        <w:rPr>
          <w:sz w:val="20"/>
          <w:szCs w:val="20"/>
          <w:color w:val="auto"/>
        </w:rPr>
      </w:pPr>
      <w:r>
        <w:rPr>
          <w:rFonts w:ascii="Calibri" w:cs="Calibri" w:eastAsia="Calibri" w:hAnsi="Calibri"/>
          <w:sz w:val="18"/>
          <w:szCs w:val="18"/>
          <w:color w:val="auto"/>
        </w:rPr>
        <w:t>Certain information regarding securities authorized for issuance under our equity compensation plans is included under the caption “Security Ownership of Certain Beneficial Owners and Management and Related Stockholder Matters” in Part III, Item 12 of this Annual Report and is incorporated herein by reference.</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880"/>
        <w:spacing w:after="0"/>
        <w:rPr>
          <w:sz w:val="20"/>
          <w:szCs w:val="20"/>
          <w:color w:val="auto"/>
        </w:rPr>
      </w:pPr>
      <w:r>
        <w:rPr>
          <w:rFonts w:ascii="Calibri" w:cs="Calibri" w:eastAsia="Calibri" w:hAnsi="Calibri"/>
          <w:sz w:val="17"/>
          <w:szCs w:val="17"/>
          <w:color w:val="auto"/>
        </w:rPr>
        <w:t>FORM 10-K PART II</w:t>
      </w:r>
    </w:p>
    <w:p>
      <w:pPr>
        <w:sectPr>
          <w:pgSz w:w="11880" w:h="15480" w:orient="portrait"/>
          <w:cols w:equalWidth="0" w:num="1">
            <w:col w:w="10280"/>
          </w:cols>
          <w:pgMar w:left="1160" w:top="498" w:right="440" w:bottom="0" w:gutter="0" w:footer="0" w:header="0"/>
          <w:type w:val="continuous"/>
        </w:sectPr>
      </w:pPr>
    </w:p>
    <w:bookmarkStart w:id="93" w:name="page94"/>
    <w:bookmarkEnd w:id="93"/>
    <w:p>
      <w:pPr>
        <w:spacing w:after="0"/>
        <w:tabs>
          <w:tab w:leader="none" w:pos="740" w:val="left"/>
        </w:tabs>
        <w:rPr>
          <w:sz w:val="20"/>
          <w:szCs w:val="20"/>
          <w:color w:val="auto"/>
        </w:rPr>
      </w:pPr>
      <w:r>
        <w:rPr>
          <w:rFonts w:ascii="Calibri" w:cs="Calibri" w:eastAsia="Calibri" w:hAnsi="Calibri"/>
          <w:sz w:val="18"/>
          <w:szCs w:val="18"/>
          <w:color w:val="auto"/>
        </w:rPr>
        <w:t>80</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20"/>
        <w:spacing w:after="0"/>
        <w:rPr>
          <w:sz w:val="20"/>
          <w:szCs w:val="20"/>
          <w:color w:val="auto"/>
        </w:rPr>
      </w:pPr>
      <w:r>
        <w:rPr>
          <w:rFonts w:ascii="Verdana" w:cs="Verdana" w:eastAsia="Verdana" w:hAnsi="Verdana"/>
          <w:sz w:val="20"/>
          <w:szCs w:val="20"/>
          <w:color w:val="214E93"/>
        </w:rPr>
        <w:t>SHARE PERFORMANCE GRAPH</w:t>
      </w:r>
    </w:p>
    <w:p>
      <w:pPr>
        <w:spacing w:after="0" w:line="209" w:lineRule="exact"/>
        <w:rPr>
          <w:sz w:val="20"/>
          <w:szCs w:val="20"/>
          <w:color w:val="auto"/>
        </w:rPr>
      </w:pPr>
    </w:p>
    <w:p>
      <w:pPr>
        <w:ind w:left="720" w:right="120" w:firstLine="241"/>
        <w:spacing w:after="0" w:line="261" w:lineRule="auto"/>
        <w:rPr>
          <w:sz w:val="20"/>
          <w:szCs w:val="20"/>
          <w:color w:val="auto"/>
        </w:rPr>
      </w:pPr>
      <w:r>
        <w:rPr>
          <w:rFonts w:ascii="Calibri" w:cs="Calibri" w:eastAsia="Calibri" w:hAnsi="Calibri"/>
          <w:sz w:val="18"/>
          <w:szCs w:val="18"/>
          <w:color w:val="auto"/>
        </w:rPr>
        <w:t>The following graph compares the cumulative return on a $100 investment in our common stock from December 31, 2020 through December 31, 2025, to that of the cumulative return on a $100 investment in the Russell 2000 Index and the Russell 2000 Energy Index for the same period. In calculating the cumulative return, reinvestment of dividends, if any, is assumed.</w:t>
      </w:r>
    </w:p>
    <w:p>
      <w:pPr>
        <w:spacing w:after="0" w:line="223" w:lineRule="exact"/>
        <w:rPr>
          <w:sz w:val="20"/>
          <w:szCs w:val="20"/>
          <w:color w:val="auto"/>
        </w:rPr>
      </w:pPr>
    </w:p>
    <w:p>
      <w:pPr>
        <w:ind w:left="720" w:right="140" w:firstLine="241"/>
        <w:spacing w:after="0" w:line="264" w:lineRule="auto"/>
        <w:rPr>
          <w:sz w:val="20"/>
          <w:szCs w:val="20"/>
          <w:color w:val="auto"/>
        </w:rPr>
      </w:pPr>
      <w:r>
        <w:rPr>
          <w:rFonts w:ascii="Calibri" w:cs="Calibri" w:eastAsia="Calibri" w:hAnsi="Calibri"/>
          <w:sz w:val="18"/>
          <w:szCs w:val="18"/>
          <w:color w:val="auto"/>
        </w:rPr>
        <w:t>This graph is not “soliciting material,” is not deemed filed with the SEC and is not to be incorporated by reference in any of our filings under the Securities Act or the Exchange Act, whether made before, on, or after the date hereof and irrespective of any general incorporation language in any such filing. This graph is included in accordance with the SEC’s disclosure rules. This historic stock performance is not indicative of future stock performance.</w:t>
      </w:r>
    </w:p>
    <w:p>
      <w:pPr>
        <w:spacing w:after="0" w:line="223" w:lineRule="exact"/>
        <w:rPr>
          <w:sz w:val="20"/>
          <w:szCs w:val="20"/>
          <w:color w:val="auto"/>
        </w:rPr>
      </w:pPr>
    </w:p>
    <w:p>
      <w:pPr>
        <w:jc w:val="center"/>
        <w:ind w:left="1260"/>
        <w:spacing w:after="0" w:line="254" w:lineRule="auto"/>
        <w:rPr>
          <w:sz w:val="20"/>
          <w:szCs w:val="20"/>
          <w:color w:val="auto"/>
        </w:rPr>
      </w:pPr>
      <w:r>
        <w:rPr>
          <w:rFonts w:ascii="Verdana" w:cs="Verdana" w:eastAsia="Verdana" w:hAnsi="Verdana"/>
          <w:sz w:val="18"/>
          <w:szCs w:val="18"/>
          <w:color w:val="214E93"/>
        </w:rPr>
        <w:t>COMPARISON OF CUMULATIVE TOTAL RETURN AMONG MATADOR RESOURCES COMPANY, THE RUSSELL 2000 INDEX AND THE RUSSELL 2000 ENERGY INDEX</w:t>
      </w:r>
    </w:p>
    <w:p>
      <w:pPr>
        <w:spacing w:after="0" w:line="200" w:lineRule="exact"/>
        <w:rPr>
          <w:sz w:val="20"/>
          <w:szCs w:val="20"/>
          <w:color w:val="auto"/>
        </w:rPr>
      </w:pPr>
    </w:p>
    <w:p>
      <w:pPr>
        <w:spacing w:after="0" w:line="201" w:lineRule="exact"/>
        <w:rPr>
          <w:sz w:val="20"/>
          <w:szCs w:val="20"/>
          <w:color w:val="auto"/>
        </w:rPr>
      </w:pPr>
    </w:p>
    <w:p>
      <w:pPr>
        <w:ind w:left="1220"/>
        <w:spacing w:after="0"/>
        <w:rPr>
          <w:sz w:val="20"/>
          <w:szCs w:val="20"/>
          <w:color w:val="auto"/>
        </w:rPr>
      </w:pPr>
      <w:r>
        <w:rPr>
          <w:rFonts w:ascii="Verdana" w:cs="Verdana" w:eastAsia="Verdana" w:hAnsi="Verdana"/>
          <w:sz w:val="14"/>
          <w:szCs w:val="14"/>
          <w:color w:val="auto"/>
        </w:rPr>
        <w:t>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-63500</wp:posOffset>
            </wp:positionV>
            <wp:extent cx="5248275" cy="35058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9">
                      <a:extLst>
                        <a:ext uri="{28A0092B-C50C-407E-A947-70E740481C1C}"/>
                      </a:extLst>
                    </a:blip>
                    <a:srcRect/>
                    <a:stretch>
                      <a:fillRect/>
                    </a:stretch>
                  </pic:blipFill>
                  <pic:spPr bwMode="auto">
                    <a:xfrm>
                      <a:off x="0" y="0"/>
                      <a:ext cx="5248275" cy="3505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20"/>
        <w:spacing w:after="0"/>
        <w:rPr>
          <w:sz w:val="20"/>
          <w:szCs w:val="20"/>
          <w:color w:val="auto"/>
        </w:rPr>
      </w:pPr>
      <w:r>
        <w:rPr>
          <w:rFonts w:ascii="Verdana" w:cs="Verdana" w:eastAsia="Verdana" w:hAnsi="Verdana"/>
          <w:sz w:val="14"/>
          <w:szCs w:val="14"/>
          <w:color w:val="auto"/>
        </w:rPr>
        <w:t>500</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20"/>
        <w:spacing w:after="0"/>
        <w:rPr>
          <w:sz w:val="20"/>
          <w:szCs w:val="20"/>
          <w:color w:val="auto"/>
        </w:rPr>
      </w:pPr>
      <w:r>
        <w:rPr>
          <w:rFonts w:ascii="Verdana" w:cs="Verdana" w:eastAsia="Verdana" w:hAnsi="Verdana"/>
          <w:sz w:val="14"/>
          <w:szCs w:val="14"/>
          <w:color w:val="auto"/>
        </w:rPr>
        <w:t>400</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20"/>
        <w:spacing w:after="0"/>
        <w:rPr>
          <w:sz w:val="20"/>
          <w:szCs w:val="20"/>
          <w:color w:val="auto"/>
        </w:rPr>
      </w:pPr>
      <w:r>
        <w:rPr>
          <w:rFonts w:ascii="Verdana" w:cs="Verdana" w:eastAsia="Verdana" w:hAnsi="Verdana"/>
          <w:sz w:val="14"/>
          <w:szCs w:val="14"/>
          <w:color w:val="auto"/>
        </w:rPr>
        <w:t>300</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20"/>
        <w:spacing w:after="0"/>
        <w:rPr>
          <w:sz w:val="20"/>
          <w:szCs w:val="20"/>
          <w:color w:val="auto"/>
        </w:rPr>
      </w:pPr>
      <w:r>
        <w:rPr>
          <w:rFonts w:ascii="Verdana" w:cs="Verdana" w:eastAsia="Verdana" w:hAnsi="Verdana"/>
          <w:sz w:val="14"/>
          <w:szCs w:val="14"/>
          <w:color w:val="auto"/>
        </w:rPr>
        <w:t>200</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20"/>
        <w:spacing w:after="0"/>
        <w:rPr>
          <w:sz w:val="20"/>
          <w:szCs w:val="20"/>
          <w:color w:val="auto"/>
        </w:rPr>
      </w:pPr>
      <w:r>
        <w:rPr>
          <w:rFonts w:ascii="Verdana" w:cs="Verdana" w:eastAsia="Verdana" w:hAnsi="Verdana"/>
          <w:sz w:val="14"/>
          <w:szCs w:val="14"/>
          <w:color w:val="auto"/>
        </w:rPr>
        <w:t>100</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400"/>
        <w:spacing w:after="0"/>
        <w:rPr>
          <w:sz w:val="20"/>
          <w:szCs w:val="20"/>
          <w:color w:val="auto"/>
        </w:rPr>
      </w:pPr>
      <w:r>
        <w:rPr>
          <w:rFonts w:ascii="Verdana" w:cs="Verdana" w:eastAsia="Verdana" w:hAnsi="Verdana"/>
          <w:sz w:val="14"/>
          <w:szCs w:val="14"/>
          <w:color w:val="auto"/>
        </w:rPr>
        <w:t>0</w:t>
      </w:r>
    </w:p>
    <w:p>
      <w:pPr>
        <w:spacing w:after="0" w:line="27" w:lineRule="exact"/>
        <w:rPr>
          <w:sz w:val="20"/>
          <w:szCs w:val="20"/>
          <w:color w:val="auto"/>
        </w:rPr>
      </w:pPr>
    </w:p>
    <w:tbl>
      <w:tblPr>
        <w:tblLayout w:type="fixed"/>
        <w:tblInd w:w="1420" w:type="dxa"/>
        <w:tblCellMar>
          <w:top w:w="0" w:type="dxa"/>
          <w:left w:w="0" w:type="dxa"/>
          <w:bottom w:w="0" w:type="dxa"/>
          <w:right w:w="0" w:type="dxa"/>
        </w:tblCellMar>
      </w:tblPr>
      <w:tr>
        <w:trPr>
          <w:trHeight w:val="158"/>
        </w:trPr>
        <w:tc>
          <w:tcPr>
            <w:tcW w:w="680" w:type="dxa"/>
            <w:vAlign w:val="bottom"/>
          </w:tcPr>
          <w:p>
            <w:pPr>
              <w:jc w:val="right"/>
              <w:ind w:right="61"/>
              <w:spacing w:after="0"/>
              <w:rPr>
                <w:sz w:val="20"/>
                <w:szCs w:val="20"/>
                <w:color w:val="auto"/>
              </w:rPr>
            </w:pPr>
            <w:r>
              <w:rPr>
                <w:rFonts w:ascii="Verdana" w:cs="Verdana" w:eastAsia="Verdana" w:hAnsi="Verdana"/>
                <w:sz w:val="12"/>
                <w:szCs w:val="12"/>
                <w:color w:val="auto"/>
                <w:w w:val="95"/>
              </w:rPr>
              <w:t>12/31/20</w:t>
            </w:r>
          </w:p>
        </w:tc>
        <w:tc>
          <w:tcPr>
            <w:tcW w:w="820" w:type="dxa"/>
            <w:vAlign w:val="bottom"/>
          </w:tcPr>
          <w:p>
            <w:pPr>
              <w:jc w:val="right"/>
              <w:ind w:right="81"/>
              <w:spacing w:after="0"/>
              <w:rPr>
                <w:sz w:val="20"/>
                <w:szCs w:val="20"/>
                <w:color w:val="auto"/>
              </w:rPr>
            </w:pPr>
            <w:r>
              <w:rPr>
                <w:rFonts w:ascii="Verdana" w:cs="Verdana" w:eastAsia="Verdana" w:hAnsi="Verdana"/>
                <w:sz w:val="12"/>
                <w:szCs w:val="12"/>
                <w:color w:val="auto"/>
              </w:rPr>
              <w:t>06/30/21</w:t>
            </w:r>
          </w:p>
        </w:tc>
        <w:tc>
          <w:tcPr>
            <w:tcW w:w="760" w:type="dxa"/>
            <w:vAlign w:val="bottom"/>
            <w:gridSpan w:val="2"/>
          </w:tcPr>
          <w:p>
            <w:pPr>
              <w:jc w:val="right"/>
              <w:ind w:right="80"/>
              <w:spacing w:after="0"/>
              <w:rPr>
                <w:sz w:val="20"/>
                <w:szCs w:val="20"/>
                <w:color w:val="auto"/>
              </w:rPr>
            </w:pPr>
            <w:r>
              <w:rPr>
                <w:rFonts w:ascii="Verdana" w:cs="Verdana" w:eastAsia="Verdana" w:hAnsi="Verdana"/>
                <w:sz w:val="12"/>
                <w:szCs w:val="12"/>
                <w:color w:val="auto"/>
              </w:rPr>
              <w:t>12/31/21</w:t>
            </w:r>
          </w:p>
        </w:tc>
        <w:tc>
          <w:tcPr>
            <w:tcW w:w="960" w:type="dxa"/>
            <w:vAlign w:val="bottom"/>
          </w:tcPr>
          <w:p>
            <w:pPr>
              <w:jc w:val="right"/>
              <w:ind w:right="181"/>
              <w:spacing w:after="0"/>
              <w:rPr>
                <w:sz w:val="20"/>
                <w:szCs w:val="20"/>
                <w:color w:val="auto"/>
              </w:rPr>
            </w:pPr>
            <w:r>
              <w:rPr>
                <w:rFonts w:ascii="Verdana" w:cs="Verdana" w:eastAsia="Verdana" w:hAnsi="Verdana"/>
                <w:sz w:val="12"/>
                <w:szCs w:val="12"/>
                <w:color w:val="auto"/>
              </w:rPr>
              <w:t>06/30/22</w:t>
            </w:r>
          </w:p>
        </w:tc>
        <w:tc>
          <w:tcPr>
            <w:tcW w:w="700" w:type="dxa"/>
            <w:vAlign w:val="bottom"/>
            <w:gridSpan w:val="2"/>
          </w:tcPr>
          <w:p>
            <w:pPr>
              <w:jc w:val="right"/>
              <w:ind w:right="81"/>
              <w:spacing w:after="0"/>
              <w:rPr>
                <w:sz w:val="20"/>
                <w:szCs w:val="20"/>
                <w:color w:val="auto"/>
              </w:rPr>
            </w:pPr>
            <w:r>
              <w:rPr>
                <w:rFonts w:ascii="Verdana" w:cs="Verdana" w:eastAsia="Verdana" w:hAnsi="Verdana"/>
                <w:sz w:val="12"/>
                <w:szCs w:val="12"/>
                <w:color w:val="auto"/>
                <w:w w:val="95"/>
              </w:rPr>
              <w:t>12/31/22</w:t>
            </w:r>
          </w:p>
        </w:tc>
        <w:tc>
          <w:tcPr>
            <w:tcW w:w="800" w:type="dxa"/>
            <w:vAlign w:val="bottom"/>
          </w:tcPr>
          <w:p>
            <w:pPr>
              <w:jc w:val="right"/>
              <w:ind w:right="61"/>
              <w:spacing w:after="0"/>
              <w:rPr>
                <w:sz w:val="20"/>
                <w:szCs w:val="20"/>
                <w:color w:val="auto"/>
              </w:rPr>
            </w:pPr>
            <w:r>
              <w:rPr>
                <w:rFonts w:ascii="Verdana" w:cs="Verdana" w:eastAsia="Verdana" w:hAnsi="Verdana"/>
                <w:sz w:val="12"/>
                <w:szCs w:val="12"/>
                <w:color w:val="auto"/>
              </w:rPr>
              <w:t>06/30/23</w:t>
            </w:r>
          </w:p>
        </w:tc>
        <w:tc>
          <w:tcPr>
            <w:tcW w:w="800" w:type="dxa"/>
            <w:vAlign w:val="bottom"/>
          </w:tcPr>
          <w:p>
            <w:pPr>
              <w:jc w:val="right"/>
              <w:ind w:right="41"/>
              <w:spacing w:after="0"/>
              <w:rPr>
                <w:sz w:val="20"/>
                <w:szCs w:val="20"/>
                <w:color w:val="auto"/>
              </w:rPr>
            </w:pPr>
            <w:r>
              <w:rPr>
                <w:rFonts w:ascii="Verdana" w:cs="Verdana" w:eastAsia="Verdana" w:hAnsi="Verdana"/>
                <w:sz w:val="12"/>
                <w:szCs w:val="12"/>
                <w:color w:val="auto"/>
              </w:rPr>
              <w:t>12/31/23</w:t>
            </w:r>
          </w:p>
        </w:tc>
        <w:tc>
          <w:tcPr>
            <w:tcW w:w="820" w:type="dxa"/>
            <w:vAlign w:val="bottom"/>
          </w:tcPr>
          <w:p>
            <w:pPr>
              <w:jc w:val="right"/>
              <w:ind w:right="81"/>
              <w:spacing w:after="0"/>
              <w:rPr>
                <w:sz w:val="20"/>
                <w:szCs w:val="20"/>
                <w:color w:val="auto"/>
              </w:rPr>
            </w:pPr>
            <w:r>
              <w:rPr>
                <w:rFonts w:ascii="Verdana" w:cs="Verdana" w:eastAsia="Verdana" w:hAnsi="Verdana"/>
                <w:sz w:val="12"/>
                <w:szCs w:val="12"/>
                <w:color w:val="auto"/>
              </w:rPr>
              <w:t>06/30/24</w:t>
            </w:r>
          </w:p>
        </w:tc>
        <w:tc>
          <w:tcPr>
            <w:tcW w:w="800" w:type="dxa"/>
            <w:vAlign w:val="bottom"/>
          </w:tcPr>
          <w:p>
            <w:pPr>
              <w:jc w:val="right"/>
              <w:ind w:right="61"/>
              <w:spacing w:after="0"/>
              <w:rPr>
                <w:sz w:val="20"/>
                <w:szCs w:val="20"/>
                <w:color w:val="auto"/>
              </w:rPr>
            </w:pPr>
            <w:r>
              <w:rPr>
                <w:rFonts w:ascii="Verdana" w:cs="Verdana" w:eastAsia="Verdana" w:hAnsi="Verdana"/>
                <w:sz w:val="12"/>
                <w:szCs w:val="12"/>
                <w:color w:val="auto"/>
              </w:rPr>
              <w:t>12/31/24</w:t>
            </w:r>
          </w:p>
        </w:tc>
        <w:tc>
          <w:tcPr>
            <w:tcW w:w="820" w:type="dxa"/>
            <w:vAlign w:val="bottom"/>
          </w:tcPr>
          <w:p>
            <w:pPr>
              <w:jc w:val="right"/>
              <w:ind w:right="61"/>
              <w:spacing w:after="0"/>
              <w:rPr>
                <w:sz w:val="20"/>
                <w:szCs w:val="20"/>
                <w:color w:val="auto"/>
              </w:rPr>
            </w:pPr>
            <w:r>
              <w:rPr>
                <w:rFonts w:ascii="Verdana" w:cs="Verdana" w:eastAsia="Verdana" w:hAnsi="Verdana"/>
                <w:sz w:val="12"/>
                <w:szCs w:val="12"/>
                <w:color w:val="auto"/>
              </w:rPr>
              <w:t>06/30/25</w:t>
            </w:r>
          </w:p>
        </w:tc>
        <w:tc>
          <w:tcPr>
            <w:tcW w:w="680" w:type="dxa"/>
            <w:vAlign w:val="bottom"/>
          </w:tcPr>
          <w:p>
            <w:pPr>
              <w:jc w:val="right"/>
              <w:spacing w:after="0"/>
              <w:rPr>
                <w:sz w:val="20"/>
                <w:szCs w:val="20"/>
                <w:color w:val="auto"/>
              </w:rPr>
            </w:pPr>
            <w:r>
              <w:rPr>
                <w:rFonts w:ascii="Verdana" w:cs="Verdana" w:eastAsia="Verdana" w:hAnsi="Verdana"/>
                <w:sz w:val="12"/>
                <w:szCs w:val="12"/>
                <w:color w:val="auto"/>
              </w:rPr>
              <w:t>12/31/25</w:t>
            </w:r>
          </w:p>
        </w:tc>
        <w:tc>
          <w:tcPr>
            <w:tcW w:w="0" w:type="dxa"/>
            <w:vAlign w:val="bottom"/>
          </w:tcPr>
          <w:p>
            <w:pPr>
              <w:spacing w:after="0"/>
              <w:rPr>
                <w:sz w:val="1"/>
                <w:szCs w:val="1"/>
                <w:color w:val="auto"/>
              </w:rPr>
            </w:pPr>
          </w:p>
        </w:tc>
      </w:tr>
      <w:tr>
        <w:trPr>
          <w:trHeight w:val="260"/>
        </w:trPr>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vMerge w:val="restart"/>
          </w:tcPr>
          <w:p>
            <w:pPr>
              <w:jc w:val="right"/>
              <w:ind w:right="481"/>
              <w:spacing w:after="0"/>
              <w:rPr>
                <w:sz w:val="20"/>
                <w:szCs w:val="20"/>
                <w:color w:val="auto"/>
              </w:rPr>
            </w:pPr>
            <w:r>
              <w:rPr>
                <w:rFonts w:ascii="Verdana" w:cs="Verdana" w:eastAsia="Verdana" w:hAnsi="Verdana"/>
                <w:sz w:val="12"/>
                <w:szCs w:val="12"/>
                <w:color w:val="auto"/>
              </w:rPr>
              <w:t>MTDR</w:t>
            </w:r>
          </w:p>
        </w:tc>
        <w:tc>
          <w:tcPr>
            <w:tcW w:w="100" w:type="dxa"/>
            <w:vAlign w:val="bottom"/>
          </w:tcPr>
          <w:p>
            <w:pPr>
              <w:spacing w:after="0"/>
              <w:rPr>
                <w:sz w:val="22"/>
                <w:szCs w:val="22"/>
                <w:color w:val="auto"/>
              </w:rPr>
            </w:pPr>
          </w:p>
        </w:tc>
        <w:tc>
          <w:tcPr>
            <w:tcW w:w="1400" w:type="dxa"/>
            <w:vAlign w:val="bottom"/>
            <w:gridSpan w:val="2"/>
            <w:vMerge w:val="restart"/>
          </w:tcPr>
          <w:p>
            <w:pPr>
              <w:jc w:val="right"/>
              <w:ind w:right="281"/>
              <w:spacing w:after="0"/>
              <w:rPr>
                <w:sz w:val="20"/>
                <w:szCs w:val="20"/>
                <w:color w:val="auto"/>
              </w:rPr>
            </w:pPr>
            <w:r>
              <w:rPr>
                <w:rFonts w:ascii="Verdana" w:cs="Verdana" w:eastAsia="Verdana" w:hAnsi="Verdana"/>
                <w:sz w:val="12"/>
                <w:szCs w:val="12"/>
                <w:color w:val="auto"/>
              </w:rPr>
              <w:t>Russell 2000</w:t>
            </w:r>
          </w:p>
        </w:tc>
        <w:tc>
          <w:tcPr>
            <w:tcW w:w="2420" w:type="dxa"/>
            <w:vAlign w:val="bottom"/>
            <w:gridSpan w:val="3"/>
            <w:vMerge w:val="restart"/>
          </w:tcPr>
          <w:p>
            <w:pPr>
              <w:jc w:val="center"/>
              <w:spacing w:after="0"/>
              <w:rPr>
                <w:sz w:val="20"/>
                <w:szCs w:val="20"/>
                <w:color w:val="auto"/>
              </w:rPr>
            </w:pPr>
            <w:r>
              <w:rPr>
                <w:rFonts w:ascii="Verdana" w:cs="Verdana" w:eastAsia="Verdana" w:hAnsi="Verdana"/>
                <w:sz w:val="12"/>
                <w:szCs w:val="12"/>
                <w:color w:val="auto"/>
                <w:w w:val="97"/>
              </w:rPr>
              <w:t>Russell 2000 Energy</w:t>
            </w:r>
          </w:p>
        </w:tc>
        <w:tc>
          <w:tcPr>
            <w:tcW w:w="8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Borders>
              <w:bottom w:val="single" w:sz="8" w:color="6A80B1"/>
            </w:tcBorders>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Borders>
              <w:bottom w:val="single" w:sz="8" w:color="214E93"/>
            </w:tcBorders>
            <w:vMerge w:val="restart"/>
            <w:shd w:val="clear" w:color="auto" w:fill="214E93"/>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100" w:type="dxa"/>
            <w:vAlign w:val="bottom"/>
            <w:vMerge w:val="continue"/>
            <w:shd w:val="clear" w:color="auto" w:fill="214E93"/>
          </w:tcPr>
          <w:p>
            <w:pPr>
              <w:spacing w:after="0"/>
              <w:rPr>
                <w:sz w:val="3"/>
                <w:szCs w:val="3"/>
                <w:color w:val="auto"/>
              </w:rPr>
            </w:pPr>
          </w:p>
        </w:tc>
        <w:tc>
          <w:tcPr>
            <w:tcW w:w="1400" w:type="dxa"/>
            <w:vAlign w:val="bottom"/>
            <w:gridSpan w:val="2"/>
            <w:vMerge w:val="continue"/>
          </w:tcPr>
          <w:p>
            <w:pPr>
              <w:spacing w:after="0"/>
              <w:rPr>
                <w:sz w:val="3"/>
                <w:szCs w:val="3"/>
                <w:color w:val="auto"/>
              </w:rPr>
            </w:pPr>
          </w:p>
        </w:tc>
        <w:tc>
          <w:tcPr>
            <w:tcW w:w="2420" w:type="dxa"/>
            <w:vAlign w:val="bottom"/>
            <w:gridSpan w:val="3"/>
            <w:vMerge w:val="continue"/>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214E9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2103120</wp:posOffset>
            </wp:positionH>
            <wp:positionV relativeFrom="paragraph">
              <wp:posOffset>-86995</wp:posOffset>
            </wp:positionV>
            <wp:extent cx="100330" cy="1003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30">
                      <a:extLst>
                        <a:ext uri="{28A0092B-C50C-407E-A947-70E740481C1C}"/>
                      </a:extLst>
                    </a:blip>
                    <a:srcRect/>
                    <a:stretch>
                      <a:fillRect/>
                    </a:stretch>
                  </pic:blipFill>
                  <pic:spPr bwMode="auto">
                    <a:xfrm>
                      <a:off x="0" y="0"/>
                      <a:ext cx="100330" cy="10033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-41275</wp:posOffset>
            </wp:positionV>
            <wp:extent cx="375285" cy="95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31">
                      <a:extLst>
                        <a:ext uri="{28A0092B-C50C-407E-A947-70E740481C1C}"/>
                      </a:extLst>
                    </a:blip>
                    <a:srcRect/>
                    <a:stretch>
                      <a:fillRect/>
                    </a:stretch>
                  </pic:blipFill>
                  <pic:spPr bwMode="auto">
                    <a:xfrm>
                      <a:off x="0" y="0"/>
                      <a:ext cx="375285" cy="9525"/>
                    </a:xfrm>
                    <a:prstGeom prst="rect">
                      <a:avLst/>
                    </a:prstGeom>
                    <a:noFill/>
                  </pic:spPr>
                </pic:pic>
              </a:graphicData>
            </a:graphic>
          </wp:anchor>
        </w:drawing>
        <w:drawing>
          <wp:anchor simplePos="0" relativeHeight="251657728" behindDoc="1" locked="0" layoutInCell="0" allowOverlap="1">
            <wp:simplePos x="0" y="0"/>
            <wp:positionH relativeFrom="column">
              <wp:posOffset>3878580</wp:posOffset>
            </wp:positionH>
            <wp:positionV relativeFrom="paragraph">
              <wp:posOffset>-86995</wp:posOffset>
            </wp:positionV>
            <wp:extent cx="375285" cy="1003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32">
                      <a:extLst>
                        <a:ext uri="{28A0092B-C50C-407E-A947-70E740481C1C}"/>
                      </a:extLst>
                    </a:blip>
                    <a:srcRect/>
                    <a:stretch>
                      <a:fillRect/>
                    </a:stretch>
                  </pic:blipFill>
                  <pic:spPr bwMode="auto">
                    <a:xfrm>
                      <a:off x="0" y="0"/>
                      <a:ext cx="375285" cy="100330"/>
                    </a:xfrm>
                    <a:prstGeom prst="rect">
                      <a:avLst/>
                    </a:prstGeom>
                    <a:noFill/>
                  </pic:spPr>
                </pic:pic>
              </a:graphicData>
            </a:graphic>
          </wp:anchor>
        </w:drawing>
      </w:r>
    </w:p>
    <w:p>
      <w:pPr>
        <w:sectPr>
          <w:pgSz w:w="11880" w:h="15480" w:orient="portrait"/>
          <w:cols w:equalWidth="0" w:num="1">
            <w:col w:w="10180"/>
          </w:cols>
          <w:pgMar w:left="440" w:top="49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II</w:t>
      </w:r>
    </w:p>
    <w:p>
      <w:pPr>
        <w:sectPr>
          <w:pgSz w:w="11880" w:h="15480" w:orient="portrait"/>
          <w:cols w:equalWidth="0" w:num="1">
            <w:col w:w="10180"/>
          </w:cols>
          <w:pgMar w:left="440" w:top="498" w:right="1260" w:bottom="0" w:gutter="0" w:footer="0" w:header="0"/>
          <w:type w:val="continuous"/>
        </w:sectPr>
      </w:pPr>
    </w:p>
    <w:bookmarkStart w:id="94" w:name="page95"/>
    <w:bookmarkEnd w:id="94"/>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81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Verdana" w:cs="Verdana" w:eastAsia="Verdana" w:hAnsi="Verdana"/>
          <w:sz w:val="20"/>
          <w:szCs w:val="20"/>
          <w:color w:val="214E93"/>
        </w:rPr>
        <w:t>REPURCHASE OF EQUITY BY THE COMPANY OR AFFILIATES</w:t>
      </w:r>
    </w:p>
    <w:p>
      <w:pPr>
        <w:spacing w:after="0" w:line="192" w:lineRule="exact"/>
        <w:rPr>
          <w:sz w:val="20"/>
          <w:szCs w:val="20"/>
          <w:color w:val="auto"/>
        </w:rPr>
      </w:pPr>
    </w:p>
    <w:p>
      <w:pPr>
        <w:ind w:left="240"/>
        <w:spacing w:after="0"/>
        <w:rPr>
          <w:sz w:val="20"/>
          <w:szCs w:val="20"/>
          <w:color w:val="auto"/>
        </w:rPr>
      </w:pPr>
      <w:r>
        <w:rPr>
          <w:rFonts w:ascii="Calibri" w:cs="Calibri" w:eastAsia="Calibri" w:hAnsi="Calibri"/>
          <w:sz w:val="18"/>
          <w:szCs w:val="18"/>
          <w:color w:val="auto"/>
        </w:rPr>
        <w:t>The following table contains information about our acquisition of common stock during the quarter ended December 31, 2025.</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Verdana" w:cs="Verdana" w:eastAsia="Verdana" w:hAnsi="Verdana"/>
                <w:sz w:val="14"/>
                <w:szCs w:val="14"/>
                <w:color w:val="auto"/>
                <w:w w:val="99"/>
              </w:rPr>
              <w:t>Maximum</w:t>
            </w:r>
          </w:p>
        </w:tc>
      </w:tr>
      <w:tr>
        <w:trPr>
          <w:trHeight w:val="165"/>
        </w:trPr>
        <w:tc>
          <w:tcPr>
            <w:tcW w:w="3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tcPr>
          <w:p>
            <w:pPr>
              <w:jc w:val="center"/>
              <w:spacing w:after="0" w:line="166" w:lineRule="exact"/>
              <w:rPr>
                <w:sz w:val="20"/>
                <w:szCs w:val="20"/>
                <w:color w:val="auto"/>
              </w:rPr>
            </w:pPr>
            <w:r>
              <w:rPr>
                <w:rFonts w:ascii="Verdana" w:cs="Verdana" w:eastAsia="Verdana" w:hAnsi="Verdana"/>
                <w:sz w:val="14"/>
                <w:szCs w:val="14"/>
                <w:color w:val="auto"/>
                <w:w w:val="97"/>
              </w:rPr>
              <w:t>Number (or</w:t>
            </w:r>
          </w:p>
        </w:tc>
      </w:tr>
      <w:tr>
        <w:trPr>
          <w:trHeight w:val="165"/>
        </w:trPr>
        <w:tc>
          <w:tcPr>
            <w:tcW w:w="3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tcPr>
          <w:p>
            <w:pPr>
              <w:jc w:val="center"/>
              <w:spacing w:after="0" w:line="166" w:lineRule="exact"/>
              <w:rPr>
                <w:sz w:val="20"/>
                <w:szCs w:val="20"/>
                <w:color w:val="auto"/>
              </w:rPr>
            </w:pPr>
            <w:r>
              <w:rPr>
                <w:rFonts w:ascii="Verdana" w:cs="Verdana" w:eastAsia="Verdana" w:hAnsi="Verdana"/>
                <w:sz w:val="14"/>
                <w:szCs w:val="14"/>
                <w:color w:val="auto"/>
                <w:w w:val="98"/>
              </w:rPr>
              <w:t>Approximate</w:t>
            </w:r>
          </w:p>
        </w:tc>
      </w:tr>
      <w:tr>
        <w:trPr>
          <w:trHeight w:val="165"/>
        </w:trPr>
        <w:tc>
          <w:tcPr>
            <w:tcW w:w="3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tcPr>
          <w:p>
            <w:pPr>
              <w:jc w:val="center"/>
              <w:spacing w:after="0" w:line="166" w:lineRule="exact"/>
              <w:rPr>
                <w:sz w:val="20"/>
                <w:szCs w:val="20"/>
                <w:color w:val="auto"/>
              </w:rPr>
            </w:pPr>
            <w:r>
              <w:rPr>
                <w:rFonts w:ascii="Verdana" w:cs="Verdana" w:eastAsia="Verdana" w:hAnsi="Verdana"/>
                <w:sz w:val="14"/>
                <w:szCs w:val="14"/>
                <w:color w:val="auto"/>
                <w:w w:val="97"/>
              </w:rPr>
              <w:t>Dollar Value in</w:t>
            </w:r>
          </w:p>
        </w:tc>
      </w:tr>
      <w:tr>
        <w:trPr>
          <w:trHeight w:val="165"/>
        </w:trPr>
        <w:tc>
          <w:tcPr>
            <w:tcW w:w="3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jc w:val="center"/>
              <w:spacing w:after="0" w:line="166" w:lineRule="exact"/>
              <w:rPr>
                <w:sz w:val="20"/>
                <w:szCs w:val="20"/>
                <w:color w:val="auto"/>
              </w:rPr>
            </w:pPr>
            <w:r>
              <w:rPr>
                <w:rFonts w:ascii="Verdana" w:cs="Verdana" w:eastAsia="Verdana" w:hAnsi="Verdana"/>
                <w:sz w:val="14"/>
                <w:szCs w:val="14"/>
                <w:color w:val="auto"/>
                <w:w w:val="99"/>
              </w:rPr>
              <w:t>Total Number of</w:t>
            </w:r>
          </w:p>
        </w:tc>
        <w:tc>
          <w:tcPr>
            <w:tcW w:w="1400" w:type="dxa"/>
            <w:vAlign w:val="bottom"/>
          </w:tcPr>
          <w:p>
            <w:pPr>
              <w:jc w:val="center"/>
              <w:spacing w:after="0" w:line="166" w:lineRule="exact"/>
              <w:rPr>
                <w:sz w:val="20"/>
                <w:szCs w:val="20"/>
                <w:color w:val="auto"/>
              </w:rPr>
            </w:pPr>
            <w:r>
              <w:rPr>
                <w:rFonts w:ascii="Verdana" w:cs="Verdana" w:eastAsia="Verdana" w:hAnsi="Verdana"/>
                <w:sz w:val="14"/>
                <w:szCs w:val="14"/>
                <w:color w:val="auto"/>
                <w:w w:val="98"/>
              </w:rPr>
              <w:t>thousands) of</w:t>
            </w:r>
          </w:p>
        </w:tc>
      </w:tr>
      <w:tr>
        <w:trPr>
          <w:trHeight w:val="165"/>
        </w:trPr>
        <w:tc>
          <w:tcPr>
            <w:tcW w:w="3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jc w:val="center"/>
              <w:spacing w:after="0" w:line="166" w:lineRule="exact"/>
              <w:rPr>
                <w:sz w:val="20"/>
                <w:szCs w:val="20"/>
                <w:color w:val="auto"/>
              </w:rPr>
            </w:pPr>
            <w:r>
              <w:rPr>
                <w:rFonts w:ascii="Verdana" w:cs="Verdana" w:eastAsia="Verdana" w:hAnsi="Verdana"/>
                <w:sz w:val="14"/>
                <w:szCs w:val="14"/>
                <w:color w:val="auto"/>
                <w:w w:val="97"/>
              </w:rPr>
              <w:t>Shares Purchased</w:t>
            </w:r>
          </w:p>
        </w:tc>
        <w:tc>
          <w:tcPr>
            <w:tcW w:w="1400" w:type="dxa"/>
            <w:vAlign w:val="bottom"/>
          </w:tcPr>
          <w:p>
            <w:pPr>
              <w:jc w:val="center"/>
              <w:spacing w:after="0" w:line="166" w:lineRule="exact"/>
              <w:rPr>
                <w:sz w:val="20"/>
                <w:szCs w:val="20"/>
                <w:color w:val="auto"/>
              </w:rPr>
            </w:pPr>
            <w:r>
              <w:rPr>
                <w:rFonts w:ascii="Verdana" w:cs="Verdana" w:eastAsia="Verdana" w:hAnsi="Verdana"/>
                <w:sz w:val="14"/>
                <w:szCs w:val="14"/>
                <w:color w:val="auto"/>
                <w:w w:val="97"/>
              </w:rPr>
              <w:t>Shares that May</w:t>
            </w:r>
          </w:p>
        </w:tc>
      </w:tr>
      <w:tr>
        <w:trPr>
          <w:trHeight w:val="165"/>
        </w:trPr>
        <w:tc>
          <w:tcPr>
            <w:tcW w:w="3680" w:type="dxa"/>
            <w:vAlign w:val="bottom"/>
          </w:tcPr>
          <w:p>
            <w:pPr>
              <w:spacing w:after="0"/>
              <w:rPr>
                <w:sz w:val="14"/>
                <w:szCs w:val="14"/>
                <w:color w:val="auto"/>
              </w:rPr>
            </w:pPr>
          </w:p>
        </w:tc>
        <w:tc>
          <w:tcPr>
            <w:tcW w:w="1560" w:type="dxa"/>
            <w:vAlign w:val="bottom"/>
          </w:tcPr>
          <w:p>
            <w:pPr>
              <w:jc w:val="center"/>
              <w:ind w:left="85"/>
              <w:spacing w:after="0" w:line="166" w:lineRule="exact"/>
              <w:rPr>
                <w:sz w:val="20"/>
                <w:szCs w:val="20"/>
                <w:color w:val="auto"/>
              </w:rPr>
            </w:pPr>
            <w:r>
              <w:rPr>
                <w:rFonts w:ascii="Verdana" w:cs="Verdana" w:eastAsia="Verdana" w:hAnsi="Verdana"/>
                <w:sz w:val="14"/>
                <w:szCs w:val="14"/>
                <w:color w:val="auto"/>
                <w:w w:val="98"/>
              </w:rPr>
              <w:t>Total Number of</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jc w:val="center"/>
              <w:spacing w:after="0" w:line="166" w:lineRule="exact"/>
              <w:rPr>
                <w:sz w:val="20"/>
                <w:szCs w:val="20"/>
                <w:color w:val="auto"/>
              </w:rPr>
            </w:pPr>
            <w:r>
              <w:rPr>
                <w:rFonts w:ascii="Verdana" w:cs="Verdana" w:eastAsia="Verdana" w:hAnsi="Verdana"/>
                <w:sz w:val="14"/>
                <w:szCs w:val="14"/>
                <w:color w:val="auto"/>
                <w:w w:val="97"/>
              </w:rPr>
              <w:t>as Part of Publicly</w:t>
            </w:r>
          </w:p>
        </w:tc>
        <w:tc>
          <w:tcPr>
            <w:tcW w:w="1400" w:type="dxa"/>
            <w:vAlign w:val="bottom"/>
          </w:tcPr>
          <w:p>
            <w:pPr>
              <w:jc w:val="center"/>
              <w:spacing w:after="0" w:line="166" w:lineRule="exact"/>
              <w:rPr>
                <w:sz w:val="20"/>
                <w:szCs w:val="20"/>
                <w:color w:val="auto"/>
              </w:rPr>
            </w:pPr>
            <w:r>
              <w:rPr>
                <w:rFonts w:ascii="Verdana" w:cs="Verdana" w:eastAsia="Verdana" w:hAnsi="Verdana"/>
                <w:sz w:val="14"/>
                <w:szCs w:val="14"/>
                <w:color w:val="auto"/>
                <w:w w:val="97"/>
              </w:rPr>
              <w:t>Yet Be Purchased</w:t>
            </w:r>
          </w:p>
        </w:tc>
      </w:tr>
      <w:tr>
        <w:trPr>
          <w:trHeight w:val="165"/>
        </w:trPr>
        <w:tc>
          <w:tcPr>
            <w:tcW w:w="3680" w:type="dxa"/>
            <w:vAlign w:val="bottom"/>
          </w:tcPr>
          <w:p>
            <w:pPr>
              <w:spacing w:after="0"/>
              <w:rPr>
                <w:sz w:val="14"/>
                <w:szCs w:val="14"/>
                <w:color w:val="auto"/>
              </w:rPr>
            </w:pPr>
          </w:p>
        </w:tc>
        <w:tc>
          <w:tcPr>
            <w:tcW w:w="1560" w:type="dxa"/>
            <w:vAlign w:val="bottom"/>
          </w:tcPr>
          <w:p>
            <w:pPr>
              <w:jc w:val="center"/>
              <w:ind w:left="85"/>
              <w:spacing w:after="0" w:line="166" w:lineRule="exact"/>
              <w:rPr>
                <w:sz w:val="20"/>
                <w:szCs w:val="20"/>
                <w:color w:val="auto"/>
              </w:rPr>
            </w:pPr>
            <w:r>
              <w:rPr>
                <w:rFonts w:ascii="Verdana" w:cs="Verdana" w:eastAsia="Verdana" w:hAnsi="Verdana"/>
                <w:sz w:val="14"/>
                <w:szCs w:val="14"/>
                <w:color w:val="auto"/>
                <w:w w:val="98"/>
              </w:rPr>
              <w:t>Shares</w:t>
            </w:r>
          </w:p>
        </w:tc>
        <w:tc>
          <w:tcPr>
            <w:tcW w:w="220" w:type="dxa"/>
            <w:vAlign w:val="bottom"/>
          </w:tcPr>
          <w:p>
            <w:pPr>
              <w:spacing w:after="0"/>
              <w:rPr>
                <w:sz w:val="14"/>
                <w:szCs w:val="14"/>
                <w:color w:val="auto"/>
              </w:rPr>
            </w:pPr>
          </w:p>
        </w:tc>
        <w:tc>
          <w:tcPr>
            <w:tcW w:w="1240" w:type="dxa"/>
            <w:vAlign w:val="bottom"/>
          </w:tcPr>
          <w:p>
            <w:pPr>
              <w:jc w:val="right"/>
              <w:ind w:right="165"/>
              <w:spacing w:after="0" w:line="166" w:lineRule="exact"/>
              <w:rPr>
                <w:sz w:val="20"/>
                <w:szCs w:val="20"/>
                <w:color w:val="auto"/>
              </w:rPr>
            </w:pPr>
            <w:r>
              <w:rPr>
                <w:rFonts w:ascii="Verdana" w:cs="Verdana" w:eastAsia="Verdana" w:hAnsi="Verdana"/>
                <w:sz w:val="14"/>
                <w:szCs w:val="14"/>
                <w:color w:val="auto"/>
              </w:rPr>
              <w:t>Average Price</w:t>
            </w:r>
          </w:p>
        </w:tc>
        <w:tc>
          <w:tcPr>
            <w:tcW w:w="1460" w:type="dxa"/>
            <w:vAlign w:val="bottom"/>
          </w:tcPr>
          <w:p>
            <w:pPr>
              <w:jc w:val="center"/>
              <w:spacing w:after="0" w:line="166" w:lineRule="exact"/>
              <w:rPr>
                <w:sz w:val="20"/>
                <w:szCs w:val="20"/>
                <w:color w:val="auto"/>
              </w:rPr>
            </w:pPr>
            <w:r>
              <w:rPr>
                <w:rFonts w:ascii="Verdana" w:cs="Verdana" w:eastAsia="Verdana" w:hAnsi="Verdana"/>
                <w:sz w:val="14"/>
                <w:szCs w:val="14"/>
                <w:color w:val="auto"/>
                <w:w w:val="98"/>
              </w:rPr>
              <w:t>Announced Plans</w:t>
            </w:r>
          </w:p>
        </w:tc>
        <w:tc>
          <w:tcPr>
            <w:tcW w:w="1400" w:type="dxa"/>
            <w:vAlign w:val="bottom"/>
          </w:tcPr>
          <w:p>
            <w:pPr>
              <w:jc w:val="center"/>
              <w:spacing w:after="0" w:line="166" w:lineRule="exact"/>
              <w:rPr>
                <w:sz w:val="20"/>
                <w:szCs w:val="20"/>
                <w:color w:val="auto"/>
              </w:rPr>
            </w:pPr>
            <w:r>
              <w:rPr>
                <w:rFonts w:ascii="Verdana" w:cs="Verdana" w:eastAsia="Verdana" w:hAnsi="Verdana"/>
                <w:sz w:val="14"/>
                <w:szCs w:val="14"/>
                <w:color w:val="auto"/>
                <w:w w:val="97"/>
              </w:rPr>
              <w:t>under the Plans</w:t>
            </w:r>
          </w:p>
        </w:tc>
      </w:tr>
      <w:tr>
        <w:trPr>
          <w:trHeight w:val="193"/>
        </w:trPr>
        <w:tc>
          <w:tcPr>
            <w:tcW w:w="3680" w:type="dxa"/>
            <w:vAlign w:val="bottom"/>
            <w:tcBorders>
              <w:bottom w:val="single" w:sz="8" w:color="214E93"/>
            </w:tcBorders>
          </w:tcPr>
          <w:p>
            <w:pPr>
              <w:ind w:left="1680"/>
              <w:spacing w:after="0"/>
              <w:rPr>
                <w:sz w:val="20"/>
                <w:szCs w:val="20"/>
                <w:color w:val="auto"/>
              </w:rPr>
            </w:pPr>
            <w:r>
              <w:rPr>
                <w:rFonts w:ascii="Verdana" w:cs="Verdana" w:eastAsia="Verdana" w:hAnsi="Verdana"/>
                <w:sz w:val="14"/>
                <w:szCs w:val="14"/>
                <w:color w:val="auto"/>
              </w:rPr>
              <w:t>Period</w:t>
            </w:r>
          </w:p>
        </w:tc>
        <w:tc>
          <w:tcPr>
            <w:tcW w:w="1560" w:type="dxa"/>
            <w:vAlign w:val="bottom"/>
            <w:tcBorders>
              <w:bottom w:val="single" w:sz="8" w:color="214E93"/>
            </w:tcBorders>
          </w:tcPr>
          <w:p>
            <w:pPr>
              <w:jc w:val="center"/>
              <w:ind w:left="65"/>
              <w:spacing w:after="0" w:line="192" w:lineRule="exact"/>
              <w:rPr>
                <w:sz w:val="20"/>
                <w:szCs w:val="20"/>
                <w:color w:val="auto"/>
              </w:rPr>
            </w:pPr>
            <w:r>
              <w:rPr>
                <w:rFonts w:ascii="Verdana" w:cs="Verdana" w:eastAsia="Verdana" w:hAnsi="Verdana"/>
                <w:sz w:val="14"/>
                <w:szCs w:val="14"/>
                <w:color w:val="auto"/>
                <w:w w:val="91"/>
              </w:rPr>
              <w:t>Purchased</w:t>
            </w:r>
            <w:r>
              <w:rPr>
                <w:rFonts w:ascii="Verdana" w:cs="Verdana" w:eastAsia="Verdana" w:hAnsi="Verdana"/>
                <w:sz w:val="17"/>
                <w:szCs w:val="17"/>
                <w:color w:val="auto"/>
                <w:w w:val="91"/>
                <w:vertAlign w:val="superscript"/>
              </w:rPr>
              <w:t>(1)(2)</w:t>
            </w:r>
          </w:p>
        </w:tc>
        <w:tc>
          <w:tcPr>
            <w:tcW w:w="220" w:type="dxa"/>
            <w:vAlign w:val="bottom"/>
            <w:tcBorders>
              <w:bottom w:val="single" w:sz="8" w:color="214E93"/>
            </w:tcBorders>
          </w:tcPr>
          <w:p>
            <w:pPr>
              <w:spacing w:after="0"/>
              <w:rPr>
                <w:sz w:val="16"/>
                <w:szCs w:val="16"/>
                <w:color w:val="auto"/>
              </w:rPr>
            </w:pPr>
          </w:p>
        </w:tc>
        <w:tc>
          <w:tcPr>
            <w:tcW w:w="1240" w:type="dxa"/>
            <w:vAlign w:val="bottom"/>
            <w:tcBorders>
              <w:bottom w:val="single" w:sz="8" w:color="214E93"/>
            </w:tcBorders>
          </w:tcPr>
          <w:p>
            <w:pPr>
              <w:jc w:val="right"/>
              <w:ind w:right="125"/>
              <w:spacing w:after="0"/>
              <w:rPr>
                <w:sz w:val="20"/>
                <w:szCs w:val="20"/>
                <w:color w:val="auto"/>
              </w:rPr>
            </w:pPr>
            <w:r>
              <w:rPr>
                <w:rFonts w:ascii="Verdana" w:cs="Verdana" w:eastAsia="Verdana" w:hAnsi="Verdana"/>
                <w:sz w:val="14"/>
                <w:szCs w:val="14"/>
                <w:color w:val="auto"/>
                <w:w w:val="98"/>
              </w:rPr>
              <w:t>Paid Per Share</w:t>
            </w:r>
          </w:p>
        </w:tc>
        <w:tc>
          <w:tcPr>
            <w:tcW w:w="1460" w:type="dxa"/>
            <w:vAlign w:val="bottom"/>
            <w:tcBorders>
              <w:bottom w:val="single" w:sz="8" w:color="214E93"/>
            </w:tcBorders>
          </w:tcPr>
          <w:p>
            <w:pPr>
              <w:jc w:val="center"/>
              <w:spacing w:after="0" w:line="192" w:lineRule="exact"/>
              <w:rPr>
                <w:sz w:val="20"/>
                <w:szCs w:val="20"/>
                <w:color w:val="auto"/>
              </w:rPr>
            </w:pPr>
            <w:r>
              <w:rPr>
                <w:rFonts w:ascii="Verdana" w:cs="Verdana" w:eastAsia="Verdana" w:hAnsi="Verdana"/>
                <w:sz w:val="14"/>
                <w:szCs w:val="14"/>
                <w:color w:val="auto"/>
                <w:w w:val="94"/>
              </w:rPr>
              <w:t>or Programs</w:t>
            </w:r>
            <w:r>
              <w:rPr>
                <w:rFonts w:ascii="Verdana" w:cs="Verdana" w:eastAsia="Verdana" w:hAnsi="Verdana"/>
                <w:sz w:val="17"/>
                <w:szCs w:val="17"/>
                <w:color w:val="auto"/>
                <w:w w:val="94"/>
                <w:vertAlign w:val="superscript"/>
              </w:rPr>
              <w:t>(2)</w:t>
            </w:r>
          </w:p>
        </w:tc>
        <w:tc>
          <w:tcPr>
            <w:tcW w:w="1400" w:type="dxa"/>
            <w:vAlign w:val="bottom"/>
            <w:tcBorders>
              <w:bottom w:val="single" w:sz="8" w:color="214E93"/>
            </w:tcBorders>
          </w:tcPr>
          <w:p>
            <w:pPr>
              <w:jc w:val="center"/>
              <w:spacing w:after="0" w:line="192" w:lineRule="exact"/>
              <w:rPr>
                <w:sz w:val="20"/>
                <w:szCs w:val="20"/>
                <w:color w:val="auto"/>
              </w:rPr>
            </w:pPr>
            <w:r>
              <w:rPr>
                <w:rFonts w:ascii="Verdana" w:cs="Verdana" w:eastAsia="Verdana" w:hAnsi="Verdana"/>
                <w:sz w:val="14"/>
                <w:szCs w:val="14"/>
                <w:color w:val="auto"/>
                <w:w w:val="94"/>
              </w:rPr>
              <w:t>or Programs</w:t>
            </w:r>
            <w:r>
              <w:rPr>
                <w:rFonts w:ascii="Verdana" w:cs="Verdana" w:eastAsia="Verdana" w:hAnsi="Verdana"/>
                <w:sz w:val="17"/>
                <w:szCs w:val="17"/>
                <w:color w:val="auto"/>
                <w:w w:val="94"/>
                <w:vertAlign w:val="superscript"/>
              </w:rPr>
              <w:t>(2)</w:t>
            </w:r>
          </w:p>
        </w:tc>
      </w:tr>
      <w:tr>
        <w:trPr>
          <w:trHeight w:val="211"/>
        </w:trPr>
        <w:tc>
          <w:tcPr>
            <w:tcW w:w="3680" w:type="dxa"/>
            <w:vAlign w:val="bottom"/>
          </w:tcPr>
          <w:p>
            <w:pPr>
              <w:ind w:left="40"/>
              <w:spacing w:after="0"/>
              <w:rPr>
                <w:sz w:val="20"/>
                <w:szCs w:val="20"/>
                <w:color w:val="auto"/>
              </w:rPr>
            </w:pPr>
            <w:r>
              <w:rPr>
                <w:rFonts w:ascii="Verdana" w:cs="Verdana" w:eastAsia="Verdana" w:hAnsi="Verdana"/>
                <w:sz w:val="16"/>
                <w:szCs w:val="16"/>
                <w:color w:val="auto"/>
              </w:rPr>
              <w:t>October 1, 2025 to October 31, 2025</w:t>
            </w:r>
          </w:p>
        </w:tc>
        <w:tc>
          <w:tcPr>
            <w:tcW w:w="1560" w:type="dxa"/>
            <w:vAlign w:val="bottom"/>
          </w:tcPr>
          <w:p>
            <w:pPr>
              <w:jc w:val="right"/>
              <w:ind w:right="25"/>
              <w:spacing w:after="0"/>
              <w:rPr>
                <w:sz w:val="20"/>
                <w:szCs w:val="20"/>
                <w:color w:val="auto"/>
              </w:rPr>
            </w:pPr>
            <w:r>
              <w:rPr>
                <w:rFonts w:ascii="Verdana" w:cs="Verdana" w:eastAsia="Verdana" w:hAnsi="Verdana"/>
                <w:sz w:val="16"/>
                <w:szCs w:val="16"/>
                <w:color w:val="214E93"/>
              </w:rPr>
              <w:t>98,564</w:t>
            </w:r>
          </w:p>
        </w:tc>
        <w:tc>
          <w:tcPr>
            <w:tcW w:w="22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1240" w:type="dxa"/>
            <w:vAlign w:val="bottom"/>
          </w:tcPr>
          <w:p>
            <w:pPr>
              <w:jc w:val="right"/>
              <w:ind w:right="45"/>
              <w:spacing w:after="0"/>
              <w:rPr>
                <w:sz w:val="20"/>
                <w:szCs w:val="20"/>
                <w:color w:val="auto"/>
              </w:rPr>
            </w:pPr>
            <w:r>
              <w:rPr>
                <w:rFonts w:ascii="Verdana" w:cs="Verdana" w:eastAsia="Verdana" w:hAnsi="Verdana"/>
                <w:sz w:val="16"/>
                <w:szCs w:val="16"/>
                <w:color w:val="214E93"/>
              </w:rPr>
              <w:t>44.41</w:t>
            </w:r>
          </w:p>
        </w:tc>
        <w:tc>
          <w:tcPr>
            <w:tcW w:w="1460" w:type="dxa"/>
            <w:vAlign w:val="bottom"/>
          </w:tcPr>
          <w:p>
            <w:pPr>
              <w:jc w:val="right"/>
              <w:ind w:right="47"/>
              <w:spacing w:after="0"/>
              <w:rPr>
                <w:sz w:val="20"/>
                <w:szCs w:val="20"/>
                <w:color w:val="auto"/>
              </w:rPr>
            </w:pPr>
            <w:r>
              <w:rPr>
                <w:rFonts w:ascii="Verdana" w:cs="Verdana" w:eastAsia="Verdana" w:hAnsi="Verdana"/>
                <w:sz w:val="16"/>
                <w:szCs w:val="16"/>
                <w:color w:val="214E93"/>
              </w:rPr>
              <w:t>98,500</w:t>
            </w:r>
          </w:p>
        </w:tc>
        <w:tc>
          <w:tcPr>
            <w:tcW w:w="1400" w:type="dxa"/>
            <w:vAlign w:val="bottom"/>
          </w:tcPr>
          <w:p>
            <w:pPr>
              <w:jc w:val="right"/>
              <w:ind w:right="9"/>
              <w:spacing w:after="0"/>
              <w:rPr>
                <w:sz w:val="20"/>
                <w:szCs w:val="20"/>
                <w:color w:val="auto"/>
              </w:rPr>
            </w:pPr>
            <w:r>
              <w:rPr>
                <w:rFonts w:ascii="Verdana" w:cs="Verdana" w:eastAsia="Verdana" w:hAnsi="Verdana"/>
                <w:sz w:val="16"/>
                <w:szCs w:val="16"/>
                <w:color w:val="214E93"/>
              </w:rPr>
              <w:t>344,916</w:t>
            </w:r>
          </w:p>
        </w:tc>
      </w:tr>
      <w:tr>
        <w:trPr>
          <w:trHeight w:val="235"/>
        </w:trPr>
        <w:tc>
          <w:tcPr>
            <w:tcW w:w="3680" w:type="dxa"/>
            <w:vAlign w:val="bottom"/>
          </w:tcPr>
          <w:p>
            <w:pPr>
              <w:ind w:left="40"/>
              <w:spacing w:after="0"/>
              <w:rPr>
                <w:sz w:val="20"/>
                <w:szCs w:val="20"/>
                <w:color w:val="auto"/>
              </w:rPr>
            </w:pPr>
            <w:r>
              <w:rPr>
                <w:rFonts w:ascii="Verdana" w:cs="Verdana" w:eastAsia="Verdana" w:hAnsi="Verdana"/>
                <w:sz w:val="16"/>
                <w:szCs w:val="16"/>
                <w:color w:val="auto"/>
              </w:rPr>
              <w:t>November 1, 2025 to November 30, 2025</w:t>
            </w:r>
          </w:p>
        </w:tc>
        <w:tc>
          <w:tcPr>
            <w:tcW w:w="1560" w:type="dxa"/>
            <w:vAlign w:val="bottom"/>
          </w:tcPr>
          <w:p>
            <w:pPr>
              <w:jc w:val="right"/>
              <w:ind w:right="25"/>
              <w:spacing w:after="0"/>
              <w:rPr>
                <w:sz w:val="20"/>
                <w:szCs w:val="20"/>
                <w:color w:val="auto"/>
              </w:rPr>
            </w:pPr>
            <w:r>
              <w:rPr>
                <w:rFonts w:ascii="Verdana" w:cs="Verdana" w:eastAsia="Verdana" w:hAnsi="Verdana"/>
                <w:sz w:val="16"/>
                <w:szCs w:val="16"/>
                <w:color w:val="214E93"/>
              </w:rPr>
              <w:t>20,402</w:t>
            </w:r>
          </w:p>
        </w:tc>
        <w:tc>
          <w:tcPr>
            <w:tcW w:w="220" w:type="dxa"/>
            <w:vAlign w:val="bottom"/>
          </w:tcPr>
          <w:p>
            <w:pPr>
              <w:spacing w:after="0"/>
              <w:rPr>
                <w:sz w:val="20"/>
                <w:szCs w:val="20"/>
                <w:color w:val="auto"/>
              </w:rPr>
            </w:pPr>
          </w:p>
        </w:tc>
        <w:tc>
          <w:tcPr>
            <w:tcW w:w="1240" w:type="dxa"/>
            <w:vAlign w:val="bottom"/>
          </w:tcPr>
          <w:p>
            <w:pPr>
              <w:jc w:val="right"/>
              <w:ind w:right="45"/>
              <w:spacing w:after="0"/>
              <w:rPr>
                <w:sz w:val="20"/>
                <w:szCs w:val="20"/>
                <w:color w:val="auto"/>
              </w:rPr>
            </w:pPr>
            <w:r>
              <w:rPr>
                <w:rFonts w:ascii="Verdana" w:cs="Verdana" w:eastAsia="Verdana" w:hAnsi="Verdana"/>
                <w:sz w:val="16"/>
                <w:szCs w:val="16"/>
                <w:color w:val="214E93"/>
              </w:rPr>
              <w:t>38.28</w:t>
            </w:r>
          </w:p>
        </w:tc>
        <w:tc>
          <w:tcPr>
            <w:tcW w:w="1460" w:type="dxa"/>
            <w:vAlign w:val="bottom"/>
          </w:tcPr>
          <w:p>
            <w:pPr>
              <w:jc w:val="right"/>
              <w:ind w:right="47"/>
              <w:spacing w:after="0"/>
              <w:rPr>
                <w:sz w:val="20"/>
                <w:szCs w:val="20"/>
                <w:color w:val="auto"/>
              </w:rPr>
            </w:pPr>
            <w:r>
              <w:rPr>
                <w:rFonts w:ascii="Verdana" w:cs="Verdana" w:eastAsia="Verdana" w:hAnsi="Verdana"/>
                <w:sz w:val="16"/>
                <w:szCs w:val="16"/>
                <w:color w:val="214E93"/>
              </w:rPr>
              <w:t>20,000</w:t>
            </w:r>
          </w:p>
        </w:tc>
        <w:tc>
          <w:tcPr>
            <w:tcW w:w="1400" w:type="dxa"/>
            <w:vAlign w:val="bottom"/>
          </w:tcPr>
          <w:p>
            <w:pPr>
              <w:jc w:val="right"/>
              <w:ind w:right="9"/>
              <w:spacing w:after="0"/>
              <w:rPr>
                <w:sz w:val="20"/>
                <w:szCs w:val="20"/>
                <w:color w:val="auto"/>
              </w:rPr>
            </w:pPr>
            <w:r>
              <w:rPr>
                <w:rFonts w:ascii="Verdana" w:cs="Verdana" w:eastAsia="Verdana" w:hAnsi="Verdana"/>
                <w:sz w:val="16"/>
                <w:szCs w:val="16"/>
                <w:color w:val="214E93"/>
              </w:rPr>
              <w:t>344,150</w:t>
            </w:r>
          </w:p>
        </w:tc>
      </w:tr>
      <w:tr>
        <w:trPr>
          <w:trHeight w:val="242"/>
        </w:trPr>
        <w:tc>
          <w:tcPr>
            <w:tcW w:w="368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December 1, 2025 to December 31, 2025</w:t>
            </w:r>
          </w:p>
        </w:tc>
        <w:tc>
          <w:tcPr>
            <w:tcW w:w="1560" w:type="dxa"/>
            <w:vAlign w:val="bottom"/>
            <w:tcBorders>
              <w:bottom w:val="single" w:sz="8" w:color="auto"/>
            </w:tcBorders>
          </w:tcPr>
          <w:p>
            <w:pPr>
              <w:jc w:val="right"/>
              <w:ind w:right="25"/>
              <w:spacing w:after="0"/>
              <w:rPr>
                <w:sz w:val="20"/>
                <w:szCs w:val="20"/>
                <w:color w:val="auto"/>
              </w:rPr>
            </w:pPr>
            <w:r>
              <w:rPr>
                <w:rFonts w:ascii="Verdana" w:cs="Verdana" w:eastAsia="Verdana" w:hAnsi="Verdana"/>
                <w:sz w:val="16"/>
                <w:szCs w:val="16"/>
                <w:color w:val="214E93"/>
              </w:rPr>
              <w:t>394</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5"/>
              <w:spacing w:after="0"/>
              <w:rPr>
                <w:sz w:val="20"/>
                <w:szCs w:val="20"/>
                <w:color w:val="auto"/>
              </w:rPr>
            </w:pPr>
            <w:r>
              <w:rPr>
                <w:rFonts w:ascii="Verdana" w:cs="Verdana" w:eastAsia="Verdana" w:hAnsi="Verdana"/>
                <w:sz w:val="16"/>
                <w:szCs w:val="16"/>
                <w:color w:val="214E93"/>
              </w:rPr>
              <w:t>45.22</w:t>
            </w:r>
          </w:p>
        </w:tc>
        <w:tc>
          <w:tcPr>
            <w:tcW w:w="1460" w:type="dxa"/>
            <w:vAlign w:val="bottom"/>
            <w:tcBorders>
              <w:bottom w:val="single" w:sz="8" w:color="auto"/>
            </w:tcBorders>
          </w:tcPr>
          <w:p>
            <w:pPr>
              <w:jc w:val="right"/>
              <w:ind w:right="67"/>
              <w:spacing w:after="0"/>
              <w:rPr>
                <w:sz w:val="20"/>
                <w:szCs w:val="20"/>
                <w:color w:val="auto"/>
              </w:rPr>
            </w:pPr>
            <w:r>
              <w:rPr>
                <w:rFonts w:ascii="Verdana" w:cs="Verdana" w:eastAsia="Verdana" w:hAnsi="Verdana"/>
                <w:sz w:val="16"/>
                <w:szCs w:val="16"/>
                <w:color w:val="214E93"/>
              </w:rPr>
              <w:t>—</w:t>
            </w:r>
          </w:p>
        </w:tc>
        <w:tc>
          <w:tcPr>
            <w:tcW w:w="1400" w:type="dxa"/>
            <w:vAlign w:val="bottom"/>
            <w:tcBorders>
              <w:bottom w:val="single" w:sz="8" w:color="auto"/>
            </w:tcBorders>
          </w:tcPr>
          <w:p>
            <w:pPr>
              <w:jc w:val="right"/>
              <w:ind w:right="9"/>
              <w:spacing w:after="0"/>
              <w:rPr>
                <w:sz w:val="20"/>
                <w:szCs w:val="20"/>
                <w:color w:val="auto"/>
              </w:rPr>
            </w:pPr>
            <w:r>
              <w:rPr>
                <w:rFonts w:ascii="Verdana" w:cs="Verdana" w:eastAsia="Verdana" w:hAnsi="Verdana"/>
                <w:sz w:val="16"/>
                <w:szCs w:val="16"/>
                <w:color w:val="214E93"/>
              </w:rPr>
              <w:t>344,150</w:t>
            </w:r>
          </w:p>
        </w:tc>
      </w:tr>
      <w:tr>
        <w:trPr>
          <w:trHeight w:val="217"/>
        </w:trPr>
        <w:tc>
          <w:tcPr>
            <w:tcW w:w="3680" w:type="dxa"/>
            <w:vAlign w:val="bottom"/>
            <w:tcBorders>
              <w:bottom w:val="single" w:sz="8" w:color="214E93"/>
            </w:tcBorders>
          </w:tcPr>
          <w:p>
            <w:pPr>
              <w:ind w:left="160"/>
              <w:spacing w:after="0"/>
              <w:rPr>
                <w:sz w:val="20"/>
                <w:szCs w:val="20"/>
                <w:color w:val="auto"/>
              </w:rPr>
            </w:pPr>
            <w:r>
              <w:rPr>
                <w:rFonts w:ascii="Verdana" w:cs="Verdana" w:eastAsia="Verdana" w:hAnsi="Verdana"/>
                <w:sz w:val="16"/>
                <w:szCs w:val="16"/>
                <w:color w:val="auto"/>
              </w:rPr>
              <w:t>Total</w:t>
            </w:r>
          </w:p>
        </w:tc>
        <w:tc>
          <w:tcPr>
            <w:tcW w:w="1560" w:type="dxa"/>
            <w:vAlign w:val="bottom"/>
            <w:tcBorders>
              <w:bottom w:val="single" w:sz="8" w:color="214E93"/>
            </w:tcBorders>
          </w:tcPr>
          <w:p>
            <w:pPr>
              <w:jc w:val="right"/>
              <w:ind w:right="25"/>
              <w:spacing w:after="0"/>
              <w:rPr>
                <w:sz w:val="20"/>
                <w:szCs w:val="20"/>
                <w:color w:val="auto"/>
              </w:rPr>
            </w:pPr>
            <w:r>
              <w:rPr>
                <w:rFonts w:ascii="Verdana" w:cs="Verdana" w:eastAsia="Verdana" w:hAnsi="Verdana"/>
                <w:sz w:val="16"/>
                <w:szCs w:val="16"/>
                <w:color w:val="214E93"/>
              </w:rPr>
              <w:t>119,360</w:t>
            </w:r>
          </w:p>
        </w:tc>
        <w:tc>
          <w:tcPr>
            <w:tcW w:w="22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w:t>
            </w:r>
          </w:p>
        </w:tc>
        <w:tc>
          <w:tcPr>
            <w:tcW w:w="1240" w:type="dxa"/>
            <w:vAlign w:val="bottom"/>
            <w:tcBorders>
              <w:bottom w:val="single" w:sz="8" w:color="214E93"/>
            </w:tcBorders>
          </w:tcPr>
          <w:p>
            <w:pPr>
              <w:jc w:val="right"/>
              <w:ind w:right="45"/>
              <w:spacing w:after="0"/>
              <w:rPr>
                <w:sz w:val="20"/>
                <w:szCs w:val="20"/>
                <w:color w:val="auto"/>
              </w:rPr>
            </w:pPr>
            <w:r>
              <w:rPr>
                <w:rFonts w:ascii="Verdana" w:cs="Verdana" w:eastAsia="Verdana" w:hAnsi="Verdana"/>
                <w:sz w:val="16"/>
                <w:szCs w:val="16"/>
                <w:color w:val="214E93"/>
              </w:rPr>
              <w:t>43.36</w:t>
            </w:r>
          </w:p>
        </w:tc>
        <w:tc>
          <w:tcPr>
            <w:tcW w:w="1460" w:type="dxa"/>
            <w:vAlign w:val="bottom"/>
            <w:tcBorders>
              <w:bottom w:val="single" w:sz="8" w:color="214E93"/>
            </w:tcBorders>
          </w:tcPr>
          <w:p>
            <w:pPr>
              <w:jc w:val="right"/>
              <w:ind w:right="47"/>
              <w:spacing w:after="0"/>
              <w:rPr>
                <w:sz w:val="20"/>
                <w:szCs w:val="20"/>
                <w:color w:val="auto"/>
              </w:rPr>
            </w:pPr>
            <w:r>
              <w:rPr>
                <w:rFonts w:ascii="Verdana" w:cs="Verdana" w:eastAsia="Verdana" w:hAnsi="Verdana"/>
                <w:sz w:val="16"/>
                <w:szCs w:val="16"/>
                <w:color w:val="214E93"/>
              </w:rPr>
              <w:t>118,500</w:t>
            </w:r>
          </w:p>
        </w:tc>
        <w:tc>
          <w:tcPr>
            <w:tcW w:w="1400" w:type="dxa"/>
            <w:vAlign w:val="bottom"/>
            <w:tcBorders>
              <w:bottom w:val="single" w:sz="8" w:color="214E93"/>
            </w:tcBorders>
          </w:tcPr>
          <w:p>
            <w:pPr>
              <w:spacing w:after="0"/>
              <w:rPr>
                <w:sz w:val="18"/>
                <w:szCs w:val="18"/>
                <w:color w:val="auto"/>
              </w:rPr>
            </w:pPr>
          </w:p>
        </w:tc>
      </w:tr>
    </w:tbl>
    <w:p>
      <w:pPr>
        <w:spacing w:after="0" w:line="20" w:lineRule="exact"/>
        <w:rPr>
          <w:sz w:val="20"/>
          <w:szCs w:val="20"/>
          <w:color w:val="auto"/>
        </w:rPr>
      </w:pPr>
    </w:p>
    <w:p>
      <w:pPr>
        <w:spacing w:after="0" w:line="119" w:lineRule="exact"/>
        <w:rPr>
          <w:sz w:val="20"/>
          <w:szCs w:val="20"/>
          <w:color w:val="auto"/>
        </w:rPr>
      </w:pPr>
    </w:p>
    <w:p>
      <w:pPr>
        <w:ind w:left="480" w:right="740" w:hanging="350"/>
        <w:spacing w:after="0" w:line="226" w:lineRule="auto"/>
        <w:tabs>
          <w:tab w:leader="none" w:pos="480" w:val="left"/>
        </w:tabs>
        <w:numPr>
          <w:ilvl w:val="0"/>
          <w:numId w:val="63"/>
        </w:numPr>
        <w:rPr>
          <w:rFonts w:ascii="Calibri" w:cs="Calibri" w:eastAsia="Calibri" w:hAnsi="Calibri"/>
          <w:sz w:val="14"/>
          <w:szCs w:val="14"/>
          <w:color w:val="auto"/>
        </w:rPr>
      </w:pPr>
      <w:r>
        <w:rPr>
          <w:rFonts w:ascii="Calibri" w:cs="Calibri" w:eastAsia="Calibri" w:hAnsi="Calibri"/>
          <w:sz w:val="14"/>
          <w:szCs w:val="14"/>
          <w:color w:val="auto"/>
        </w:rPr>
        <w:t>During the fourth quarter of 2025, the Company re-acquired 860 shares of common stock from certain employees in order to satisfy the employees’ tax liability in connection with the vesting of restricted stock.</w:t>
      </w:r>
    </w:p>
    <w:p>
      <w:pPr>
        <w:spacing w:after="0" w:line="87" w:lineRule="exact"/>
        <w:rPr>
          <w:rFonts w:ascii="Calibri" w:cs="Calibri" w:eastAsia="Calibri" w:hAnsi="Calibri"/>
          <w:sz w:val="14"/>
          <w:szCs w:val="14"/>
          <w:color w:val="auto"/>
        </w:rPr>
      </w:pPr>
    </w:p>
    <w:p>
      <w:pPr>
        <w:ind w:left="480" w:right="800" w:hanging="350"/>
        <w:spacing w:after="0" w:line="228" w:lineRule="auto"/>
        <w:tabs>
          <w:tab w:leader="none" w:pos="480" w:val="left"/>
        </w:tabs>
        <w:numPr>
          <w:ilvl w:val="0"/>
          <w:numId w:val="63"/>
        </w:numPr>
        <w:rPr>
          <w:rFonts w:ascii="Calibri" w:cs="Calibri" w:eastAsia="Calibri" w:hAnsi="Calibri"/>
          <w:sz w:val="14"/>
          <w:szCs w:val="14"/>
          <w:color w:val="auto"/>
        </w:rPr>
      </w:pPr>
      <w:r>
        <w:rPr>
          <w:rFonts w:ascii="Calibri" w:cs="Calibri" w:eastAsia="Calibri" w:hAnsi="Calibri"/>
          <w:sz w:val="14"/>
          <w:szCs w:val="14"/>
          <w:color w:val="auto"/>
        </w:rPr>
        <w:t>In April 2025, the Board approved the Share Repurchase Program authorizing the repurchase of up to $400.0 million of common stock. During the fourth quarter of 2025, the Company repurchased 118,500 shares of common stock under the Share Repurchase Program at a weighted average price of $43.38 per common share for a total cost of $5.1 million, excluding accrued excise tax of $0.1 million.</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880"/>
        <w:spacing w:after="0"/>
        <w:rPr>
          <w:sz w:val="20"/>
          <w:szCs w:val="20"/>
          <w:color w:val="auto"/>
        </w:rPr>
      </w:pPr>
      <w:r>
        <w:rPr>
          <w:rFonts w:ascii="Calibri" w:cs="Calibri" w:eastAsia="Calibri" w:hAnsi="Calibri"/>
          <w:sz w:val="17"/>
          <w:szCs w:val="17"/>
          <w:color w:val="auto"/>
        </w:rPr>
        <w:t>FORM 10-K PART II</w:t>
      </w:r>
    </w:p>
    <w:p>
      <w:pPr>
        <w:sectPr>
          <w:pgSz w:w="11880" w:h="15480" w:orient="portrait"/>
          <w:cols w:equalWidth="0" w:num="1">
            <w:col w:w="10280"/>
          </w:cols>
          <w:pgMar w:left="1160" w:top="498" w:right="440" w:bottom="0" w:gutter="0" w:footer="0" w:header="0"/>
          <w:type w:val="continuous"/>
        </w:sectPr>
      </w:pPr>
    </w:p>
    <w:bookmarkStart w:id="95" w:name="page96"/>
    <w:bookmarkEnd w:id="95"/>
    <w:p>
      <w:pPr>
        <w:spacing w:after="0"/>
        <w:tabs>
          <w:tab w:leader="none" w:pos="740" w:val="left"/>
        </w:tabs>
        <w:rPr>
          <w:sz w:val="20"/>
          <w:szCs w:val="20"/>
          <w:color w:val="auto"/>
        </w:rPr>
      </w:pPr>
      <w:r>
        <w:rPr>
          <w:rFonts w:ascii="Calibri" w:cs="Calibri" w:eastAsia="Calibri" w:hAnsi="Calibri"/>
          <w:sz w:val="18"/>
          <w:szCs w:val="18"/>
          <w:color w:val="auto"/>
        </w:rPr>
        <w:t>82</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20"/>
        <w:spacing w:after="0"/>
        <w:rPr>
          <w:sz w:val="20"/>
          <w:szCs w:val="20"/>
          <w:color w:val="auto"/>
        </w:rPr>
      </w:pPr>
      <w:r>
        <w:rPr>
          <w:rFonts w:ascii="Verdana" w:cs="Verdana" w:eastAsia="Verdana" w:hAnsi="Verdana"/>
          <w:sz w:val="20"/>
          <w:szCs w:val="20"/>
          <w:color w:val="214E93"/>
        </w:rPr>
        <w:t>ITEM 6. SELECTED FINANCIAL DATA.</w:t>
      </w:r>
    </w:p>
    <w:p>
      <w:pPr>
        <w:spacing w:after="0" w:line="192" w:lineRule="exact"/>
        <w:rPr>
          <w:sz w:val="20"/>
          <w:szCs w:val="20"/>
          <w:color w:val="auto"/>
        </w:rPr>
      </w:pPr>
    </w:p>
    <w:p>
      <w:pPr>
        <w:ind w:left="960"/>
        <w:spacing w:after="0"/>
        <w:rPr>
          <w:sz w:val="20"/>
          <w:szCs w:val="20"/>
          <w:color w:val="auto"/>
        </w:rPr>
      </w:pPr>
      <w:r>
        <w:rPr>
          <w:rFonts w:ascii="Calibri" w:cs="Calibri" w:eastAsia="Calibri" w:hAnsi="Calibri"/>
          <w:sz w:val="18"/>
          <w:szCs w:val="18"/>
          <w:color w:val="auto"/>
        </w:rPr>
        <w:t>Not applicable.</w:t>
      </w:r>
    </w:p>
    <w:p>
      <w:pPr>
        <w:spacing w:after="0" w:line="239" w:lineRule="exact"/>
        <w:rPr>
          <w:sz w:val="20"/>
          <w:szCs w:val="20"/>
          <w:color w:val="auto"/>
        </w:rPr>
      </w:pPr>
    </w:p>
    <w:p>
      <w:pPr>
        <w:ind w:left="720" w:right="880"/>
        <w:spacing w:after="0" w:line="254" w:lineRule="auto"/>
        <w:rPr>
          <w:sz w:val="20"/>
          <w:szCs w:val="20"/>
          <w:color w:val="auto"/>
        </w:rPr>
      </w:pPr>
      <w:r>
        <w:rPr>
          <w:rFonts w:ascii="Verdana" w:cs="Verdana" w:eastAsia="Verdana" w:hAnsi="Verdana"/>
          <w:sz w:val="20"/>
          <w:szCs w:val="20"/>
          <w:color w:val="214E93"/>
        </w:rPr>
        <w:t>ITEM 7. MANAGEMENT’S DISCUSSION AND ANALYSIS OF FINANCIAL CONDITION AND RESULTS OF OPERATIONS.</w:t>
      </w:r>
    </w:p>
    <w:p>
      <w:pPr>
        <w:spacing w:after="0" w:line="174" w:lineRule="exact"/>
        <w:rPr>
          <w:sz w:val="20"/>
          <w:szCs w:val="20"/>
          <w:color w:val="auto"/>
        </w:rPr>
      </w:pPr>
    </w:p>
    <w:p>
      <w:pPr>
        <w:ind w:left="720" w:firstLine="241"/>
        <w:spacing w:after="0" w:line="269" w:lineRule="auto"/>
        <w:rPr>
          <w:sz w:val="20"/>
          <w:szCs w:val="20"/>
          <w:color w:val="auto"/>
        </w:rPr>
      </w:pPr>
      <w:r>
        <w:rPr>
          <w:rFonts w:ascii="Calibri" w:cs="Calibri" w:eastAsia="Calibri" w:hAnsi="Calibri"/>
          <w:sz w:val="18"/>
          <w:szCs w:val="18"/>
          <w:i w:val="1"/>
          <w:iCs w:val="1"/>
          <w:color w:val="auto"/>
        </w:rPr>
        <w:t>The following discussion and analysis of our financial condition and results of operations should be read in conjunction with our consolidated financial statements and related notes appearing elsewhere in this Annual Report. The following discussion contains “forward-looking statements” that reflect our future plans, estimates, beliefs and expected performance. We caution that assumptions, expectations, projections, intentions or beliefs about future events may, and often do, vary from actual results, and the differences can be material. Some of the key factors that could cause actual results to vary from our expectations include changes in oil or natural gas prices, the timing of planned capital expenditures, availability under our Credit Agreement and the San Mateo Credit Facility, uncertainties in estimating proved reserves and forecasting production results, operational factors affecting our oil and natural gas and midstream operations, the condition of the capital markets generally, as well as our ability to access them, the proximity to and capacity of gathering, processing and transportation facilities, availability and integration of acquisitions, uncertainties regarding environmental regulations or litigation and other legal or regulatory developments affecting our business, as well as those factors discussed below and elsewhere in this Annual Report, all of which are difficult to predict. In light of these risks, uncertainties and assumptions, the forward-looking events discussed may not occur. See “Cautionary Note Regarding Forward-Looking Statements.”</w:t>
      </w:r>
    </w:p>
    <w:p>
      <w:pPr>
        <w:spacing w:after="0" w:line="218" w:lineRule="exact"/>
        <w:rPr>
          <w:sz w:val="20"/>
          <w:szCs w:val="20"/>
          <w:color w:val="auto"/>
        </w:rPr>
      </w:pPr>
    </w:p>
    <w:p>
      <w:pPr>
        <w:ind w:left="720" w:right="20" w:firstLine="241"/>
        <w:spacing w:after="0" w:line="261" w:lineRule="auto"/>
        <w:rPr>
          <w:sz w:val="20"/>
          <w:szCs w:val="20"/>
          <w:color w:val="auto"/>
        </w:rPr>
      </w:pPr>
      <w:r>
        <w:rPr>
          <w:rFonts w:ascii="Calibri" w:cs="Calibri" w:eastAsia="Calibri" w:hAnsi="Calibri"/>
          <w:sz w:val="18"/>
          <w:szCs w:val="18"/>
          <w:i w:val="1"/>
          <w:iCs w:val="1"/>
          <w:color w:val="auto"/>
        </w:rPr>
        <w:t>For a comparison of our results of operations for the years ended December 31, 2024 and December 31, 2023, see “Management’s Discussion and Analysis of Financial Condition and Results of Operations” in our Annual Report on Form 10-K for the year ended December 31, 2024, filed with the SEC on February 25, 2025.</w:t>
      </w:r>
    </w:p>
    <w:p>
      <w:pPr>
        <w:spacing w:after="0" w:line="221" w:lineRule="exact"/>
        <w:rPr>
          <w:sz w:val="20"/>
          <w:szCs w:val="20"/>
          <w:color w:val="auto"/>
        </w:rPr>
      </w:pPr>
    </w:p>
    <w:p>
      <w:pPr>
        <w:ind w:left="720"/>
        <w:spacing w:after="0"/>
        <w:rPr>
          <w:sz w:val="20"/>
          <w:szCs w:val="20"/>
          <w:color w:val="auto"/>
        </w:rPr>
      </w:pPr>
      <w:r>
        <w:rPr>
          <w:rFonts w:ascii="Verdana" w:cs="Verdana" w:eastAsia="Verdana" w:hAnsi="Verdana"/>
          <w:sz w:val="20"/>
          <w:szCs w:val="20"/>
          <w:color w:val="214E93"/>
        </w:rPr>
        <w:t>OVERVIEW</w:t>
      </w:r>
    </w:p>
    <w:p>
      <w:pPr>
        <w:spacing w:after="0" w:line="209" w:lineRule="exact"/>
        <w:rPr>
          <w:sz w:val="20"/>
          <w:szCs w:val="20"/>
          <w:color w:val="auto"/>
        </w:rPr>
      </w:pPr>
    </w:p>
    <w:p>
      <w:pPr>
        <w:ind w:left="720" w:right="100" w:firstLine="241"/>
        <w:spacing w:after="0" w:line="285" w:lineRule="auto"/>
        <w:rPr>
          <w:sz w:val="20"/>
          <w:szCs w:val="20"/>
          <w:color w:val="auto"/>
        </w:rPr>
      </w:pPr>
      <w:r>
        <w:rPr>
          <w:rFonts w:ascii="Calibri" w:cs="Calibri" w:eastAsia="Calibri" w:hAnsi="Calibri"/>
          <w:sz w:val="17"/>
          <w:szCs w:val="17"/>
          <w:color w:val="auto"/>
        </w:rPr>
        <w:t>We are an independent energy company founded in July 2003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have operations in the Haynesville shale and Cotton Valley plays in Northwest Louisiana. Additionally, we conduct midstream operations in support of, and to provide flow assurance for, our exploration, development and production operations and provide natural gas processing, oil transportation services, oil, natural gas and produced water gathering services and produced water disposal services to third parties.</w:t>
      </w:r>
    </w:p>
    <w:p>
      <w:pPr>
        <w:spacing w:after="0" w:line="193" w:lineRule="exact"/>
        <w:rPr>
          <w:sz w:val="20"/>
          <w:szCs w:val="20"/>
          <w:color w:val="auto"/>
        </w:rPr>
      </w:pPr>
    </w:p>
    <w:p>
      <w:pPr>
        <w:ind w:left="720"/>
        <w:spacing w:after="0"/>
        <w:rPr>
          <w:sz w:val="20"/>
          <w:szCs w:val="20"/>
          <w:color w:val="auto"/>
        </w:rPr>
      </w:pPr>
      <w:r>
        <w:rPr>
          <w:rFonts w:ascii="Calibri" w:cs="Calibri" w:eastAsia="Calibri" w:hAnsi="Calibri"/>
          <w:sz w:val="19"/>
          <w:szCs w:val="19"/>
          <w:i w:val="1"/>
          <w:iCs w:val="1"/>
          <w:color w:val="214E93"/>
        </w:rPr>
        <w:t>2025 Operational Highlights</w:t>
      </w:r>
    </w:p>
    <w:p>
      <w:pPr>
        <w:spacing w:after="0" w:line="208" w:lineRule="exact"/>
        <w:rPr>
          <w:sz w:val="20"/>
          <w:szCs w:val="20"/>
          <w:color w:val="auto"/>
        </w:rPr>
      </w:pPr>
    </w:p>
    <w:p>
      <w:pPr>
        <w:ind w:left="720" w:firstLine="241"/>
        <w:spacing w:after="0" w:line="264" w:lineRule="auto"/>
        <w:rPr>
          <w:sz w:val="20"/>
          <w:szCs w:val="20"/>
          <w:color w:val="auto"/>
        </w:rPr>
      </w:pPr>
      <w:r>
        <w:rPr>
          <w:rFonts w:ascii="Calibri" w:cs="Calibri" w:eastAsia="Calibri" w:hAnsi="Calibri"/>
          <w:sz w:val="18"/>
          <w:szCs w:val="18"/>
          <w:color w:val="auto"/>
        </w:rPr>
        <w:t>During the year ended December 31, 2025, we completed and began producing oil and natural gas from 151 gross (121.2 net) operated and 107 gross (8.1 net) horizontal non-operated wells in the Delaware Basin. We did not conduct any operated drilling and completion activities on our leasehold properties in Northwest Louisiana during 2025, although we did participate in the drilling and completion of 12 gross (0.1 net) non-operated Haynesville shale wells that began producing in 2025.</w:t>
      </w:r>
    </w:p>
    <w:p>
      <w:pPr>
        <w:spacing w:after="0" w:line="221" w:lineRule="exact"/>
        <w:rPr>
          <w:sz w:val="20"/>
          <w:szCs w:val="20"/>
          <w:color w:val="auto"/>
        </w:rPr>
      </w:pPr>
    </w:p>
    <w:p>
      <w:pPr>
        <w:ind w:left="720" w:right="20" w:firstLine="241"/>
        <w:spacing w:after="0" w:line="264" w:lineRule="auto"/>
        <w:rPr>
          <w:sz w:val="20"/>
          <w:szCs w:val="20"/>
          <w:color w:val="auto"/>
        </w:rPr>
      </w:pPr>
      <w:r>
        <w:rPr>
          <w:rFonts w:ascii="Calibri" w:cs="Calibri" w:eastAsia="Calibri" w:hAnsi="Calibri"/>
          <w:sz w:val="18"/>
          <w:szCs w:val="18"/>
          <w:color w:val="auto"/>
        </w:rPr>
        <w:t>We have built significant optionality into our drilling program, which should generally allow us to decrease or increase the number of rigs we operate as necessary based on changing commodity prices and other factors. We were able to achieve D/C/E capital expenditures for 2025 of $1.53 billion, which was within our estimated range for 2025 D/C/E capital expenditures of $1.47 to $1.55 billion, as provided on October 21, 2025.</w:t>
      </w:r>
    </w:p>
    <w:p>
      <w:pPr>
        <w:spacing w:after="0" w:line="221" w:lineRule="exact"/>
        <w:rPr>
          <w:sz w:val="20"/>
          <w:szCs w:val="20"/>
          <w:color w:val="auto"/>
        </w:rPr>
      </w:pPr>
    </w:p>
    <w:p>
      <w:pPr>
        <w:ind w:left="720" w:right="140" w:firstLine="241"/>
        <w:spacing w:after="0" w:line="264" w:lineRule="auto"/>
        <w:rPr>
          <w:sz w:val="20"/>
          <w:szCs w:val="20"/>
          <w:color w:val="auto"/>
        </w:rPr>
      </w:pPr>
      <w:r>
        <w:rPr>
          <w:rFonts w:ascii="Calibri" w:cs="Calibri" w:eastAsia="Calibri" w:hAnsi="Calibri"/>
          <w:sz w:val="18"/>
          <w:szCs w:val="18"/>
          <w:color w:val="auto"/>
        </w:rPr>
        <w:t>Substantially all of our 2025 capital expenditures were directed to (i) the further delineation and development of our leasehold position in the Delaware Basin, (ii) the acquisition, construction, installation and maintenance of midstream assets, (iii) our participation in non-operated wells and (iv) the acquisition of additional producing properties, leasehold and mineral interests prospective for the Wolfcamp, Bone Spring and other liquids-rich plays in the Delaware Basin.</w:t>
      </w:r>
    </w:p>
    <w:p>
      <w:pPr>
        <w:spacing w:after="0" w:line="221" w:lineRule="exact"/>
        <w:rPr>
          <w:sz w:val="20"/>
          <w:szCs w:val="20"/>
          <w:color w:val="auto"/>
        </w:rPr>
      </w:pPr>
    </w:p>
    <w:p>
      <w:pPr>
        <w:ind w:left="720" w:right="20" w:firstLine="241"/>
        <w:spacing w:after="0" w:line="281" w:lineRule="auto"/>
        <w:rPr>
          <w:sz w:val="20"/>
          <w:szCs w:val="20"/>
          <w:color w:val="auto"/>
        </w:rPr>
      </w:pPr>
      <w:r>
        <w:rPr>
          <w:rFonts w:ascii="Calibri" w:cs="Calibri" w:eastAsia="Calibri" w:hAnsi="Calibri"/>
          <w:sz w:val="17"/>
          <w:szCs w:val="17"/>
          <w:color w:val="auto"/>
        </w:rPr>
        <w:t>Our average daily oil equivalent production for the year ended December 31, 2025 was 207,070 BOE per day, including 119,723 Bbl of oil per day and 524.1 MMcf of natural gas per day, an increase of 21%, as compared to 170,751 BOE per day, including 99,808</w:t>
      </w:r>
    </w:p>
    <w:p>
      <w:pPr>
        <w:sectPr>
          <w:pgSz w:w="11880" w:h="15480" w:orient="portrait"/>
          <w:cols w:equalWidth="0" w:num="1">
            <w:col w:w="10220"/>
          </w:cols>
          <w:pgMar w:left="440" w:top="498"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II</w:t>
      </w:r>
    </w:p>
    <w:p>
      <w:pPr>
        <w:sectPr>
          <w:pgSz w:w="11880" w:h="15480" w:orient="portrait"/>
          <w:cols w:equalWidth="0" w:num="1">
            <w:col w:w="10220"/>
          </w:cols>
          <w:pgMar w:left="440" w:top="498" w:right="1220" w:bottom="0" w:gutter="0" w:footer="0" w:header="0"/>
          <w:type w:val="continuous"/>
        </w:sectPr>
      </w:pPr>
    </w:p>
    <w:bookmarkStart w:id="96" w:name="page97"/>
    <w:bookmarkEnd w:id="96"/>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83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800"/>
        <w:spacing w:after="0" w:line="267" w:lineRule="auto"/>
        <w:rPr>
          <w:sz w:val="20"/>
          <w:szCs w:val="20"/>
          <w:color w:val="auto"/>
        </w:rPr>
      </w:pPr>
      <w:r>
        <w:rPr>
          <w:rFonts w:ascii="Calibri" w:cs="Calibri" w:eastAsia="Calibri" w:hAnsi="Calibri"/>
          <w:sz w:val="18"/>
          <w:szCs w:val="18"/>
          <w:color w:val="auto"/>
        </w:rPr>
        <w:t>Bbl of oil per day and 425.7 MMcf of natural gas per day, for the year ended December 31, 2024. Our average daily oil production in 2025 was 119,723 Bbl of oil per day, an increase of 20%, as compared to 99,808 Bbl of oil per day in 2024. This increase in oil production was primarily a result of our ongoing delineation and development drilling activities in the Delaware Basin. Our average daily natural gas production for the year ended December 31, 2025 was 524.1 MMcf per day, an increase of 23%, as compared to 425.7 MMcf per day in 2024. This increase in natural gas production was primarily attributable to our ongoing delineation and development drilling activities in the Delaware Basin. Oil production comprised 58% of our total production for each of the years ended December 31, 2025 and 2024.</w:t>
      </w:r>
    </w:p>
    <w:p>
      <w:pPr>
        <w:spacing w:after="0" w:line="220" w:lineRule="exact"/>
        <w:rPr>
          <w:sz w:val="20"/>
          <w:szCs w:val="20"/>
          <w:color w:val="auto"/>
        </w:rPr>
      </w:pPr>
    </w:p>
    <w:p>
      <w:pPr>
        <w:ind w:right="780" w:firstLine="241"/>
        <w:spacing w:after="0" w:line="268" w:lineRule="auto"/>
        <w:rPr>
          <w:sz w:val="20"/>
          <w:szCs w:val="20"/>
          <w:color w:val="auto"/>
        </w:rPr>
      </w:pPr>
      <w:r>
        <w:rPr>
          <w:rFonts w:ascii="Calibri" w:cs="Calibri" w:eastAsia="Calibri" w:hAnsi="Calibri"/>
          <w:sz w:val="18"/>
          <w:szCs w:val="18"/>
          <w:color w:val="auto"/>
        </w:rPr>
        <w:t>For the year ended December 31, 2025, our oil and natural gas revenues were $3.24 billion, an increase of 3% from oil and natural gas revenues of $3.14 billion for the year ended December 31, 2024. Our oil revenues increased 2% to $2.84 billion, as compared to $2.77 billion for the year ended December 31, 2024. The increase in oil revenues resulted from the 20% increase in our oil production noted above, which was partially offset by a 14% decrease in the weighted average oil price realized for the year ended December 31, 2025 to $64.99 per Bbl, as compared to $75.89 per Bbl realized for the year ended December 31, 2024. Our natural gas revenues increased 7% to $398.6 million, as compared to $371.5 million for the year ended December 31, 2024. The increase in natural gas revenues resulted from a 23% increase in natural gas production for the year ended December 31, 2025 noted above, which was partially offset by a decrease in our weighted average realized natural gas price of $2.08 per Mcf in 2025, as compared to $2.38 per Mcf in 2024.</w:t>
      </w:r>
    </w:p>
    <w:p>
      <w:pPr>
        <w:spacing w:after="0" w:line="219" w:lineRule="exact"/>
        <w:rPr>
          <w:sz w:val="20"/>
          <w:szCs w:val="20"/>
          <w:color w:val="auto"/>
        </w:rPr>
      </w:pPr>
    </w:p>
    <w:p>
      <w:pPr>
        <w:ind w:right="740" w:firstLine="241"/>
        <w:spacing w:after="0" w:line="267" w:lineRule="auto"/>
        <w:rPr>
          <w:sz w:val="20"/>
          <w:szCs w:val="20"/>
          <w:color w:val="auto"/>
        </w:rPr>
      </w:pPr>
      <w:r>
        <w:rPr>
          <w:rFonts w:ascii="Calibri" w:cs="Calibri" w:eastAsia="Calibri" w:hAnsi="Calibri"/>
          <w:sz w:val="18"/>
          <w:szCs w:val="18"/>
          <w:color w:val="auto"/>
        </w:rPr>
        <w:t>We reported net income attributable to Matador shareholders of approximately $759.2 million, or $6.09 per diluted common share, on a GAAP basis for the year ended December 31, 2025, as compared to a net income of $885.3 million, or $7.14 per diluted common share, for the year ended December 31, 2024. Adjusted EBITDA for the year ended December 31, 2025 was $2.29 billion, as compared to Adjusted EBITDA of $2.30 billion for the year ended December 31, 2024. Adjusted EBITDA is a non-GAAP financial measure. For a definition of Adjusted EBITDA and a reconciliation of Adjusted EBITDA to our net income and net cash provided by operating activities, see “Management’s Discussion and Analysis of Financial Condition and Results of Operations—Non-GAAP Financial Measures.”</w:t>
      </w:r>
    </w:p>
    <w:p>
      <w:pPr>
        <w:spacing w:after="0" w:line="203" w:lineRule="exact"/>
        <w:rPr>
          <w:sz w:val="20"/>
          <w:szCs w:val="20"/>
          <w:color w:val="auto"/>
        </w:rPr>
      </w:pPr>
    </w:p>
    <w:p>
      <w:pPr>
        <w:ind w:left="240"/>
        <w:spacing w:after="0"/>
        <w:rPr>
          <w:sz w:val="20"/>
          <w:szCs w:val="20"/>
          <w:color w:val="auto"/>
        </w:rPr>
      </w:pPr>
      <w:r>
        <w:rPr>
          <w:rFonts w:ascii="Calibri" w:cs="Calibri" w:eastAsia="Calibri" w:hAnsi="Calibri"/>
          <w:sz w:val="18"/>
          <w:szCs w:val="18"/>
          <w:color w:val="auto"/>
        </w:rPr>
        <w:t>At December 31, 2025, our estimated total proved oil and natural gas reserves were 667.0 million BOE, including 376.0 million</w:t>
      </w:r>
    </w:p>
    <w:p>
      <w:pPr>
        <w:spacing w:after="0" w:line="28" w:lineRule="exact"/>
        <w:rPr>
          <w:sz w:val="20"/>
          <w:szCs w:val="20"/>
          <w:color w:val="auto"/>
        </w:rPr>
      </w:pPr>
    </w:p>
    <w:p>
      <w:pPr>
        <w:spacing w:after="0"/>
        <w:rPr>
          <w:sz w:val="20"/>
          <w:szCs w:val="20"/>
          <w:color w:val="auto"/>
        </w:rPr>
      </w:pPr>
      <w:r>
        <w:rPr>
          <w:rFonts w:ascii="Calibri" w:cs="Calibri" w:eastAsia="Calibri" w:hAnsi="Calibri"/>
          <w:sz w:val="18"/>
          <w:szCs w:val="18"/>
          <w:color w:val="auto"/>
        </w:rPr>
        <w:t>Bbl of oil and 1.75 Tcf of natural gas, with a Standardized Measure of $6.99 billion and a PV-10 of $8.24 billion. At December 31,</w:t>
      </w:r>
    </w:p>
    <w:p>
      <w:pPr>
        <w:spacing w:after="0" w:line="28" w:lineRule="exact"/>
        <w:rPr>
          <w:sz w:val="20"/>
          <w:szCs w:val="20"/>
          <w:color w:val="auto"/>
        </w:rPr>
      </w:pPr>
    </w:p>
    <w:p>
      <w:pPr>
        <w:spacing w:after="0"/>
        <w:rPr>
          <w:sz w:val="20"/>
          <w:szCs w:val="20"/>
          <w:color w:val="auto"/>
        </w:rPr>
      </w:pPr>
      <w:r>
        <w:rPr>
          <w:rFonts w:ascii="Calibri" w:cs="Calibri" w:eastAsia="Calibri" w:hAnsi="Calibri"/>
          <w:sz w:val="18"/>
          <w:szCs w:val="18"/>
          <w:color w:val="auto"/>
        </w:rPr>
        <w:t>2024, our estimated total proved oil and natural gas reserves were 611.5 million BOE, including 361.8 million Bbl of oil and 1.50 Tcf</w:t>
      </w:r>
    </w:p>
    <w:p>
      <w:pPr>
        <w:spacing w:after="0" w:line="28" w:lineRule="exact"/>
        <w:rPr>
          <w:sz w:val="20"/>
          <w:szCs w:val="20"/>
          <w:color w:val="auto"/>
        </w:rPr>
      </w:pPr>
    </w:p>
    <w:p>
      <w:pPr>
        <w:spacing w:after="0"/>
        <w:rPr>
          <w:sz w:val="20"/>
          <w:szCs w:val="20"/>
          <w:color w:val="auto"/>
        </w:rPr>
      </w:pPr>
      <w:r>
        <w:rPr>
          <w:rFonts w:ascii="Calibri" w:cs="Calibri" w:eastAsia="Calibri" w:hAnsi="Calibri"/>
          <w:sz w:val="18"/>
          <w:szCs w:val="18"/>
          <w:color w:val="auto"/>
        </w:rPr>
        <w:t>of natural gas, with a Standardized Measure of $7.38 billion and a PV-10 of $9.23 billion. Our estimated total proved reserves of</w:t>
      </w:r>
    </w:p>
    <w:p>
      <w:pPr>
        <w:spacing w:after="0" w:line="28" w:lineRule="exact"/>
        <w:rPr>
          <w:sz w:val="20"/>
          <w:szCs w:val="20"/>
          <w:color w:val="auto"/>
        </w:rPr>
      </w:pPr>
    </w:p>
    <w:p>
      <w:pPr>
        <w:spacing w:after="0"/>
        <w:rPr>
          <w:sz w:val="20"/>
          <w:szCs w:val="20"/>
          <w:color w:val="auto"/>
        </w:rPr>
      </w:pPr>
      <w:r>
        <w:rPr>
          <w:rFonts w:ascii="Calibri" w:cs="Calibri" w:eastAsia="Calibri" w:hAnsi="Calibri"/>
          <w:sz w:val="18"/>
          <w:szCs w:val="18"/>
          <w:color w:val="auto"/>
        </w:rPr>
        <w:t>667.0 million BOE at December 31, 2025 represented a 9% year-over-year increase, as compared to 611.5 million BOE at</w:t>
      </w:r>
    </w:p>
    <w:p>
      <w:pPr>
        <w:spacing w:after="0" w:line="28" w:lineRule="exact"/>
        <w:rPr>
          <w:sz w:val="20"/>
          <w:szCs w:val="20"/>
          <w:color w:val="auto"/>
        </w:rPr>
      </w:pPr>
    </w:p>
    <w:p>
      <w:pPr>
        <w:spacing w:after="0"/>
        <w:rPr>
          <w:sz w:val="20"/>
          <w:szCs w:val="20"/>
          <w:color w:val="auto"/>
        </w:rPr>
      </w:pPr>
      <w:r>
        <w:rPr>
          <w:rFonts w:ascii="Calibri" w:cs="Calibri" w:eastAsia="Calibri" w:hAnsi="Calibri"/>
          <w:sz w:val="18"/>
          <w:szCs w:val="18"/>
          <w:color w:val="auto"/>
        </w:rPr>
        <w:t>December 31, 2024. Our estimated proved oil reserves were 376.0 million Bbl at December 31, 2025, an increase of 4%, as compared</w:t>
      </w:r>
    </w:p>
    <w:p>
      <w:pPr>
        <w:spacing w:after="0" w:line="28" w:lineRule="exact"/>
        <w:rPr>
          <w:sz w:val="20"/>
          <w:szCs w:val="20"/>
          <w:color w:val="auto"/>
        </w:rPr>
      </w:pPr>
    </w:p>
    <w:p>
      <w:pPr>
        <w:spacing w:after="0"/>
        <w:rPr>
          <w:sz w:val="20"/>
          <w:szCs w:val="20"/>
          <w:color w:val="auto"/>
        </w:rPr>
      </w:pPr>
      <w:r>
        <w:rPr>
          <w:rFonts w:ascii="Calibri" w:cs="Calibri" w:eastAsia="Calibri" w:hAnsi="Calibri"/>
          <w:sz w:val="18"/>
          <w:szCs w:val="18"/>
          <w:color w:val="auto"/>
        </w:rPr>
        <w:t>to 361.8 million Bbl at December 31, 2024, and our estimated proved natural gas reserves were 1.75 Tcf at December 31, 2025, an</w:t>
      </w:r>
    </w:p>
    <w:p>
      <w:pPr>
        <w:spacing w:after="0" w:line="28" w:lineRule="exact"/>
        <w:rPr>
          <w:sz w:val="20"/>
          <w:szCs w:val="20"/>
          <w:color w:val="auto"/>
        </w:rPr>
      </w:pPr>
    </w:p>
    <w:p>
      <w:pPr>
        <w:spacing w:after="0"/>
        <w:rPr>
          <w:sz w:val="20"/>
          <w:szCs w:val="20"/>
          <w:color w:val="auto"/>
        </w:rPr>
      </w:pPr>
      <w:r>
        <w:rPr>
          <w:rFonts w:ascii="Calibri" w:cs="Calibri" w:eastAsia="Calibri" w:hAnsi="Calibri"/>
          <w:sz w:val="18"/>
          <w:szCs w:val="18"/>
          <w:color w:val="auto"/>
        </w:rPr>
        <w:t>increase of 17%, as compared to 1.50 Tcf at December 31, 2024. Proved oil reserves comprised 56% of our total proved reserves at</w:t>
      </w:r>
    </w:p>
    <w:p>
      <w:pPr>
        <w:spacing w:after="0" w:line="28" w:lineRule="exact"/>
        <w:rPr>
          <w:sz w:val="20"/>
          <w:szCs w:val="20"/>
          <w:color w:val="auto"/>
        </w:rPr>
      </w:pPr>
    </w:p>
    <w:p>
      <w:pPr>
        <w:spacing w:after="0"/>
        <w:rPr>
          <w:sz w:val="20"/>
          <w:szCs w:val="20"/>
          <w:color w:val="auto"/>
        </w:rPr>
      </w:pPr>
      <w:r>
        <w:rPr>
          <w:rFonts w:ascii="Calibri" w:cs="Calibri" w:eastAsia="Calibri" w:hAnsi="Calibri"/>
          <w:sz w:val="18"/>
          <w:szCs w:val="18"/>
          <w:color w:val="auto"/>
        </w:rPr>
        <w:t>December 31, 2025, as compared to 59% at December 31, 2024. At December 31, 2025, 61% of our total proved reserves were</w:t>
      </w:r>
    </w:p>
    <w:p>
      <w:pPr>
        <w:spacing w:after="0" w:line="28" w:lineRule="exact"/>
        <w:rPr>
          <w:sz w:val="20"/>
          <w:szCs w:val="20"/>
          <w:color w:val="auto"/>
        </w:rPr>
      </w:pPr>
    </w:p>
    <w:p>
      <w:pPr>
        <w:spacing w:after="0"/>
        <w:rPr>
          <w:sz w:val="20"/>
          <w:szCs w:val="20"/>
          <w:color w:val="auto"/>
        </w:rPr>
      </w:pPr>
      <w:r>
        <w:rPr>
          <w:rFonts w:ascii="Calibri" w:cs="Calibri" w:eastAsia="Calibri" w:hAnsi="Calibri"/>
          <w:sz w:val="18"/>
          <w:szCs w:val="18"/>
          <w:color w:val="auto"/>
        </w:rPr>
        <w:t>proved developed reserves, as compared to 60% at December 31, 2024. At December 31, 2025, approximately 99% of our total</w:t>
      </w:r>
    </w:p>
    <w:p>
      <w:pPr>
        <w:spacing w:after="0" w:line="28" w:lineRule="exact"/>
        <w:rPr>
          <w:sz w:val="20"/>
          <w:szCs w:val="20"/>
          <w:color w:val="auto"/>
        </w:rPr>
      </w:pPr>
    </w:p>
    <w:p>
      <w:pPr>
        <w:spacing w:after="0"/>
        <w:rPr>
          <w:sz w:val="20"/>
          <w:szCs w:val="20"/>
          <w:color w:val="auto"/>
        </w:rPr>
      </w:pPr>
      <w:r>
        <w:rPr>
          <w:rFonts w:ascii="Calibri" w:cs="Calibri" w:eastAsia="Calibri" w:hAnsi="Calibri"/>
          <w:sz w:val="18"/>
          <w:szCs w:val="18"/>
          <w:color w:val="auto"/>
        </w:rPr>
        <w:t>proved oil and natural gas reserves were attributable to our properties in the Delaware Basin.</w:t>
      </w:r>
    </w:p>
    <w:p>
      <w:pPr>
        <w:spacing w:after="0" w:line="241" w:lineRule="exact"/>
        <w:rPr>
          <w:sz w:val="20"/>
          <w:szCs w:val="20"/>
          <w:color w:val="auto"/>
        </w:rPr>
      </w:pPr>
    </w:p>
    <w:p>
      <w:pPr>
        <w:ind w:right="720" w:firstLine="241"/>
        <w:spacing w:after="0" w:line="267" w:lineRule="auto"/>
        <w:rPr>
          <w:sz w:val="20"/>
          <w:szCs w:val="20"/>
          <w:color w:val="auto"/>
        </w:rPr>
      </w:pPr>
      <w:r>
        <w:rPr>
          <w:rFonts w:ascii="Calibri" w:cs="Calibri" w:eastAsia="Calibri" w:hAnsi="Calibri"/>
          <w:sz w:val="18"/>
          <w:szCs w:val="18"/>
          <w:color w:val="auto"/>
        </w:rPr>
        <w:t>At both December 31, 2025 and December 31, 2024, these reserves estimates were based on evaluations prepared by our engineering staff and have been audited for their reasonableness and conformance with SEC guidelines by Netherland, Sewell &amp; Associates, Inc., independent reservoir engineers. Standardized Measure represents the present value of estimated future net cash flows from proved reserves, less estimated future development, production, plugging and abandonment costs and income tax expenses, discounted at 10% to reflect the timing of future cash flows. Standardized Measure is not an estimate of the fair market value of our properties. PV-10 is a non-GAAP financial measure. For a reconciliation of PV-10 to Standardized Measure, see “Business —Estimated Proved Reserves.”</w:t>
      </w:r>
    </w:p>
    <w:p>
      <w:pPr>
        <w:spacing w:after="0" w:line="207"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2025 Midstream Highlights</w:t>
      </w:r>
    </w:p>
    <w:p>
      <w:pPr>
        <w:spacing w:after="0" w:line="208" w:lineRule="exact"/>
        <w:rPr>
          <w:sz w:val="20"/>
          <w:szCs w:val="20"/>
          <w:color w:val="auto"/>
        </w:rPr>
      </w:pPr>
    </w:p>
    <w:p>
      <w:pPr>
        <w:jc w:val="both"/>
        <w:ind w:right="1260" w:firstLine="241"/>
        <w:spacing w:after="0" w:line="283" w:lineRule="auto"/>
        <w:rPr>
          <w:sz w:val="20"/>
          <w:szCs w:val="20"/>
          <w:color w:val="auto"/>
        </w:rPr>
      </w:pPr>
      <w:r>
        <w:rPr>
          <w:rFonts w:ascii="Calibri" w:cs="Calibri" w:eastAsia="Calibri" w:hAnsi="Calibri"/>
          <w:sz w:val="17"/>
          <w:szCs w:val="17"/>
          <w:color w:val="auto"/>
        </w:rPr>
        <w:t>San Mateo achieved strong operating results in 2025, highlighted by (i) free cash flow generation, (ii) increased midstream services revenues and (iii) increased natural gas gathering and processing volumes, produced water handling volumes and oil gathering and transportation volumes. San Mateo is owned 51% by us and 49% by our joint venture partner, Five Point.</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880"/>
        <w:spacing w:after="0"/>
        <w:rPr>
          <w:sz w:val="20"/>
          <w:szCs w:val="20"/>
          <w:color w:val="auto"/>
        </w:rPr>
      </w:pPr>
      <w:r>
        <w:rPr>
          <w:rFonts w:ascii="Calibri" w:cs="Calibri" w:eastAsia="Calibri" w:hAnsi="Calibri"/>
          <w:sz w:val="17"/>
          <w:szCs w:val="17"/>
          <w:color w:val="auto"/>
        </w:rPr>
        <w:t>FORM 10-K PART II</w:t>
      </w:r>
    </w:p>
    <w:p>
      <w:pPr>
        <w:sectPr>
          <w:pgSz w:w="11880" w:h="15480" w:orient="portrait"/>
          <w:cols w:equalWidth="0" w:num="1">
            <w:col w:w="10280"/>
          </w:cols>
          <w:pgMar w:left="1160" w:top="498" w:right="440" w:bottom="0" w:gutter="0" w:footer="0" w:header="0"/>
          <w:type w:val="continuous"/>
        </w:sectPr>
      </w:pPr>
    </w:p>
    <w:bookmarkStart w:id="97" w:name="page98"/>
    <w:bookmarkEnd w:id="97"/>
    <w:p>
      <w:pPr>
        <w:spacing w:after="0"/>
        <w:tabs>
          <w:tab w:leader="none" w:pos="740" w:val="left"/>
        </w:tabs>
        <w:rPr>
          <w:sz w:val="20"/>
          <w:szCs w:val="20"/>
          <w:color w:val="auto"/>
        </w:rPr>
      </w:pPr>
      <w:r>
        <w:rPr>
          <w:rFonts w:ascii="Calibri" w:cs="Calibri" w:eastAsia="Calibri" w:hAnsi="Calibri"/>
          <w:sz w:val="18"/>
          <w:szCs w:val="18"/>
          <w:color w:val="auto"/>
        </w:rPr>
        <w:t>84</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20" w:right="100" w:firstLine="241"/>
        <w:spacing w:after="0" w:line="261" w:lineRule="auto"/>
        <w:rPr>
          <w:sz w:val="20"/>
          <w:szCs w:val="20"/>
          <w:color w:val="auto"/>
        </w:rPr>
      </w:pPr>
      <w:r>
        <w:rPr>
          <w:rFonts w:ascii="Calibri" w:cs="Calibri" w:eastAsia="Calibri" w:hAnsi="Calibri"/>
          <w:sz w:val="18"/>
          <w:szCs w:val="18"/>
          <w:color w:val="auto"/>
        </w:rPr>
        <w:t>During the second quarter of 2025, San Mateo completed the expansion of the Marlan Processing Plant by adding a designed inlet capacity of 200 MMcf per day, including a nitrogen rejection unit and additional related facilities. This expansion increased the total capacity of the Marlan Processing Plant to 260 MMcf of natural gas per day.</w:t>
      </w:r>
    </w:p>
    <w:p>
      <w:pPr>
        <w:spacing w:after="0" w:line="206" w:lineRule="exact"/>
        <w:rPr>
          <w:sz w:val="20"/>
          <w:szCs w:val="20"/>
          <w:color w:val="auto"/>
        </w:rPr>
      </w:pPr>
    </w:p>
    <w:p>
      <w:pPr>
        <w:ind w:left="960"/>
        <w:spacing w:after="0"/>
        <w:rPr>
          <w:sz w:val="20"/>
          <w:szCs w:val="20"/>
          <w:color w:val="auto"/>
        </w:rPr>
      </w:pPr>
      <w:r>
        <w:rPr>
          <w:rFonts w:ascii="Calibri" w:cs="Calibri" w:eastAsia="Calibri" w:hAnsi="Calibri"/>
          <w:sz w:val="18"/>
          <w:szCs w:val="18"/>
          <w:color w:val="auto"/>
        </w:rPr>
        <w:t>At December 31, 2025, San Mateo’s midstream system included:</w:t>
      </w:r>
    </w:p>
    <w:p>
      <w:pPr>
        <w:spacing w:after="0" w:line="241" w:lineRule="exact"/>
        <w:rPr>
          <w:sz w:val="20"/>
          <w:szCs w:val="20"/>
          <w:color w:val="auto"/>
        </w:rPr>
      </w:pPr>
    </w:p>
    <w:p>
      <w:pPr>
        <w:ind w:left="1160" w:right="60" w:hanging="354"/>
        <w:spacing w:after="0" w:line="264" w:lineRule="auto"/>
        <w:tabs>
          <w:tab w:leader="none" w:pos="1160" w:val="left"/>
        </w:tabs>
        <w:numPr>
          <w:ilvl w:val="0"/>
          <w:numId w:val="64"/>
        </w:numPr>
        <w:rPr>
          <w:rFonts w:ascii="Calibri" w:cs="Calibri" w:eastAsia="Calibri" w:hAnsi="Calibri"/>
          <w:sz w:val="18"/>
          <w:szCs w:val="18"/>
          <w:color w:val="214E93"/>
        </w:rPr>
      </w:pPr>
      <w:r>
        <w:rPr>
          <w:rFonts w:ascii="Calibri" w:cs="Calibri" w:eastAsia="Calibri" w:hAnsi="Calibri"/>
          <w:sz w:val="18"/>
          <w:szCs w:val="18"/>
          <w:color w:val="214E93"/>
        </w:rPr>
        <w:t xml:space="preserve">Natural Gas Assets: </w:t>
      </w:r>
      <w:r>
        <w:rPr>
          <w:rFonts w:ascii="Calibri" w:cs="Calibri" w:eastAsia="Calibri" w:hAnsi="Calibri"/>
          <w:sz w:val="18"/>
          <w:szCs w:val="18"/>
          <w:color w:val="000000"/>
        </w:rPr>
        <w:t>720 MMcf per day of designed natural gas cryogenic processing capacity and approximately 340 miles of</w:t>
      </w:r>
      <w:r>
        <w:rPr>
          <w:rFonts w:ascii="Calibri" w:cs="Calibri" w:eastAsia="Calibri" w:hAnsi="Calibri"/>
          <w:sz w:val="18"/>
          <w:szCs w:val="18"/>
          <w:color w:val="214E93"/>
        </w:rPr>
        <w:t xml:space="preserve"> </w:t>
      </w:r>
      <w:r>
        <w:rPr>
          <w:rFonts w:ascii="Calibri" w:cs="Calibri" w:eastAsia="Calibri" w:hAnsi="Calibri"/>
          <w:sz w:val="18"/>
          <w:szCs w:val="18"/>
          <w:color w:val="000000"/>
        </w:rPr>
        <w:t>natural gas gathering pipelines in Eddy and Lea Counties, New Mexico and Loving County, Texas, including 43 miles of large diameter natural gas gathering lines spanning from the Stateline asset area to the Greater Stebbins Area in Eddy County, New Mexico;</w:t>
      </w:r>
    </w:p>
    <w:p>
      <w:pPr>
        <w:spacing w:after="0" w:line="220" w:lineRule="exact"/>
        <w:rPr>
          <w:rFonts w:ascii="Calibri" w:cs="Calibri" w:eastAsia="Calibri" w:hAnsi="Calibri"/>
          <w:sz w:val="18"/>
          <w:szCs w:val="18"/>
          <w:color w:val="214E93"/>
        </w:rPr>
      </w:pPr>
    </w:p>
    <w:p>
      <w:pPr>
        <w:ind w:left="1160" w:right="120" w:hanging="354"/>
        <w:spacing w:after="0" w:line="261" w:lineRule="auto"/>
        <w:tabs>
          <w:tab w:leader="none" w:pos="1160" w:val="left"/>
        </w:tabs>
        <w:numPr>
          <w:ilvl w:val="0"/>
          <w:numId w:val="64"/>
        </w:numPr>
        <w:rPr>
          <w:rFonts w:ascii="Calibri" w:cs="Calibri" w:eastAsia="Calibri" w:hAnsi="Calibri"/>
          <w:sz w:val="18"/>
          <w:szCs w:val="18"/>
          <w:color w:val="214E93"/>
        </w:rPr>
      </w:pPr>
      <w:r>
        <w:rPr>
          <w:rFonts w:ascii="Calibri" w:cs="Calibri" w:eastAsia="Calibri" w:hAnsi="Calibri"/>
          <w:sz w:val="18"/>
          <w:szCs w:val="18"/>
          <w:color w:val="214E93"/>
        </w:rPr>
        <w:t xml:space="preserve">Oil Assets: </w:t>
      </w:r>
      <w:r>
        <w:rPr>
          <w:rFonts w:ascii="Calibri" w:cs="Calibri" w:eastAsia="Calibri" w:hAnsi="Calibri"/>
          <w:sz w:val="18"/>
          <w:szCs w:val="18"/>
          <w:color w:val="000000"/>
        </w:rPr>
        <w:t>three oil CDPs with over 100,000 Bbl of designed oil throughput capacity and approximately 120 miles of oil</w:t>
      </w:r>
      <w:r>
        <w:rPr>
          <w:rFonts w:ascii="Calibri" w:cs="Calibri" w:eastAsia="Calibri" w:hAnsi="Calibri"/>
          <w:sz w:val="18"/>
          <w:szCs w:val="18"/>
          <w:color w:val="214E93"/>
        </w:rPr>
        <w:t xml:space="preserve"> </w:t>
      </w:r>
      <w:r>
        <w:rPr>
          <w:rFonts w:ascii="Calibri" w:cs="Calibri" w:eastAsia="Calibri" w:hAnsi="Calibri"/>
          <w:sz w:val="18"/>
          <w:szCs w:val="18"/>
          <w:color w:val="000000"/>
        </w:rPr>
        <w:t>gathering and transportation pipelines in Eddy County, New Mexico and Loving County, Texas, as well as a 400,000-acre joint development area with Plains to gather our and other producers’ oil production in Eddy County, New Mexico; and</w:t>
      </w:r>
    </w:p>
    <w:p>
      <w:pPr>
        <w:spacing w:after="0" w:line="222" w:lineRule="exact"/>
        <w:rPr>
          <w:rFonts w:ascii="Calibri" w:cs="Calibri" w:eastAsia="Calibri" w:hAnsi="Calibri"/>
          <w:sz w:val="18"/>
          <w:szCs w:val="18"/>
          <w:color w:val="214E93"/>
        </w:rPr>
      </w:pPr>
    </w:p>
    <w:p>
      <w:pPr>
        <w:ind w:left="1160" w:right="160" w:hanging="354"/>
        <w:spacing w:after="0" w:line="261" w:lineRule="auto"/>
        <w:tabs>
          <w:tab w:leader="none" w:pos="1160" w:val="left"/>
        </w:tabs>
        <w:numPr>
          <w:ilvl w:val="0"/>
          <w:numId w:val="64"/>
        </w:numPr>
        <w:rPr>
          <w:rFonts w:ascii="Calibri" w:cs="Calibri" w:eastAsia="Calibri" w:hAnsi="Calibri"/>
          <w:sz w:val="18"/>
          <w:szCs w:val="18"/>
          <w:color w:val="214E93"/>
        </w:rPr>
      </w:pPr>
      <w:r>
        <w:rPr>
          <w:rFonts w:ascii="Calibri" w:cs="Calibri" w:eastAsia="Calibri" w:hAnsi="Calibri"/>
          <w:sz w:val="18"/>
          <w:szCs w:val="18"/>
          <w:color w:val="214E93"/>
        </w:rPr>
        <w:t xml:space="preserve">Produced Water Assets: </w:t>
      </w:r>
      <w:r>
        <w:rPr>
          <w:rFonts w:ascii="Calibri" w:cs="Calibri" w:eastAsia="Calibri" w:hAnsi="Calibri"/>
          <w:sz w:val="18"/>
          <w:szCs w:val="18"/>
          <w:color w:val="000000"/>
        </w:rPr>
        <w:t>16 commercial salt water disposal wells and associated facilities with designed produced water</w:t>
      </w:r>
      <w:r>
        <w:rPr>
          <w:rFonts w:ascii="Calibri" w:cs="Calibri" w:eastAsia="Calibri" w:hAnsi="Calibri"/>
          <w:sz w:val="18"/>
          <w:szCs w:val="18"/>
          <w:color w:val="214E93"/>
        </w:rPr>
        <w:t xml:space="preserve"> </w:t>
      </w:r>
      <w:r>
        <w:rPr>
          <w:rFonts w:ascii="Calibri" w:cs="Calibri" w:eastAsia="Calibri" w:hAnsi="Calibri"/>
          <w:sz w:val="18"/>
          <w:szCs w:val="18"/>
          <w:color w:val="000000"/>
        </w:rPr>
        <w:t>disposal capacity of 475,000 Bbl per day and approximately 195 miles of produced water gathering pipelines in Eddy County, New Mexico and Loving County, Texas.</w:t>
      </w:r>
    </w:p>
    <w:p>
      <w:pPr>
        <w:spacing w:after="0" w:line="209" w:lineRule="exact"/>
        <w:rPr>
          <w:sz w:val="20"/>
          <w:szCs w:val="20"/>
          <w:color w:val="auto"/>
        </w:rPr>
      </w:pPr>
    </w:p>
    <w:p>
      <w:pPr>
        <w:ind w:left="720"/>
        <w:spacing w:after="0"/>
        <w:rPr>
          <w:sz w:val="20"/>
          <w:szCs w:val="20"/>
          <w:color w:val="auto"/>
        </w:rPr>
      </w:pPr>
      <w:r>
        <w:rPr>
          <w:rFonts w:ascii="Calibri" w:cs="Calibri" w:eastAsia="Calibri" w:hAnsi="Calibri"/>
          <w:sz w:val="19"/>
          <w:szCs w:val="19"/>
          <w:i w:val="1"/>
          <w:iCs w:val="1"/>
          <w:color w:val="214E93"/>
        </w:rPr>
        <w:t>2026 Capital Expenditure Budget</w:t>
      </w:r>
    </w:p>
    <w:p>
      <w:pPr>
        <w:spacing w:after="0" w:line="208" w:lineRule="exact"/>
        <w:rPr>
          <w:sz w:val="20"/>
          <w:szCs w:val="20"/>
          <w:color w:val="auto"/>
        </w:rPr>
      </w:pPr>
    </w:p>
    <w:p>
      <w:pPr>
        <w:ind w:left="720" w:firstLine="241"/>
        <w:spacing w:after="0" w:line="268" w:lineRule="auto"/>
        <w:rPr>
          <w:sz w:val="20"/>
          <w:szCs w:val="20"/>
          <w:color w:val="auto"/>
        </w:rPr>
      </w:pPr>
      <w:r>
        <w:rPr>
          <w:rFonts w:ascii="Calibri" w:cs="Calibri" w:eastAsia="Calibri" w:hAnsi="Calibri"/>
          <w:sz w:val="18"/>
          <w:szCs w:val="18"/>
          <w:color w:val="auto"/>
        </w:rPr>
        <w:t>We expect that development of our Delaware Basin assets will be the primary focus of our operations and capital expenditures in 2026. We have built significant optionality into our drilling program, which should generally allow us to decrease or increase the number of rigs we operate as necessary based on changing commodity prices and other factors. Our 2026 estimated capital expenditure budget consists of $1.35 to $1.44 billion for D/C/E capital expenditures and $100.0 to $110.0 million for midstream capital expenditures, which reflects our proportionate share of San Mateo’s estimated 2026 capital expenditures as well as the estimated 2026 capital expenditures for other wholly-owned midstream projects. Substantially all of these 2026 estimated capital expenditures are expected to be allocated to (i) the further delineation and development of our leasehold position, (ii) the construction, installation and maintenance of midstream assets and (iii) our participation in certain non-operated well opportunities. Our 2026 Delaware Basin operated drilling program is expected to focus on the continued development of our various asset areas, with a continued emphasis on drilling and completing a high percentage of longer horizontal wells.</w:t>
      </w:r>
    </w:p>
    <w:p>
      <w:pPr>
        <w:spacing w:after="0" w:line="222" w:lineRule="exact"/>
        <w:rPr>
          <w:sz w:val="20"/>
          <w:szCs w:val="20"/>
          <w:color w:val="auto"/>
        </w:rPr>
      </w:pPr>
    </w:p>
    <w:p>
      <w:pPr>
        <w:ind w:left="720" w:firstLine="241"/>
        <w:spacing w:after="0" w:line="268" w:lineRule="auto"/>
        <w:rPr>
          <w:sz w:val="20"/>
          <w:szCs w:val="20"/>
          <w:color w:val="auto"/>
        </w:rPr>
      </w:pPr>
      <w:r>
        <w:rPr>
          <w:rFonts w:ascii="Calibri" w:cs="Calibri" w:eastAsia="Calibri" w:hAnsi="Calibri"/>
          <w:sz w:val="18"/>
          <w:szCs w:val="18"/>
          <w:color w:val="auto"/>
        </w:rPr>
        <w:t>At December 31, 2025, we had $15.3 million in cash (excluding restricted cash) and $1.80 billion in undrawn borrowing capacity under the Credit Agreement (after giving effect to outstanding letters of credit based upon our elected borrowing commitment of $2.25 billion). We expect to fund our 2026 capital expenditures through a combination of cash on hand, operating cash flows and performance incentives paid to us by Five Point in connection with San Mateo. If capital expenditures were to exceed our operating cash flows in 2026, we expect to fund any excess capital expenditures, including for other significant acquisitions, through borrowings under the Credit Agreement or the San Mateo Credit Facility (assuming availability under such facilities) or through other capital sources, including borrowings under expanded or additional credit arrangements, the sale or joint venture of midstream assets, oil and natural gas producing assets, leasehold interests or mineral interests and potential issuances of equity, debt or convertible securities, none of which may be available on satisfactory terms or at all.</w:t>
      </w:r>
    </w:p>
    <w:p>
      <w:pPr>
        <w:spacing w:after="0" w:line="219" w:lineRule="exact"/>
        <w:rPr>
          <w:sz w:val="20"/>
          <w:szCs w:val="20"/>
          <w:color w:val="auto"/>
        </w:rPr>
      </w:pPr>
    </w:p>
    <w:p>
      <w:pPr>
        <w:ind w:left="720" w:firstLine="241"/>
        <w:spacing w:after="0" w:line="266" w:lineRule="auto"/>
        <w:rPr>
          <w:sz w:val="20"/>
          <w:szCs w:val="20"/>
          <w:color w:val="auto"/>
        </w:rPr>
      </w:pPr>
      <w:r>
        <w:rPr>
          <w:rFonts w:ascii="Calibri" w:cs="Calibri" w:eastAsia="Calibri" w:hAnsi="Calibri"/>
          <w:sz w:val="18"/>
          <w:szCs w:val="18"/>
          <w:color w:val="auto"/>
        </w:rPr>
        <w:t>We intend to continue evaluating the opportunistic acquisition of producing properties, acreage and mineral interests and midstream assets, principally in the Delaware Basin. Purchase price multiples and per-acre prices can vary significantly based on the asset or prospect. As a result, it is difficult to estimate these capital expenditures with any degree of certainty; therefore, we have not provided estimated capital expenditures related to acquiring producing properties, acreage and mineral interests and midstream assets for 2026.</w:t>
      </w:r>
    </w:p>
    <w:p>
      <w:pPr>
        <w:spacing w:after="0" w:line="218" w:lineRule="exact"/>
        <w:rPr>
          <w:sz w:val="20"/>
          <w:szCs w:val="20"/>
          <w:color w:val="auto"/>
        </w:rPr>
      </w:pPr>
    </w:p>
    <w:p>
      <w:pPr>
        <w:ind w:left="720" w:right="20" w:firstLine="241"/>
        <w:spacing w:after="0" w:line="264" w:lineRule="auto"/>
        <w:rPr>
          <w:sz w:val="20"/>
          <w:szCs w:val="20"/>
          <w:color w:val="auto"/>
        </w:rPr>
      </w:pPr>
      <w:r>
        <w:rPr>
          <w:rFonts w:ascii="Calibri" w:cs="Calibri" w:eastAsia="Calibri" w:hAnsi="Calibri"/>
          <w:sz w:val="18"/>
          <w:szCs w:val="18"/>
          <w:color w:val="auto"/>
        </w:rPr>
        <w:t>As we have done in recent years, we may divest portions of our non-core assets as well as consider monetizing other assets, such as certain midstream assets and mineral and royalty interests, as value-creating opportunities arise. Divestitures and other types of monetizations are difficult to estimate with any degree of certainty. Therefore, we have not provided estimated proceeds related to divestitures or monetizations for 2026.</w:t>
      </w:r>
    </w:p>
    <w:p>
      <w:pPr>
        <w:sectPr>
          <w:pgSz w:w="11880" w:h="15480" w:orient="portrait"/>
          <w:cols w:equalWidth="0" w:num="1">
            <w:col w:w="10260"/>
          </w:cols>
          <w:pgMar w:left="440" w:top="49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II</w:t>
      </w:r>
    </w:p>
    <w:p>
      <w:pPr>
        <w:sectPr>
          <w:pgSz w:w="11880" w:h="15480" w:orient="portrait"/>
          <w:cols w:equalWidth="0" w:num="1">
            <w:col w:w="10260"/>
          </w:cols>
          <w:pgMar w:left="440" w:top="498" w:right="1180" w:bottom="0" w:gutter="0" w:footer="0" w:header="0"/>
          <w:type w:val="continuous"/>
        </w:sectPr>
      </w:pPr>
    </w:p>
    <w:bookmarkStart w:id="98" w:name="page99"/>
    <w:bookmarkEnd w:id="98"/>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85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Verdana" w:cs="Verdana" w:eastAsia="Verdana" w:hAnsi="Verdana"/>
          <w:sz w:val="20"/>
          <w:szCs w:val="20"/>
          <w:color w:val="214E93"/>
        </w:rPr>
        <w:t>REVENUES</w:t>
      </w:r>
    </w:p>
    <w:p>
      <w:pPr>
        <w:spacing w:after="0" w:line="192" w:lineRule="exact"/>
        <w:rPr>
          <w:sz w:val="20"/>
          <w:szCs w:val="20"/>
          <w:color w:val="auto"/>
        </w:rPr>
      </w:pPr>
    </w:p>
    <w:p>
      <w:pPr>
        <w:ind w:left="240"/>
        <w:spacing w:after="0"/>
        <w:rPr>
          <w:sz w:val="20"/>
          <w:szCs w:val="20"/>
          <w:color w:val="auto"/>
        </w:rPr>
      </w:pPr>
      <w:r>
        <w:rPr>
          <w:rFonts w:ascii="Calibri" w:cs="Calibri" w:eastAsia="Calibri" w:hAnsi="Calibri"/>
          <w:sz w:val="18"/>
          <w:szCs w:val="18"/>
          <w:color w:val="auto"/>
        </w:rPr>
        <w:t>The following table summarizes our revenues and production data for the periods indicated.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20" w:type="dxa"/>
            <w:vAlign w:val="bottom"/>
          </w:tcPr>
          <w:p>
            <w:pPr>
              <w:spacing w:after="0"/>
              <w:rPr>
                <w:sz w:val="16"/>
                <w:szCs w:val="16"/>
                <w:color w:val="auto"/>
              </w:rPr>
            </w:pPr>
          </w:p>
        </w:tc>
        <w:tc>
          <w:tcPr>
            <w:tcW w:w="280" w:type="dxa"/>
            <w:vAlign w:val="bottom"/>
            <w:tcBorders>
              <w:bottom w:val="single" w:sz="8" w:color="214E93"/>
            </w:tcBorders>
          </w:tcPr>
          <w:p>
            <w:pPr>
              <w:spacing w:after="0"/>
              <w:rPr>
                <w:sz w:val="16"/>
                <w:szCs w:val="16"/>
                <w:color w:val="auto"/>
              </w:rPr>
            </w:pPr>
          </w:p>
        </w:tc>
        <w:tc>
          <w:tcPr>
            <w:tcW w:w="2760" w:type="dxa"/>
            <w:vAlign w:val="bottom"/>
            <w:tcBorders>
              <w:bottom w:val="single" w:sz="8" w:color="214E93"/>
            </w:tcBorders>
            <w:gridSpan w:val="4"/>
          </w:tcPr>
          <w:p>
            <w:pPr>
              <w:jc w:val="right"/>
              <w:ind w:right="41"/>
              <w:spacing w:after="0"/>
              <w:rPr>
                <w:sz w:val="20"/>
                <w:szCs w:val="20"/>
                <w:color w:val="auto"/>
              </w:rPr>
            </w:pPr>
            <w:r>
              <w:rPr>
                <w:rFonts w:ascii="Verdana" w:cs="Verdana" w:eastAsia="Verdana" w:hAnsi="Verdana"/>
                <w:sz w:val="14"/>
                <w:szCs w:val="14"/>
                <w:color w:val="auto"/>
              </w:rPr>
              <w:t>Year Ended December 31,</w:t>
            </w:r>
          </w:p>
        </w:tc>
        <w:tc>
          <w:tcPr>
            <w:tcW w:w="1000" w:type="dxa"/>
            <w:vAlign w:val="bottom"/>
            <w:tcBorders>
              <w:bottom w:val="single" w:sz="8" w:color="214E93"/>
            </w:tcBorders>
          </w:tcPr>
          <w:p>
            <w:pPr>
              <w:spacing w:after="0"/>
              <w:rPr>
                <w:sz w:val="16"/>
                <w:szCs w:val="16"/>
                <w:color w:val="auto"/>
              </w:rPr>
            </w:pPr>
          </w:p>
        </w:tc>
      </w:tr>
      <w:tr>
        <w:trPr>
          <w:trHeight w:val="201"/>
        </w:trPr>
        <w:tc>
          <w:tcPr>
            <w:tcW w:w="5520" w:type="dxa"/>
            <w:vAlign w:val="bottom"/>
            <w:tcBorders>
              <w:bottom w:val="single" w:sz="8" w:color="214E93"/>
            </w:tcBorders>
          </w:tcPr>
          <w:p>
            <w:pPr>
              <w:spacing w:after="0"/>
              <w:rPr>
                <w:sz w:val="17"/>
                <w:szCs w:val="17"/>
                <w:color w:val="auto"/>
              </w:rPr>
            </w:pPr>
          </w:p>
        </w:tc>
        <w:tc>
          <w:tcPr>
            <w:tcW w:w="280" w:type="dxa"/>
            <w:vAlign w:val="bottom"/>
            <w:tcBorders>
              <w:bottom w:val="single" w:sz="8" w:color="214E93"/>
            </w:tcBorders>
          </w:tcPr>
          <w:p>
            <w:pPr>
              <w:spacing w:after="0"/>
              <w:rPr>
                <w:sz w:val="17"/>
                <w:szCs w:val="17"/>
                <w:color w:val="auto"/>
              </w:rPr>
            </w:pPr>
          </w:p>
        </w:tc>
        <w:tc>
          <w:tcPr>
            <w:tcW w:w="1040" w:type="dxa"/>
            <w:vAlign w:val="bottom"/>
            <w:tcBorders>
              <w:bottom w:val="single" w:sz="8" w:color="214E93"/>
            </w:tcBorders>
          </w:tcPr>
          <w:p>
            <w:pPr>
              <w:jc w:val="right"/>
              <w:ind w:right="422"/>
              <w:spacing w:after="0"/>
              <w:rPr>
                <w:sz w:val="20"/>
                <w:szCs w:val="20"/>
                <w:color w:val="auto"/>
              </w:rPr>
            </w:pPr>
            <w:r>
              <w:rPr>
                <w:rFonts w:ascii="Verdana" w:cs="Verdana" w:eastAsia="Verdana" w:hAnsi="Verdana"/>
                <w:sz w:val="14"/>
                <w:szCs w:val="14"/>
                <w:color w:val="214E93"/>
              </w:rPr>
              <w:t>2025</w:t>
            </w:r>
          </w:p>
        </w:tc>
        <w:tc>
          <w:tcPr>
            <w:tcW w:w="320" w:type="dxa"/>
            <w:vAlign w:val="bottom"/>
            <w:tcBorders>
              <w:bottom w:val="single" w:sz="8" w:color="214E93"/>
            </w:tcBorders>
          </w:tcPr>
          <w:p>
            <w:pPr>
              <w:spacing w:after="0"/>
              <w:rPr>
                <w:sz w:val="17"/>
                <w:szCs w:val="17"/>
                <w:color w:val="auto"/>
              </w:rPr>
            </w:pPr>
          </w:p>
        </w:tc>
        <w:tc>
          <w:tcPr>
            <w:tcW w:w="1040" w:type="dxa"/>
            <w:vAlign w:val="bottom"/>
            <w:tcBorders>
              <w:bottom w:val="single" w:sz="8" w:color="214E93"/>
            </w:tcBorders>
          </w:tcPr>
          <w:p>
            <w:pPr>
              <w:jc w:val="right"/>
              <w:ind w:right="402"/>
              <w:spacing w:after="0"/>
              <w:rPr>
                <w:sz w:val="20"/>
                <w:szCs w:val="20"/>
                <w:color w:val="auto"/>
              </w:rPr>
            </w:pPr>
            <w:r>
              <w:rPr>
                <w:rFonts w:ascii="Verdana" w:cs="Verdana" w:eastAsia="Verdana" w:hAnsi="Verdana"/>
                <w:sz w:val="14"/>
                <w:szCs w:val="14"/>
                <w:color w:val="auto"/>
              </w:rPr>
              <w:t>2024</w:t>
            </w:r>
          </w:p>
        </w:tc>
        <w:tc>
          <w:tcPr>
            <w:tcW w:w="360" w:type="dxa"/>
            <w:vAlign w:val="bottom"/>
            <w:tcBorders>
              <w:bottom w:val="single" w:sz="8" w:color="214E93"/>
            </w:tcBorders>
          </w:tcPr>
          <w:p>
            <w:pPr>
              <w:spacing w:after="0"/>
              <w:rPr>
                <w:sz w:val="17"/>
                <w:szCs w:val="17"/>
                <w:color w:val="auto"/>
              </w:rPr>
            </w:pPr>
          </w:p>
        </w:tc>
        <w:tc>
          <w:tcPr>
            <w:tcW w:w="1000" w:type="dxa"/>
            <w:vAlign w:val="bottom"/>
            <w:tcBorders>
              <w:bottom w:val="single" w:sz="8" w:color="214E93"/>
            </w:tcBorders>
          </w:tcPr>
          <w:p>
            <w:pPr>
              <w:jc w:val="right"/>
              <w:ind w:right="402"/>
              <w:spacing w:after="0"/>
              <w:rPr>
                <w:sz w:val="20"/>
                <w:szCs w:val="20"/>
                <w:color w:val="auto"/>
              </w:rPr>
            </w:pPr>
            <w:r>
              <w:rPr>
                <w:rFonts w:ascii="Verdana" w:cs="Verdana" w:eastAsia="Verdana" w:hAnsi="Verdana"/>
                <w:sz w:val="14"/>
                <w:szCs w:val="14"/>
                <w:color w:val="auto"/>
              </w:rPr>
              <w:t>2023</w:t>
            </w:r>
          </w:p>
        </w:tc>
      </w:tr>
      <w:tr>
        <w:trPr>
          <w:trHeight w:val="218"/>
        </w:trPr>
        <w:tc>
          <w:tcPr>
            <w:tcW w:w="5520" w:type="dxa"/>
            <w:vAlign w:val="bottom"/>
          </w:tcPr>
          <w:p>
            <w:pPr>
              <w:ind w:left="40"/>
              <w:spacing w:after="0" w:line="218" w:lineRule="exact"/>
              <w:rPr>
                <w:sz w:val="20"/>
                <w:szCs w:val="20"/>
                <w:color w:val="auto"/>
              </w:rPr>
            </w:pPr>
            <w:r>
              <w:rPr>
                <w:rFonts w:ascii="Calibri" w:cs="Calibri" w:eastAsia="Calibri" w:hAnsi="Calibri"/>
                <w:sz w:val="19"/>
                <w:szCs w:val="19"/>
                <w:b w:val="1"/>
                <w:bCs w:val="1"/>
                <w:color w:val="214E93"/>
              </w:rPr>
              <w:t>Operating Data:</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95"/>
        </w:trPr>
        <w:tc>
          <w:tcPr>
            <w:tcW w:w="5520" w:type="dxa"/>
            <w:vAlign w:val="bottom"/>
          </w:tcPr>
          <w:p>
            <w:pPr>
              <w:ind w:left="40"/>
              <w:spacing w:after="0"/>
              <w:rPr>
                <w:sz w:val="20"/>
                <w:szCs w:val="20"/>
                <w:color w:val="auto"/>
              </w:rPr>
            </w:pPr>
            <w:r>
              <w:rPr>
                <w:rFonts w:ascii="Verdana" w:cs="Verdana" w:eastAsia="Verdana" w:hAnsi="Verdana"/>
                <w:sz w:val="16"/>
                <w:szCs w:val="16"/>
                <w:color w:val="auto"/>
              </w:rPr>
              <w:t>Revenues (in thousands):</w:t>
            </w:r>
            <w:r>
              <w:rPr>
                <w:rFonts w:ascii="Verdana" w:cs="Verdana" w:eastAsia="Verdana" w:hAnsi="Verdana"/>
                <w:sz w:val="20"/>
                <w:szCs w:val="20"/>
                <w:color w:val="auto"/>
                <w:vertAlign w:val="superscript"/>
              </w:rPr>
              <w:t>(1)</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4"/>
        </w:trPr>
        <w:tc>
          <w:tcPr>
            <w:tcW w:w="5520" w:type="dxa"/>
            <w:vAlign w:val="bottom"/>
          </w:tcPr>
          <w:p>
            <w:pPr>
              <w:ind w:left="160"/>
              <w:spacing w:after="0"/>
              <w:rPr>
                <w:sz w:val="20"/>
                <w:szCs w:val="20"/>
                <w:color w:val="auto"/>
              </w:rPr>
            </w:pPr>
            <w:r>
              <w:rPr>
                <w:rFonts w:ascii="Verdana" w:cs="Verdana" w:eastAsia="Verdana" w:hAnsi="Verdana"/>
                <w:sz w:val="16"/>
                <w:szCs w:val="16"/>
                <w:color w:val="auto"/>
              </w:rPr>
              <w:t>Oil</w:t>
            </w:r>
          </w:p>
        </w:tc>
        <w:tc>
          <w:tcPr>
            <w:tcW w:w="280" w:type="dxa"/>
            <w:vAlign w:val="bottom"/>
          </w:tcPr>
          <w:p>
            <w:pPr>
              <w:jc w:val="right"/>
              <w:ind w:right="41"/>
              <w:spacing w:after="0"/>
              <w:rPr>
                <w:sz w:val="20"/>
                <w:szCs w:val="20"/>
                <w:color w:val="auto"/>
              </w:rPr>
            </w:pPr>
            <w:r>
              <w:rPr>
                <w:rFonts w:ascii="Verdana" w:cs="Verdana" w:eastAsia="Verdana" w:hAnsi="Verdana"/>
                <w:sz w:val="16"/>
                <w:szCs w:val="16"/>
                <w:color w:val="214E93"/>
              </w:rPr>
              <w:t>$</w:t>
            </w:r>
          </w:p>
        </w:tc>
        <w:tc>
          <w:tcPr>
            <w:tcW w:w="1040" w:type="dxa"/>
            <w:vAlign w:val="bottom"/>
          </w:tcPr>
          <w:p>
            <w:pPr>
              <w:jc w:val="right"/>
              <w:ind w:right="22"/>
              <w:spacing w:after="0"/>
              <w:rPr>
                <w:sz w:val="20"/>
                <w:szCs w:val="20"/>
                <w:color w:val="auto"/>
              </w:rPr>
            </w:pPr>
            <w:r>
              <w:rPr>
                <w:rFonts w:ascii="Verdana" w:cs="Verdana" w:eastAsia="Verdana" w:hAnsi="Verdana"/>
                <w:sz w:val="16"/>
                <w:szCs w:val="16"/>
                <w:color w:val="214E93"/>
              </w:rPr>
              <w:t>2,840,167</w:t>
            </w:r>
          </w:p>
        </w:tc>
        <w:tc>
          <w:tcPr>
            <w:tcW w:w="320" w:type="dxa"/>
            <w:vAlign w:val="bottom"/>
          </w:tcPr>
          <w:p>
            <w:pPr>
              <w:jc w:val="right"/>
              <w:ind w:right="41"/>
              <w:spacing w:after="0"/>
              <w:rPr>
                <w:sz w:val="20"/>
                <w:szCs w:val="20"/>
                <w:color w:val="auto"/>
              </w:rPr>
            </w:pPr>
            <w:r>
              <w:rPr>
                <w:rFonts w:ascii="Verdana" w:cs="Verdana" w:eastAsia="Verdana" w:hAnsi="Verdana"/>
                <w:sz w:val="16"/>
                <w:szCs w:val="16"/>
                <w:color w:val="131313"/>
              </w:rPr>
              <w:t>$</w:t>
            </w:r>
          </w:p>
        </w:tc>
        <w:tc>
          <w:tcPr>
            <w:tcW w:w="1040" w:type="dxa"/>
            <w:vAlign w:val="bottom"/>
          </w:tcPr>
          <w:p>
            <w:pPr>
              <w:jc w:val="right"/>
              <w:ind w:right="22"/>
              <w:spacing w:after="0"/>
              <w:rPr>
                <w:sz w:val="20"/>
                <w:szCs w:val="20"/>
                <w:color w:val="auto"/>
              </w:rPr>
            </w:pPr>
            <w:r>
              <w:rPr>
                <w:rFonts w:ascii="Verdana" w:cs="Verdana" w:eastAsia="Verdana" w:hAnsi="Verdana"/>
                <w:sz w:val="16"/>
                <w:szCs w:val="16"/>
                <w:color w:val="131313"/>
              </w:rPr>
              <w:t>2,772,360</w:t>
            </w:r>
          </w:p>
        </w:tc>
        <w:tc>
          <w:tcPr>
            <w:tcW w:w="360" w:type="dxa"/>
            <w:vAlign w:val="bottom"/>
          </w:tcPr>
          <w:p>
            <w:pPr>
              <w:jc w:val="right"/>
              <w:ind w:right="61"/>
              <w:spacing w:after="0"/>
              <w:rPr>
                <w:sz w:val="20"/>
                <w:szCs w:val="20"/>
                <w:color w:val="auto"/>
              </w:rPr>
            </w:pPr>
            <w:r>
              <w:rPr>
                <w:rFonts w:ascii="Verdana" w:cs="Verdana" w:eastAsia="Verdana" w:hAnsi="Verdana"/>
                <w:sz w:val="16"/>
                <w:szCs w:val="16"/>
                <w:color w:val="131313"/>
              </w:rPr>
              <w:t>$</w:t>
            </w:r>
          </w:p>
        </w:tc>
        <w:tc>
          <w:tcPr>
            <w:tcW w:w="1000" w:type="dxa"/>
            <w:vAlign w:val="bottom"/>
          </w:tcPr>
          <w:p>
            <w:pPr>
              <w:jc w:val="right"/>
              <w:ind w:right="2"/>
              <w:spacing w:after="0"/>
              <w:rPr>
                <w:sz w:val="20"/>
                <w:szCs w:val="20"/>
                <w:color w:val="auto"/>
              </w:rPr>
            </w:pPr>
            <w:r>
              <w:rPr>
                <w:rFonts w:ascii="Verdana" w:cs="Verdana" w:eastAsia="Verdana" w:hAnsi="Verdana"/>
                <w:sz w:val="16"/>
                <w:szCs w:val="16"/>
                <w:color w:val="131313"/>
              </w:rPr>
              <w:t>2,144,894</w:t>
            </w:r>
          </w:p>
        </w:tc>
      </w:tr>
      <w:tr>
        <w:trPr>
          <w:trHeight w:val="242"/>
        </w:trPr>
        <w:tc>
          <w:tcPr>
            <w:tcW w:w="5520" w:type="dxa"/>
            <w:vAlign w:val="bottom"/>
            <w:tcBorders>
              <w:bottom w:val="single" w:sz="8" w:color="auto"/>
            </w:tcBorders>
          </w:tcPr>
          <w:p>
            <w:pPr>
              <w:ind w:left="160"/>
              <w:spacing w:after="0"/>
              <w:rPr>
                <w:sz w:val="20"/>
                <w:szCs w:val="20"/>
                <w:color w:val="auto"/>
              </w:rPr>
            </w:pPr>
            <w:r>
              <w:rPr>
                <w:rFonts w:ascii="Verdana" w:cs="Verdana" w:eastAsia="Verdana" w:hAnsi="Verdana"/>
                <w:sz w:val="16"/>
                <w:szCs w:val="16"/>
                <w:color w:val="auto"/>
              </w:rPr>
              <w:t>Natural gas</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2"/>
              <w:spacing w:after="0"/>
              <w:rPr>
                <w:sz w:val="20"/>
                <w:szCs w:val="20"/>
                <w:color w:val="auto"/>
              </w:rPr>
            </w:pPr>
            <w:r>
              <w:rPr>
                <w:rFonts w:ascii="Verdana" w:cs="Verdana" w:eastAsia="Verdana" w:hAnsi="Verdana"/>
                <w:sz w:val="16"/>
                <w:szCs w:val="16"/>
                <w:color w:val="214E93"/>
              </w:rPr>
              <w:t>398,583</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2"/>
              <w:spacing w:after="0"/>
              <w:rPr>
                <w:sz w:val="20"/>
                <w:szCs w:val="20"/>
                <w:color w:val="auto"/>
              </w:rPr>
            </w:pPr>
            <w:r>
              <w:rPr>
                <w:rFonts w:ascii="Verdana" w:cs="Verdana" w:eastAsia="Verdana" w:hAnsi="Verdana"/>
                <w:sz w:val="16"/>
                <w:szCs w:val="16"/>
                <w:color w:val="131313"/>
              </w:rPr>
              <w:t>371,474</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131313"/>
              </w:rPr>
              <w:t>400,705</w:t>
            </w:r>
          </w:p>
        </w:tc>
      </w:tr>
      <w:tr>
        <w:trPr>
          <w:trHeight w:val="211"/>
        </w:trPr>
        <w:tc>
          <w:tcPr>
            <w:tcW w:w="5520" w:type="dxa"/>
            <w:vAlign w:val="bottom"/>
          </w:tcPr>
          <w:p>
            <w:pPr>
              <w:ind w:left="280"/>
              <w:spacing w:after="0"/>
              <w:rPr>
                <w:sz w:val="20"/>
                <w:szCs w:val="20"/>
                <w:color w:val="auto"/>
              </w:rPr>
            </w:pPr>
            <w:r>
              <w:rPr>
                <w:rFonts w:ascii="Verdana" w:cs="Verdana" w:eastAsia="Verdana" w:hAnsi="Verdana"/>
                <w:sz w:val="16"/>
                <w:szCs w:val="16"/>
                <w:color w:val="auto"/>
              </w:rPr>
              <w:t>Total oil and natural gas revenues</w:t>
            </w:r>
          </w:p>
        </w:tc>
        <w:tc>
          <w:tcPr>
            <w:tcW w:w="280" w:type="dxa"/>
            <w:vAlign w:val="bottom"/>
          </w:tcPr>
          <w:p>
            <w:pPr>
              <w:spacing w:after="0"/>
              <w:rPr>
                <w:sz w:val="18"/>
                <w:szCs w:val="18"/>
                <w:color w:val="auto"/>
              </w:rPr>
            </w:pPr>
          </w:p>
        </w:tc>
        <w:tc>
          <w:tcPr>
            <w:tcW w:w="1040" w:type="dxa"/>
            <w:vAlign w:val="bottom"/>
          </w:tcPr>
          <w:p>
            <w:pPr>
              <w:jc w:val="right"/>
              <w:ind w:right="22"/>
              <w:spacing w:after="0"/>
              <w:rPr>
                <w:sz w:val="20"/>
                <w:szCs w:val="20"/>
                <w:color w:val="auto"/>
              </w:rPr>
            </w:pPr>
            <w:r>
              <w:rPr>
                <w:rFonts w:ascii="Verdana" w:cs="Verdana" w:eastAsia="Verdana" w:hAnsi="Verdana"/>
                <w:sz w:val="16"/>
                <w:szCs w:val="16"/>
                <w:color w:val="214E93"/>
              </w:rPr>
              <w:t>3,238,750</w:t>
            </w:r>
          </w:p>
        </w:tc>
        <w:tc>
          <w:tcPr>
            <w:tcW w:w="320" w:type="dxa"/>
            <w:vAlign w:val="bottom"/>
          </w:tcPr>
          <w:p>
            <w:pPr>
              <w:spacing w:after="0"/>
              <w:rPr>
                <w:sz w:val="18"/>
                <w:szCs w:val="18"/>
                <w:color w:val="auto"/>
              </w:rPr>
            </w:pPr>
          </w:p>
        </w:tc>
        <w:tc>
          <w:tcPr>
            <w:tcW w:w="1040" w:type="dxa"/>
            <w:vAlign w:val="bottom"/>
          </w:tcPr>
          <w:p>
            <w:pPr>
              <w:jc w:val="right"/>
              <w:ind w:right="22"/>
              <w:spacing w:after="0"/>
              <w:rPr>
                <w:sz w:val="20"/>
                <w:szCs w:val="20"/>
                <w:color w:val="auto"/>
              </w:rPr>
            </w:pPr>
            <w:r>
              <w:rPr>
                <w:rFonts w:ascii="Verdana" w:cs="Verdana" w:eastAsia="Verdana" w:hAnsi="Verdana"/>
                <w:sz w:val="16"/>
                <w:szCs w:val="16"/>
                <w:color w:val="131313"/>
              </w:rPr>
              <w:t>3,143,834</w:t>
            </w:r>
          </w:p>
        </w:tc>
        <w:tc>
          <w:tcPr>
            <w:tcW w:w="36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Verdana" w:cs="Verdana" w:eastAsia="Verdana" w:hAnsi="Verdana"/>
                <w:sz w:val="16"/>
                <w:szCs w:val="16"/>
                <w:color w:val="131313"/>
              </w:rPr>
              <w:t>2,545,599</w:t>
            </w:r>
          </w:p>
        </w:tc>
      </w:tr>
      <w:tr>
        <w:trPr>
          <w:trHeight w:val="236"/>
        </w:trPr>
        <w:tc>
          <w:tcPr>
            <w:tcW w:w="5520" w:type="dxa"/>
            <w:vAlign w:val="bottom"/>
          </w:tcPr>
          <w:p>
            <w:pPr>
              <w:ind w:left="40"/>
              <w:spacing w:after="0"/>
              <w:rPr>
                <w:sz w:val="20"/>
                <w:szCs w:val="20"/>
                <w:color w:val="auto"/>
              </w:rPr>
            </w:pPr>
            <w:r>
              <w:rPr>
                <w:rFonts w:ascii="Verdana" w:cs="Verdana" w:eastAsia="Verdana" w:hAnsi="Verdana"/>
                <w:sz w:val="16"/>
                <w:szCs w:val="16"/>
                <w:color w:val="auto"/>
              </w:rPr>
              <w:t>Third-party midstream services revenues</w:t>
            </w:r>
          </w:p>
        </w:tc>
        <w:tc>
          <w:tcPr>
            <w:tcW w:w="280" w:type="dxa"/>
            <w:vAlign w:val="bottom"/>
          </w:tcPr>
          <w:p>
            <w:pPr>
              <w:spacing w:after="0"/>
              <w:rPr>
                <w:sz w:val="20"/>
                <w:szCs w:val="20"/>
                <w:color w:val="auto"/>
              </w:rPr>
            </w:pPr>
          </w:p>
        </w:tc>
        <w:tc>
          <w:tcPr>
            <w:tcW w:w="1040" w:type="dxa"/>
            <w:vAlign w:val="bottom"/>
          </w:tcPr>
          <w:p>
            <w:pPr>
              <w:jc w:val="right"/>
              <w:ind w:right="22"/>
              <w:spacing w:after="0"/>
              <w:rPr>
                <w:sz w:val="20"/>
                <w:szCs w:val="20"/>
                <w:color w:val="auto"/>
              </w:rPr>
            </w:pPr>
            <w:r>
              <w:rPr>
                <w:rFonts w:ascii="Verdana" w:cs="Verdana" w:eastAsia="Verdana" w:hAnsi="Verdana"/>
                <w:sz w:val="16"/>
                <w:szCs w:val="16"/>
                <w:color w:val="214E93"/>
              </w:rPr>
              <w:t>164,733</w:t>
            </w:r>
          </w:p>
        </w:tc>
        <w:tc>
          <w:tcPr>
            <w:tcW w:w="320" w:type="dxa"/>
            <w:vAlign w:val="bottom"/>
          </w:tcPr>
          <w:p>
            <w:pPr>
              <w:spacing w:after="0"/>
              <w:rPr>
                <w:sz w:val="20"/>
                <w:szCs w:val="20"/>
                <w:color w:val="auto"/>
              </w:rPr>
            </w:pPr>
          </w:p>
        </w:tc>
        <w:tc>
          <w:tcPr>
            <w:tcW w:w="1040" w:type="dxa"/>
            <w:vAlign w:val="bottom"/>
          </w:tcPr>
          <w:p>
            <w:pPr>
              <w:jc w:val="right"/>
              <w:ind w:right="22"/>
              <w:spacing w:after="0"/>
              <w:rPr>
                <w:sz w:val="20"/>
                <w:szCs w:val="20"/>
                <w:color w:val="auto"/>
              </w:rPr>
            </w:pPr>
            <w:r>
              <w:rPr>
                <w:rFonts w:ascii="Verdana" w:cs="Verdana" w:eastAsia="Verdana" w:hAnsi="Verdana"/>
                <w:sz w:val="16"/>
                <w:szCs w:val="16"/>
                <w:color w:val="131313"/>
              </w:rPr>
              <w:t>141,027</w:t>
            </w:r>
          </w:p>
        </w:tc>
        <w:tc>
          <w:tcPr>
            <w:tcW w:w="36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Verdana" w:cs="Verdana" w:eastAsia="Verdana" w:hAnsi="Verdana"/>
                <w:sz w:val="16"/>
                <w:szCs w:val="16"/>
                <w:color w:val="131313"/>
              </w:rPr>
              <w:t>122,153</w:t>
            </w:r>
          </w:p>
        </w:tc>
      </w:tr>
      <w:tr>
        <w:trPr>
          <w:trHeight w:val="236"/>
        </w:trPr>
        <w:tc>
          <w:tcPr>
            <w:tcW w:w="5520" w:type="dxa"/>
            <w:vAlign w:val="bottom"/>
          </w:tcPr>
          <w:p>
            <w:pPr>
              <w:ind w:left="40"/>
              <w:spacing w:after="0"/>
              <w:rPr>
                <w:sz w:val="20"/>
                <w:szCs w:val="20"/>
                <w:color w:val="auto"/>
              </w:rPr>
            </w:pPr>
            <w:r>
              <w:rPr>
                <w:rFonts w:ascii="Verdana" w:cs="Verdana" w:eastAsia="Verdana" w:hAnsi="Verdana"/>
                <w:sz w:val="16"/>
                <w:szCs w:val="16"/>
                <w:color w:val="auto"/>
              </w:rPr>
              <w:t>Sales of purchased natural gas</w:t>
            </w:r>
          </w:p>
        </w:tc>
        <w:tc>
          <w:tcPr>
            <w:tcW w:w="280" w:type="dxa"/>
            <w:vAlign w:val="bottom"/>
          </w:tcPr>
          <w:p>
            <w:pPr>
              <w:spacing w:after="0"/>
              <w:rPr>
                <w:sz w:val="20"/>
                <w:szCs w:val="20"/>
                <w:color w:val="auto"/>
              </w:rPr>
            </w:pPr>
          </w:p>
        </w:tc>
        <w:tc>
          <w:tcPr>
            <w:tcW w:w="1040" w:type="dxa"/>
            <w:vAlign w:val="bottom"/>
          </w:tcPr>
          <w:p>
            <w:pPr>
              <w:jc w:val="right"/>
              <w:ind w:right="22"/>
              <w:spacing w:after="0"/>
              <w:rPr>
                <w:sz w:val="20"/>
                <w:szCs w:val="20"/>
                <w:color w:val="auto"/>
              </w:rPr>
            </w:pPr>
            <w:r>
              <w:rPr>
                <w:rFonts w:ascii="Verdana" w:cs="Verdana" w:eastAsia="Verdana" w:hAnsi="Verdana"/>
                <w:sz w:val="16"/>
                <w:szCs w:val="16"/>
                <w:color w:val="214E93"/>
              </w:rPr>
              <w:t>253,031</w:t>
            </w:r>
          </w:p>
        </w:tc>
        <w:tc>
          <w:tcPr>
            <w:tcW w:w="320" w:type="dxa"/>
            <w:vAlign w:val="bottom"/>
          </w:tcPr>
          <w:p>
            <w:pPr>
              <w:spacing w:after="0"/>
              <w:rPr>
                <w:sz w:val="20"/>
                <w:szCs w:val="20"/>
                <w:color w:val="auto"/>
              </w:rPr>
            </w:pPr>
          </w:p>
        </w:tc>
        <w:tc>
          <w:tcPr>
            <w:tcW w:w="1040" w:type="dxa"/>
            <w:vAlign w:val="bottom"/>
          </w:tcPr>
          <w:p>
            <w:pPr>
              <w:jc w:val="right"/>
              <w:ind w:right="22"/>
              <w:spacing w:after="0"/>
              <w:rPr>
                <w:sz w:val="20"/>
                <w:szCs w:val="20"/>
                <w:color w:val="auto"/>
              </w:rPr>
            </w:pPr>
            <w:r>
              <w:rPr>
                <w:rFonts w:ascii="Verdana" w:cs="Verdana" w:eastAsia="Verdana" w:hAnsi="Verdana"/>
                <w:sz w:val="16"/>
                <w:szCs w:val="16"/>
                <w:color w:val="131313"/>
              </w:rPr>
              <w:t>194,097</w:t>
            </w:r>
          </w:p>
        </w:tc>
        <w:tc>
          <w:tcPr>
            <w:tcW w:w="36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Verdana" w:cs="Verdana" w:eastAsia="Verdana" w:hAnsi="Verdana"/>
                <w:sz w:val="16"/>
                <w:szCs w:val="16"/>
                <w:color w:val="131313"/>
              </w:rPr>
              <w:t>149,869</w:t>
            </w:r>
          </w:p>
        </w:tc>
      </w:tr>
      <w:tr>
        <w:trPr>
          <w:trHeight w:val="236"/>
        </w:trPr>
        <w:tc>
          <w:tcPr>
            <w:tcW w:w="5520" w:type="dxa"/>
            <w:vAlign w:val="bottom"/>
          </w:tcPr>
          <w:p>
            <w:pPr>
              <w:ind w:left="40"/>
              <w:spacing w:after="0"/>
              <w:rPr>
                <w:sz w:val="20"/>
                <w:szCs w:val="20"/>
                <w:color w:val="auto"/>
              </w:rPr>
            </w:pPr>
            <w:r>
              <w:rPr>
                <w:rFonts w:ascii="Verdana" w:cs="Verdana" w:eastAsia="Verdana" w:hAnsi="Verdana"/>
                <w:sz w:val="16"/>
                <w:szCs w:val="16"/>
                <w:color w:val="auto"/>
              </w:rPr>
              <w:t>Realized gain (loss) on derivatives</w:t>
            </w:r>
          </w:p>
        </w:tc>
        <w:tc>
          <w:tcPr>
            <w:tcW w:w="280" w:type="dxa"/>
            <w:vAlign w:val="bottom"/>
          </w:tcPr>
          <w:p>
            <w:pPr>
              <w:spacing w:after="0"/>
              <w:rPr>
                <w:sz w:val="20"/>
                <w:szCs w:val="20"/>
                <w:color w:val="auto"/>
              </w:rPr>
            </w:pPr>
          </w:p>
        </w:tc>
        <w:tc>
          <w:tcPr>
            <w:tcW w:w="1040" w:type="dxa"/>
            <w:vAlign w:val="bottom"/>
          </w:tcPr>
          <w:p>
            <w:pPr>
              <w:jc w:val="right"/>
              <w:ind w:right="22"/>
              <w:spacing w:after="0"/>
              <w:rPr>
                <w:sz w:val="20"/>
                <w:szCs w:val="20"/>
                <w:color w:val="auto"/>
              </w:rPr>
            </w:pPr>
            <w:r>
              <w:rPr>
                <w:rFonts w:ascii="Verdana" w:cs="Verdana" w:eastAsia="Verdana" w:hAnsi="Verdana"/>
                <w:sz w:val="16"/>
                <w:szCs w:val="16"/>
                <w:color w:val="214E93"/>
              </w:rPr>
              <w:t>21,679</w:t>
            </w:r>
          </w:p>
        </w:tc>
        <w:tc>
          <w:tcPr>
            <w:tcW w:w="320" w:type="dxa"/>
            <w:vAlign w:val="bottom"/>
          </w:tcPr>
          <w:p>
            <w:pPr>
              <w:spacing w:after="0"/>
              <w:rPr>
                <w:sz w:val="20"/>
                <w:szCs w:val="20"/>
                <w:color w:val="auto"/>
              </w:rPr>
            </w:pPr>
          </w:p>
        </w:tc>
        <w:tc>
          <w:tcPr>
            <w:tcW w:w="1040" w:type="dxa"/>
            <w:vAlign w:val="bottom"/>
          </w:tcPr>
          <w:p>
            <w:pPr>
              <w:jc w:val="right"/>
              <w:ind w:right="22"/>
              <w:spacing w:after="0"/>
              <w:rPr>
                <w:sz w:val="20"/>
                <w:szCs w:val="20"/>
                <w:color w:val="auto"/>
              </w:rPr>
            </w:pPr>
            <w:r>
              <w:rPr>
                <w:rFonts w:ascii="Verdana" w:cs="Verdana" w:eastAsia="Verdana" w:hAnsi="Verdana"/>
                <w:sz w:val="16"/>
                <w:szCs w:val="16"/>
                <w:color w:val="131313"/>
              </w:rPr>
              <w:t>12,724</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Verdana" w:cs="Verdana" w:eastAsia="Verdana" w:hAnsi="Verdana"/>
                <w:sz w:val="16"/>
                <w:szCs w:val="16"/>
                <w:color w:val="131313"/>
              </w:rPr>
              <w:t>(9,575)</w:t>
            </w:r>
          </w:p>
        </w:tc>
      </w:tr>
      <w:tr>
        <w:trPr>
          <w:trHeight w:val="242"/>
        </w:trPr>
        <w:tc>
          <w:tcPr>
            <w:tcW w:w="552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Unrealized gain (loss) on derivatives</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2"/>
              <w:spacing w:after="0"/>
              <w:rPr>
                <w:sz w:val="20"/>
                <w:szCs w:val="20"/>
                <w:color w:val="auto"/>
              </w:rPr>
            </w:pPr>
            <w:r>
              <w:rPr>
                <w:rFonts w:ascii="Verdana" w:cs="Verdana" w:eastAsia="Verdana" w:hAnsi="Verdana"/>
                <w:sz w:val="16"/>
                <w:szCs w:val="16"/>
                <w:color w:val="214E93"/>
              </w:rPr>
              <w:t>18,084</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2"/>
              <w:spacing w:after="0"/>
              <w:rPr>
                <w:sz w:val="20"/>
                <w:szCs w:val="20"/>
                <w:color w:val="auto"/>
              </w:rPr>
            </w:pPr>
            <w:r>
              <w:rPr>
                <w:rFonts w:ascii="Verdana" w:cs="Verdana" w:eastAsia="Verdana" w:hAnsi="Verdana"/>
                <w:sz w:val="16"/>
                <w:szCs w:val="16"/>
                <w:color w:val="131313"/>
              </w:rPr>
              <w:t>13,299</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131313"/>
              </w:rPr>
              <w:t>(1,261)</w:t>
            </w:r>
          </w:p>
        </w:tc>
      </w:tr>
      <w:tr>
        <w:trPr>
          <w:trHeight w:val="211"/>
        </w:trPr>
        <w:tc>
          <w:tcPr>
            <w:tcW w:w="5520" w:type="dxa"/>
            <w:vAlign w:val="bottom"/>
          </w:tcPr>
          <w:p>
            <w:pPr>
              <w:ind w:left="280"/>
              <w:spacing w:after="0"/>
              <w:rPr>
                <w:sz w:val="20"/>
                <w:szCs w:val="20"/>
                <w:color w:val="auto"/>
              </w:rPr>
            </w:pPr>
            <w:r>
              <w:rPr>
                <w:rFonts w:ascii="Verdana" w:cs="Verdana" w:eastAsia="Verdana" w:hAnsi="Verdana"/>
                <w:sz w:val="16"/>
                <w:szCs w:val="16"/>
                <w:color w:val="auto"/>
              </w:rPr>
              <w:t>Total revenues</w:t>
            </w:r>
          </w:p>
        </w:tc>
        <w:tc>
          <w:tcPr>
            <w:tcW w:w="280" w:type="dxa"/>
            <w:vAlign w:val="bottom"/>
          </w:tcPr>
          <w:p>
            <w:pPr>
              <w:jc w:val="right"/>
              <w:ind w:right="41"/>
              <w:spacing w:after="0"/>
              <w:rPr>
                <w:sz w:val="20"/>
                <w:szCs w:val="20"/>
                <w:color w:val="auto"/>
              </w:rPr>
            </w:pPr>
            <w:r>
              <w:rPr>
                <w:rFonts w:ascii="Verdana" w:cs="Verdana" w:eastAsia="Verdana" w:hAnsi="Verdana"/>
                <w:sz w:val="16"/>
                <w:szCs w:val="16"/>
                <w:color w:val="214E93"/>
              </w:rPr>
              <w:t>$</w:t>
            </w:r>
          </w:p>
        </w:tc>
        <w:tc>
          <w:tcPr>
            <w:tcW w:w="1040" w:type="dxa"/>
            <w:vAlign w:val="bottom"/>
          </w:tcPr>
          <w:p>
            <w:pPr>
              <w:jc w:val="right"/>
              <w:ind w:right="22"/>
              <w:spacing w:after="0"/>
              <w:rPr>
                <w:sz w:val="20"/>
                <w:szCs w:val="20"/>
                <w:color w:val="auto"/>
              </w:rPr>
            </w:pPr>
            <w:r>
              <w:rPr>
                <w:rFonts w:ascii="Verdana" w:cs="Verdana" w:eastAsia="Verdana" w:hAnsi="Verdana"/>
                <w:sz w:val="16"/>
                <w:szCs w:val="16"/>
                <w:color w:val="214E93"/>
              </w:rPr>
              <w:t>3,696,277</w:t>
            </w:r>
          </w:p>
        </w:tc>
        <w:tc>
          <w:tcPr>
            <w:tcW w:w="320" w:type="dxa"/>
            <w:vAlign w:val="bottom"/>
          </w:tcPr>
          <w:p>
            <w:pPr>
              <w:jc w:val="right"/>
              <w:ind w:right="41"/>
              <w:spacing w:after="0"/>
              <w:rPr>
                <w:sz w:val="20"/>
                <w:szCs w:val="20"/>
                <w:color w:val="auto"/>
              </w:rPr>
            </w:pPr>
            <w:r>
              <w:rPr>
                <w:rFonts w:ascii="Verdana" w:cs="Verdana" w:eastAsia="Verdana" w:hAnsi="Verdana"/>
                <w:sz w:val="16"/>
                <w:szCs w:val="16"/>
                <w:color w:val="131313"/>
              </w:rPr>
              <w:t>$</w:t>
            </w:r>
          </w:p>
        </w:tc>
        <w:tc>
          <w:tcPr>
            <w:tcW w:w="1040" w:type="dxa"/>
            <w:vAlign w:val="bottom"/>
          </w:tcPr>
          <w:p>
            <w:pPr>
              <w:jc w:val="right"/>
              <w:ind w:right="22"/>
              <w:spacing w:after="0"/>
              <w:rPr>
                <w:sz w:val="20"/>
                <w:szCs w:val="20"/>
                <w:color w:val="auto"/>
              </w:rPr>
            </w:pPr>
            <w:r>
              <w:rPr>
                <w:rFonts w:ascii="Verdana" w:cs="Verdana" w:eastAsia="Verdana" w:hAnsi="Verdana"/>
                <w:sz w:val="16"/>
                <w:szCs w:val="16"/>
                <w:color w:val="131313"/>
              </w:rPr>
              <w:t>3,504,981</w:t>
            </w:r>
          </w:p>
        </w:tc>
        <w:tc>
          <w:tcPr>
            <w:tcW w:w="360" w:type="dxa"/>
            <w:vAlign w:val="bottom"/>
          </w:tcPr>
          <w:p>
            <w:pPr>
              <w:jc w:val="right"/>
              <w:ind w:right="61"/>
              <w:spacing w:after="0"/>
              <w:rPr>
                <w:sz w:val="20"/>
                <w:szCs w:val="20"/>
                <w:color w:val="auto"/>
              </w:rPr>
            </w:pPr>
            <w:r>
              <w:rPr>
                <w:rFonts w:ascii="Verdana" w:cs="Verdana" w:eastAsia="Verdana" w:hAnsi="Verdana"/>
                <w:sz w:val="16"/>
                <w:szCs w:val="16"/>
                <w:color w:val="131313"/>
              </w:rPr>
              <w:t>$</w:t>
            </w:r>
          </w:p>
        </w:tc>
        <w:tc>
          <w:tcPr>
            <w:tcW w:w="1000" w:type="dxa"/>
            <w:vAlign w:val="bottom"/>
          </w:tcPr>
          <w:p>
            <w:pPr>
              <w:jc w:val="right"/>
              <w:ind w:right="2"/>
              <w:spacing w:after="0"/>
              <w:rPr>
                <w:sz w:val="20"/>
                <w:szCs w:val="20"/>
                <w:color w:val="auto"/>
              </w:rPr>
            </w:pPr>
            <w:r>
              <w:rPr>
                <w:rFonts w:ascii="Verdana" w:cs="Verdana" w:eastAsia="Verdana" w:hAnsi="Verdana"/>
                <w:sz w:val="16"/>
                <w:szCs w:val="16"/>
                <w:color w:val="131313"/>
              </w:rPr>
              <w:t>2,806,785</w:t>
            </w:r>
          </w:p>
        </w:tc>
      </w:tr>
      <w:tr>
        <w:trPr>
          <w:trHeight w:val="303"/>
        </w:trPr>
        <w:tc>
          <w:tcPr>
            <w:tcW w:w="5520" w:type="dxa"/>
            <w:vAlign w:val="bottom"/>
          </w:tcPr>
          <w:p>
            <w:pPr>
              <w:ind w:left="40"/>
              <w:spacing w:after="0"/>
              <w:rPr>
                <w:sz w:val="20"/>
                <w:szCs w:val="20"/>
                <w:color w:val="auto"/>
              </w:rPr>
            </w:pPr>
            <w:r>
              <w:rPr>
                <w:rFonts w:ascii="Calibri" w:cs="Calibri" w:eastAsia="Calibri" w:hAnsi="Calibri"/>
                <w:sz w:val="19"/>
                <w:szCs w:val="19"/>
                <w:b w:val="1"/>
                <w:bCs w:val="1"/>
                <w:color w:val="214E93"/>
              </w:rPr>
              <w:t>Net Production Volumes:</w:t>
            </w:r>
            <w:r>
              <w:rPr>
                <w:rFonts w:ascii="Calibri" w:cs="Calibri" w:eastAsia="Calibri" w:hAnsi="Calibri"/>
                <w:sz w:val="24"/>
                <w:szCs w:val="24"/>
                <w:b w:val="1"/>
                <w:bCs w:val="1"/>
                <w:color w:val="214E93"/>
                <w:vertAlign w:val="superscript"/>
              </w:rPr>
              <w:t>(1)</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4"/>
        </w:trPr>
        <w:tc>
          <w:tcPr>
            <w:tcW w:w="5520" w:type="dxa"/>
            <w:vAlign w:val="bottom"/>
          </w:tcPr>
          <w:p>
            <w:pPr>
              <w:ind w:left="160"/>
              <w:spacing w:after="0"/>
              <w:rPr>
                <w:sz w:val="20"/>
                <w:szCs w:val="20"/>
                <w:color w:val="auto"/>
              </w:rPr>
            </w:pPr>
            <w:r>
              <w:rPr>
                <w:rFonts w:ascii="Verdana" w:cs="Verdana" w:eastAsia="Verdana" w:hAnsi="Verdana"/>
                <w:sz w:val="16"/>
                <w:szCs w:val="16"/>
                <w:color w:val="auto"/>
              </w:rPr>
              <w:t>Oil (MBbl)</w:t>
            </w:r>
          </w:p>
        </w:tc>
        <w:tc>
          <w:tcPr>
            <w:tcW w:w="280" w:type="dxa"/>
            <w:vAlign w:val="bottom"/>
          </w:tcPr>
          <w:p>
            <w:pPr>
              <w:spacing w:after="0"/>
              <w:rPr>
                <w:sz w:val="18"/>
                <w:szCs w:val="18"/>
                <w:color w:val="auto"/>
              </w:rPr>
            </w:pPr>
          </w:p>
        </w:tc>
        <w:tc>
          <w:tcPr>
            <w:tcW w:w="1040" w:type="dxa"/>
            <w:vAlign w:val="bottom"/>
          </w:tcPr>
          <w:p>
            <w:pPr>
              <w:jc w:val="right"/>
              <w:ind w:right="22"/>
              <w:spacing w:after="0"/>
              <w:rPr>
                <w:sz w:val="20"/>
                <w:szCs w:val="20"/>
                <w:color w:val="auto"/>
              </w:rPr>
            </w:pPr>
            <w:r>
              <w:rPr>
                <w:rFonts w:ascii="Verdana" w:cs="Verdana" w:eastAsia="Verdana" w:hAnsi="Verdana"/>
                <w:sz w:val="16"/>
                <w:szCs w:val="16"/>
                <w:color w:val="214E93"/>
              </w:rPr>
              <w:t>43,699</w:t>
            </w:r>
          </w:p>
        </w:tc>
        <w:tc>
          <w:tcPr>
            <w:tcW w:w="320" w:type="dxa"/>
            <w:vAlign w:val="bottom"/>
          </w:tcPr>
          <w:p>
            <w:pPr>
              <w:spacing w:after="0"/>
              <w:rPr>
                <w:sz w:val="18"/>
                <w:szCs w:val="18"/>
                <w:color w:val="auto"/>
              </w:rPr>
            </w:pPr>
          </w:p>
        </w:tc>
        <w:tc>
          <w:tcPr>
            <w:tcW w:w="1040" w:type="dxa"/>
            <w:vAlign w:val="bottom"/>
          </w:tcPr>
          <w:p>
            <w:pPr>
              <w:jc w:val="right"/>
              <w:ind w:right="22"/>
              <w:spacing w:after="0"/>
              <w:rPr>
                <w:sz w:val="20"/>
                <w:szCs w:val="20"/>
                <w:color w:val="auto"/>
              </w:rPr>
            </w:pPr>
            <w:r>
              <w:rPr>
                <w:rFonts w:ascii="Verdana" w:cs="Verdana" w:eastAsia="Verdana" w:hAnsi="Verdana"/>
                <w:sz w:val="16"/>
                <w:szCs w:val="16"/>
                <w:color w:val="131313"/>
              </w:rPr>
              <w:t>36,530</w:t>
            </w:r>
          </w:p>
        </w:tc>
        <w:tc>
          <w:tcPr>
            <w:tcW w:w="36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Verdana" w:cs="Verdana" w:eastAsia="Verdana" w:hAnsi="Verdana"/>
                <w:sz w:val="16"/>
                <w:szCs w:val="16"/>
                <w:color w:val="131313"/>
              </w:rPr>
              <w:t>27,542</w:t>
            </w:r>
          </w:p>
        </w:tc>
      </w:tr>
      <w:tr>
        <w:trPr>
          <w:trHeight w:val="236"/>
        </w:trPr>
        <w:tc>
          <w:tcPr>
            <w:tcW w:w="5520" w:type="dxa"/>
            <w:vAlign w:val="bottom"/>
          </w:tcPr>
          <w:p>
            <w:pPr>
              <w:ind w:left="160"/>
              <w:spacing w:after="0"/>
              <w:rPr>
                <w:sz w:val="20"/>
                <w:szCs w:val="20"/>
                <w:color w:val="auto"/>
              </w:rPr>
            </w:pPr>
            <w:r>
              <w:rPr>
                <w:rFonts w:ascii="Verdana" w:cs="Verdana" w:eastAsia="Verdana" w:hAnsi="Verdana"/>
                <w:sz w:val="16"/>
                <w:szCs w:val="16"/>
                <w:color w:val="auto"/>
              </w:rPr>
              <w:t>Natural gas (Bcf)</w:t>
            </w:r>
          </w:p>
        </w:tc>
        <w:tc>
          <w:tcPr>
            <w:tcW w:w="280" w:type="dxa"/>
            <w:vAlign w:val="bottom"/>
          </w:tcPr>
          <w:p>
            <w:pPr>
              <w:spacing w:after="0"/>
              <w:rPr>
                <w:sz w:val="20"/>
                <w:szCs w:val="20"/>
                <w:color w:val="auto"/>
              </w:rPr>
            </w:pPr>
          </w:p>
        </w:tc>
        <w:tc>
          <w:tcPr>
            <w:tcW w:w="1040" w:type="dxa"/>
            <w:vAlign w:val="bottom"/>
          </w:tcPr>
          <w:p>
            <w:pPr>
              <w:jc w:val="right"/>
              <w:ind w:right="22"/>
              <w:spacing w:after="0"/>
              <w:rPr>
                <w:sz w:val="20"/>
                <w:szCs w:val="20"/>
                <w:color w:val="auto"/>
              </w:rPr>
            </w:pPr>
            <w:r>
              <w:rPr>
                <w:rFonts w:ascii="Verdana" w:cs="Verdana" w:eastAsia="Verdana" w:hAnsi="Verdana"/>
                <w:sz w:val="16"/>
                <w:szCs w:val="16"/>
                <w:color w:val="214E93"/>
              </w:rPr>
              <w:t>191.3</w:t>
            </w:r>
          </w:p>
        </w:tc>
        <w:tc>
          <w:tcPr>
            <w:tcW w:w="320" w:type="dxa"/>
            <w:vAlign w:val="bottom"/>
          </w:tcPr>
          <w:p>
            <w:pPr>
              <w:spacing w:after="0"/>
              <w:rPr>
                <w:sz w:val="20"/>
                <w:szCs w:val="20"/>
                <w:color w:val="auto"/>
              </w:rPr>
            </w:pPr>
          </w:p>
        </w:tc>
        <w:tc>
          <w:tcPr>
            <w:tcW w:w="1040" w:type="dxa"/>
            <w:vAlign w:val="bottom"/>
          </w:tcPr>
          <w:p>
            <w:pPr>
              <w:jc w:val="right"/>
              <w:ind w:right="22"/>
              <w:spacing w:after="0"/>
              <w:rPr>
                <w:sz w:val="20"/>
                <w:szCs w:val="20"/>
                <w:color w:val="auto"/>
              </w:rPr>
            </w:pPr>
            <w:r>
              <w:rPr>
                <w:rFonts w:ascii="Verdana" w:cs="Verdana" w:eastAsia="Verdana" w:hAnsi="Verdana"/>
                <w:sz w:val="16"/>
                <w:szCs w:val="16"/>
                <w:color w:val="131313"/>
              </w:rPr>
              <w:t>155.8</w:t>
            </w:r>
          </w:p>
        </w:tc>
        <w:tc>
          <w:tcPr>
            <w:tcW w:w="36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Verdana" w:cs="Verdana" w:eastAsia="Verdana" w:hAnsi="Verdana"/>
                <w:sz w:val="16"/>
                <w:szCs w:val="16"/>
                <w:color w:val="131313"/>
              </w:rPr>
              <w:t>123.4</w:t>
            </w:r>
          </w:p>
        </w:tc>
      </w:tr>
      <w:tr>
        <w:trPr>
          <w:trHeight w:val="259"/>
        </w:trPr>
        <w:tc>
          <w:tcPr>
            <w:tcW w:w="5520" w:type="dxa"/>
            <w:vAlign w:val="bottom"/>
          </w:tcPr>
          <w:p>
            <w:pPr>
              <w:ind w:left="280"/>
              <w:spacing w:after="0"/>
              <w:rPr>
                <w:sz w:val="20"/>
                <w:szCs w:val="20"/>
                <w:color w:val="auto"/>
              </w:rPr>
            </w:pPr>
            <w:r>
              <w:rPr>
                <w:rFonts w:ascii="Verdana" w:cs="Verdana" w:eastAsia="Verdana" w:hAnsi="Verdana"/>
                <w:sz w:val="16"/>
                <w:szCs w:val="16"/>
                <w:color w:val="auto"/>
              </w:rPr>
              <w:t>Total oil equivalent (MBOE)</w:t>
            </w:r>
            <w:r>
              <w:rPr>
                <w:rFonts w:ascii="Verdana" w:cs="Verdana" w:eastAsia="Verdana" w:hAnsi="Verdana"/>
                <w:sz w:val="20"/>
                <w:szCs w:val="20"/>
                <w:color w:val="auto"/>
                <w:vertAlign w:val="superscript"/>
              </w:rPr>
              <w:t>(2)</w:t>
            </w:r>
          </w:p>
        </w:tc>
        <w:tc>
          <w:tcPr>
            <w:tcW w:w="280" w:type="dxa"/>
            <w:vAlign w:val="bottom"/>
          </w:tcPr>
          <w:p>
            <w:pPr>
              <w:spacing w:after="0"/>
              <w:rPr>
                <w:sz w:val="22"/>
                <w:szCs w:val="22"/>
                <w:color w:val="auto"/>
              </w:rPr>
            </w:pPr>
          </w:p>
        </w:tc>
        <w:tc>
          <w:tcPr>
            <w:tcW w:w="1040" w:type="dxa"/>
            <w:vAlign w:val="bottom"/>
          </w:tcPr>
          <w:p>
            <w:pPr>
              <w:jc w:val="right"/>
              <w:ind w:right="22"/>
              <w:spacing w:after="0"/>
              <w:rPr>
                <w:sz w:val="20"/>
                <w:szCs w:val="20"/>
                <w:color w:val="auto"/>
              </w:rPr>
            </w:pPr>
            <w:r>
              <w:rPr>
                <w:rFonts w:ascii="Verdana" w:cs="Verdana" w:eastAsia="Verdana" w:hAnsi="Verdana"/>
                <w:sz w:val="16"/>
                <w:szCs w:val="16"/>
                <w:color w:val="214E93"/>
              </w:rPr>
              <w:t>75,581</w:t>
            </w:r>
          </w:p>
        </w:tc>
        <w:tc>
          <w:tcPr>
            <w:tcW w:w="320" w:type="dxa"/>
            <w:vAlign w:val="bottom"/>
          </w:tcPr>
          <w:p>
            <w:pPr>
              <w:spacing w:after="0"/>
              <w:rPr>
                <w:sz w:val="22"/>
                <w:szCs w:val="22"/>
                <w:color w:val="auto"/>
              </w:rPr>
            </w:pPr>
          </w:p>
        </w:tc>
        <w:tc>
          <w:tcPr>
            <w:tcW w:w="1040" w:type="dxa"/>
            <w:vAlign w:val="bottom"/>
          </w:tcPr>
          <w:p>
            <w:pPr>
              <w:jc w:val="right"/>
              <w:ind w:right="22"/>
              <w:spacing w:after="0"/>
              <w:rPr>
                <w:sz w:val="20"/>
                <w:szCs w:val="20"/>
                <w:color w:val="auto"/>
              </w:rPr>
            </w:pPr>
            <w:r>
              <w:rPr>
                <w:rFonts w:ascii="Verdana" w:cs="Verdana" w:eastAsia="Verdana" w:hAnsi="Verdana"/>
                <w:sz w:val="16"/>
                <w:szCs w:val="16"/>
                <w:color w:val="131313"/>
              </w:rPr>
              <w:t>62,495</w:t>
            </w:r>
          </w:p>
        </w:tc>
        <w:tc>
          <w:tcPr>
            <w:tcW w:w="360" w:type="dxa"/>
            <w:vAlign w:val="bottom"/>
          </w:tcPr>
          <w:p>
            <w:pPr>
              <w:spacing w:after="0"/>
              <w:rPr>
                <w:sz w:val="22"/>
                <w:szCs w:val="22"/>
                <w:color w:val="auto"/>
              </w:rPr>
            </w:pPr>
          </w:p>
        </w:tc>
        <w:tc>
          <w:tcPr>
            <w:tcW w:w="1000" w:type="dxa"/>
            <w:vAlign w:val="bottom"/>
          </w:tcPr>
          <w:p>
            <w:pPr>
              <w:jc w:val="right"/>
              <w:ind w:right="2"/>
              <w:spacing w:after="0"/>
              <w:rPr>
                <w:sz w:val="20"/>
                <w:szCs w:val="20"/>
                <w:color w:val="auto"/>
              </w:rPr>
            </w:pPr>
            <w:r>
              <w:rPr>
                <w:rFonts w:ascii="Verdana" w:cs="Verdana" w:eastAsia="Verdana" w:hAnsi="Verdana"/>
                <w:sz w:val="16"/>
                <w:szCs w:val="16"/>
                <w:color w:val="131313"/>
              </w:rPr>
              <w:t>48,112</w:t>
            </w:r>
          </w:p>
        </w:tc>
      </w:tr>
      <w:tr>
        <w:trPr>
          <w:trHeight w:val="244"/>
        </w:trPr>
        <w:tc>
          <w:tcPr>
            <w:tcW w:w="5520" w:type="dxa"/>
            <w:vAlign w:val="bottom"/>
          </w:tcPr>
          <w:p>
            <w:pPr>
              <w:ind w:left="280"/>
              <w:spacing w:after="0"/>
              <w:rPr>
                <w:sz w:val="20"/>
                <w:szCs w:val="20"/>
                <w:color w:val="auto"/>
              </w:rPr>
            </w:pPr>
            <w:r>
              <w:rPr>
                <w:rFonts w:ascii="Verdana" w:cs="Verdana" w:eastAsia="Verdana" w:hAnsi="Verdana"/>
                <w:sz w:val="16"/>
                <w:szCs w:val="16"/>
                <w:color w:val="auto"/>
              </w:rPr>
              <w:t>Average daily production (BOE/d)</w:t>
            </w:r>
            <w:r>
              <w:rPr>
                <w:rFonts w:ascii="Verdana" w:cs="Verdana" w:eastAsia="Verdana" w:hAnsi="Verdana"/>
                <w:sz w:val="20"/>
                <w:szCs w:val="20"/>
                <w:color w:val="auto"/>
                <w:vertAlign w:val="superscript"/>
              </w:rPr>
              <w:t>(2)</w:t>
            </w:r>
          </w:p>
        </w:tc>
        <w:tc>
          <w:tcPr>
            <w:tcW w:w="280" w:type="dxa"/>
            <w:vAlign w:val="bottom"/>
          </w:tcPr>
          <w:p>
            <w:pPr>
              <w:spacing w:after="0"/>
              <w:rPr>
                <w:sz w:val="21"/>
                <w:szCs w:val="21"/>
                <w:color w:val="auto"/>
              </w:rPr>
            </w:pPr>
          </w:p>
        </w:tc>
        <w:tc>
          <w:tcPr>
            <w:tcW w:w="1040" w:type="dxa"/>
            <w:vAlign w:val="bottom"/>
          </w:tcPr>
          <w:p>
            <w:pPr>
              <w:jc w:val="right"/>
              <w:ind w:right="22"/>
              <w:spacing w:after="0"/>
              <w:rPr>
                <w:sz w:val="20"/>
                <w:szCs w:val="20"/>
                <w:color w:val="auto"/>
              </w:rPr>
            </w:pPr>
            <w:r>
              <w:rPr>
                <w:rFonts w:ascii="Verdana" w:cs="Verdana" w:eastAsia="Verdana" w:hAnsi="Verdana"/>
                <w:sz w:val="16"/>
                <w:szCs w:val="16"/>
                <w:color w:val="214E93"/>
              </w:rPr>
              <w:t>207,070</w:t>
            </w:r>
          </w:p>
        </w:tc>
        <w:tc>
          <w:tcPr>
            <w:tcW w:w="320" w:type="dxa"/>
            <w:vAlign w:val="bottom"/>
          </w:tcPr>
          <w:p>
            <w:pPr>
              <w:spacing w:after="0"/>
              <w:rPr>
                <w:sz w:val="21"/>
                <w:szCs w:val="21"/>
                <w:color w:val="auto"/>
              </w:rPr>
            </w:pPr>
          </w:p>
        </w:tc>
        <w:tc>
          <w:tcPr>
            <w:tcW w:w="1040" w:type="dxa"/>
            <w:vAlign w:val="bottom"/>
          </w:tcPr>
          <w:p>
            <w:pPr>
              <w:jc w:val="right"/>
              <w:ind w:right="22"/>
              <w:spacing w:after="0"/>
              <w:rPr>
                <w:sz w:val="20"/>
                <w:szCs w:val="20"/>
                <w:color w:val="auto"/>
              </w:rPr>
            </w:pPr>
            <w:r>
              <w:rPr>
                <w:rFonts w:ascii="Verdana" w:cs="Verdana" w:eastAsia="Verdana" w:hAnsi="Verdana"/>
                <w:sz w:val="16"/>
                <w:szCs w:val="16"/>
                <w:color w:val="131313"/>
              </w:rPr>
              <w:t>170,751</w:t>
            </w:r>
          </w:p>
        </w:tc>
        <w:tc>
          <w:tcPr>
            <w:tcW w:w="36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Verdana" w:cs="Verdana" w:eastAsia="Verdana" w:hAnsi="Verdana"/>
                <w:sz w:val="16"/>
                <w:szCs w:val="16"/>
                <w:color w:val="131313"/>
              </w:rPr>
              <w:t>131,813</w:t>
            </w:r>
          </w:p>
        </w:tc>
      </w:tr>
      <w:tr>
        <w:trPr>
          <w:trHeight w:val="214"/>
        </w:trPr>
        <w:tc>
          <w:tcPr>
            <w:tcW w:w="5520" w:type="dxa"/>
            <w:vAlign w:val="bottom"/>
          </w:tcPr>
          <w:p>
            <w:pPr>
              <w:ind w:left="40"/>
              <w:spacing w:after="0" w:line="214" w:lineRule="exact"/>
              <w:rPr>
                <w:sz w:val="20"/>
                <w:szCs w:val="20"/>
                <w:color w:val="auto"/>
              </w:rPr>
            </w:pPr>
            <w:r>
              <w:rPr>
                <w:rFonts w:ascii="Calibri" w:cs="Calibri" w:eastAsia="Calibri" w:hAnsi="Calibri"/>
                <w:sz w:val="19"/>
                <w:szCs w:val="19"/>
                <w:b w:val="1"/>
                <w:bCs w:val="1"/>
                <w:color w:val="214E93"/>
              </w:rPr>
              <w:t>Average Sales Prices: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73"/>
        </w:trPr>
        <w:tc>
          <w:tcPr>
            <w:tcW w:w="5520" w:type="dxa"/>
            <w:vAlign w:val="bottom"/>
          </w:tcPr>
          <w:p>
            <w:pPr>
              <w:ind w:left="160"/>
              <w:spacing w:after="0"/>
              <w:rPr>
                <w:sz w:val="20"/>
                <w:szCs w:val="20"/>
                <w:color w:val="auto"/>
              </w:rPr>
            </w:pPr>
            <w:r>
              <w:rPr>
                <w:rFonts w:ascii="Verdana" w:cs="Verdana" w:eastAsia="Verdana" w:hAnsi="Verdana"/>
                <w:sz w:val="16"/>
                <w:szCs w:val="16"/>
                <w:color w:val="auto"/>
              </w:rPr>
              <w:t>Oil, without realized derivatives (per Bbl)</w:t>
            </w:r>
          </w:p>
        </w:tc>
        <w:tc>
          <w:tcPr>
            <w:tcW w:w="280" w:type="dxa"/>
            <w:vAlign w:val="bottom"/>
          </w:tcPr>
          <w:p>
            <w:pPr>
              <w:jc w:val="right"/>
              <w:ind w:right="41"/>
              <w:spacing w:after="0"/>
              <w:rPr>
                <w:sz w:val="20"/>
                <w:szCs w:val="20"/>
                <w:color w:val="auto"/>
              </w:rPr>
            </w:pPr>
            <w:r>
              <w:rPr>
                <w:rFonts w:ascii="Verdana" w:cs="Verdana" w:eastAsia="Verdana" w:hAnsi="Verdana"/>
                <w:sz w:val="16"/>
                <w:szCs w:val="16"/>
                <w:color w:val="214E93"/>
              </w:rPr>
              <w:t>$</w:t>
            </w:r>
          </w:p>
        </w:tc>
        <w:tc>
          <w:tcPr>
            <w:tcW w:w="1040" w:type="dxa"/>
            <w:vAlign w:val="bottom"/>
          </w:tcPr>
          <w:p>
            <w:pPr>
              <w:jc w:val="right"/>
              <w:ind w:right="22"/>
              <w:spacing w:after="0"/>
              <w:rPr>
                <w:sz w:val="20"/>
                <w:szCs w:val="20"/>
                <w:color w:val="auto"/>
              </w:rPr>
            </w:pPr>
            <w:r>
              <w:rPr>
                <w:rFonts w:ascii="Verdana" w:cs="Verdana" w:eastAsia="Verdana" w:hAnsi="Verdana"/>
                <w:sz w:val="16"/>
                <w:szCs w:val="16"/>
                <w:color w:val="214E93"/>
              </w:rPr>
              <w:t>64.99</w:t>
            </w:r>
          </w:p>
        </w:tc>
        <w:tc>
          <w:tcPr>
            <w:tcW w:w="320" w:type="dxa"/>
            <w:vAlign w:val="bottom"/>
          </w:tcPr>
          <w:p>
            <w:pPr>
              <w:jc w:val="right"/>
              <w:ind w:right="41"/>
              <w:spacing w:after="0"/>
              <w:rPr>
                <w:sz w:val="20"/>
                <w:szCs w:val="20"/>
                <w:color w:val="auto"/>
              </w:rPr>
            </w:pPr>
            <w:r>
              <w:rPr>
                <w:rFonts w:ascii="Verdana" w:cs="Verdana" w:eastAsia="Verdana" w:hAnsi="Verdana"/>
                <w:sz w:val="16"/>
                <w:szCs w:val="16"/>
                <w:color w:val="131313"/>
              </w:rPr>
              <w:t>$</w:t>
            </w:r>
          </w:p>
        </w:tc>
        <w:tc>
          <w:tcPr>
            <w:tcW w:w="1040" w:type="dxa"/>
            <w:vAlign w:val="bottom"/>
          </w:tcPr>
          <w:p>
            <w:pPr>
              <w:jc w:val="right"/>
              <w:ind w:right="22"/>
              <w:spacing w:after="0"/>
              <w:rPr>
                <w:sz w:val="20"/>
                <w:szCs w:val="20"/>
                <w:color w:val="auto"/>
              </w:rPr>
            </w:pPr>
            <w:r>
              <w:rPr>
                <w:rFonts w:ascii="Verdana" w:cs="Verdana" w:eastAsia="Verdana" w:hAnsi="Verdana"/>
                <w:sz w:val="16"/>
                <w:szCs w:val="16"/>
                <w:color w:val="131313"/>
              </w:rPr>
              <w:t>75.89</w:t>
            </w:r>
          </w:p>
        </w:tc>
        <w:tc>
          <w:tcPr>
            <w:tcW w:w="360" w:type="dxa"/>
            <w:vAlign w:val="bottom"/>
          </w:tcPr>
          <w:p>
            <w:pPr>
              <w:jc w:val="right"/>
              <w:ind w:right="61"/>
              <w:spacing w:after="0"/>
              <w:rPr>
                <w:sz w:val="20"/>
                <w:szCs w:val="20"/>
                <w:color w:val="auto"/>
              </w:rPr>
            </w:pPr>
            <w:r>
              <w:rPr>
                <w:rFonts w:ascii="Verdana" w:cs="Verdana" w:eastAsia="Verdana" w:hAnsi="Verdana"/>
                <w:sz w:val="16"/>
                <w:szCs w:val="16"/>
                <w:color w:val="131313"/>
              </w:rPr>
              <w:t>$</w:t>
            </w:r>
          </w:p>
        </w:tc>
        <w:tc>
          <w:tcPr>
            <w:tcW w:w="1000" w:type="dxa"/>
            <w:vAlign w:val="bottom"/>
          </w:tcPr>
          <w:p>
            <w:pPr>
              <w:jc w:val="right"/>
              <w:ind w:right="2"/>
              <w:spacing w:after="0"/>
              <w:rPr>
                <w:sz w:val="20"/>
                <w:szCs w:val="20"/>
                <w:color w:val="auto"/>
              </w:rPr>
            </w:pPr>
            <w:r>
              <w:rPr>
                <w:rFonts w:ascii="Verdana" w:cs="Verdana" w:eastAsia="Verdana" w:hAnsi="Verdana"/>
                <w:sz w:val="16"/>
                <w:szCs w:val="16"/>
                <w:color w:val="131313"/>
              </w:rPr>
              <w:t>77.88</w:t>
            </w:r>
          </w:p>
        </w:tc>
      </w:tr>
      <w:tr>
        <w:trPr>
          <w:trHeight w:val="236"/>
        </w:trPr>
        <w:tc>
          <w:tcPr>
            <w:tcW w:w="5520" w:type="dxa"/>
            <w:vAlign w:val="bottom"/>
          </w:tcPr>
          <w:p>
            <w:pPr>
              <w:ind w:left="160"/>
              <w:spacing w:after="0"/>
              <w:rPr>
                <w:sz w:val="20"/>
                <w:szCs w:val="20"/>
                <w:color w:val="auto"/>
              </w:rPr>
            </w:pPr>
            <w:r>
              <w:rPr>
                <w:rFonts w:ascii="Verdana" w:cs="Verdana" w:eastAsia="Verdana" w:hAnsi="Verdana"/>
                <w:sz w:val="16"/>
                <w:szCs w:val="16"/>
                <w:color w:val="auto"/>
              </w:rPr>
              <w:t>Oil, with realized derivatives (per Bbl)</w:t>
            </w:r>
          </w:p>
        </w:tc>
        <w:tc>
          <w:tcPr>
            <w:tcW w:w="280" w:type="dxa"/>
            <w:vAlign w:val="bottom"/>
          </w:tcPr>
          <w:p>
            <w:pPr>
              <w:jc w:val="right"/>
              <w:ind w:right="41"/>
              <w:spacing w:after="0"/>
              <w:rPr>
                <w:sz w:val="20"/>
                <w:szCs w:val="20"/>
                <w:color w:val="auto"/>
              </w:rPr>
            </w:pPr>
            <w:r>
              <w:rPr>
                <w:rFonts w:ascii="Verdana" w:cs="Verdana" w:eastAsia="Verdana" w:hAnsi="Verdana"/>
                <w:sz w:val="16"/>
                <w:szCs w:val="16"/>
                <w:color w:val="214E93"/>
              </w:rPr>
              <w:t>$</w:t>
            </w:r>
          </w:p>
        </w:tc>
        <w:tc>
          <w:tcPr>
            <w:tcW w:w="1040" w:type="dxa"/>
            <w:vAlign w:val="bottom"/>
          </w:tcPr>
          <w:p>
            <w:pPr>
              <w:jc w:val="right"/>
              <w:ind w:right="22"/>
              <w:spacing w:after="0"/>
              <w:rPr>
                <w:sz w:val="20"/>
                <w:szCs w:val="20"/>
                <w:color w:val="auto"/>
              </w:rPr>
            </w:pPr>
            <w:r>
              <w:rPr>
                <w:rFonts w:ascii="Verdana" w:cs="Verdana" w:eastAsia="Verdana" w:hAnsi="Verdana"/>
                <w:sz w:val="16"/>
                <w:szCs w:val="16"/>
                <w:color w:val="214E93"/>
              </w:rPr>
              <w:t>64.99</w:t>
            </w:r>
          </w:p>
        </w:tc>
        <w:tc>
          <w:tcPr>
            <w:tcW w:w="320" w:type="dxa"/>
            <w:vAlign w:val="bottom"/>
          </w:tcPr>
          <w:p>
            <w:pPr>
              <w:jc w:val="right"/>
              <w:ind w:right="41"/>
              <w:spacing w:after="0"/>
              <w:rPr>
                <w:sz w:val="20"/>
                <w:szCs w:val="20"/>
                <w:color w:val="auto"/>
              </w:rPr>
            </w:pPr>
            <w:r>
              <w:rPr>
                <w:rFonts w:ascii="Verdana" w:cs="Verdana" w:eastAsia="Verdana" w:hAnsi="Verdana"/>
                <w:sz w:val="16"/>
                <w:szCs w:val="16"/>
                <w:color w:val="131313"/>
              </w:rPr>
              <w:t>$</w:t>
            </w:r>
          </w:p>
        </w:tc>
        <w:tc>
          <w:tcPr>
            <w:tcW w:w="1040" w:type="dxa"/>
            <w:vAlign w:val="bottom"/>
          </w:tcPr>
          <w:p>
            <w:pPr>
              <w:jc w:val="right"/>
              <w:ind w:right="22"/>
              <w:spacing w:after="0"/>
              <w:rPr>
                <w:sz w:val="20"/>
                <w:szCs w:val="20"/>
                <w:color w:val="auto"/>
              </w:rPr>
            </w:pPr>
            <w:r>
              <w:rPr>
                <w:rFonts w:ascii="Verdana" w:cs="Verdana" w:eastAsia="Verdana" w:hAnsi="Verdana"/>
                <w:sz w:val="16"/>
                <w:szCs w:val="16"/>
                <w:color w:val="131313"/>
              </w:rPr>
              <w:t>75.89</w:t>
            </w:r>
          </w:p>
        </w:tc>
        <w:tc>
          <w:tcPr>
            <w:tcW w:w="360" w:type="dxa"/>
            <w:vAlign w:val="bottom"/>
          </w:tcPr>
          <w:p>
            <w:pPr>
              <w:jc w:val="right"/>
              <w:ind w:right="61"/>
              <w:spacing w:after="0"/>
              <w:rPr>
                <w:sz w:val="20"/>
                <w:szCs w:val="20"/>
                <w:color w:val="auto"/>
              </w:rPr>
            </w:pPr>
            <w:r>
              <w:rPr>
                <w:rFonts w:ascii="Verdana" w:cs="Verdana" w:eastAsia="Verdana" w:hAnsi="Verdana"/>
                <w:sz w:val="16"/>
                <w:szCs w:val="16"/>
                <w:color w:val="131313"/>
              </w:rPr>
              <w:t>$</w:t>
            </w:r>
          </w:p>
        </w:tc>
        <w:tc>
          <w:tcPr>
            <w:tcW w:w="1000" w:type="dxa"/>
            <w:vAlign w:val="bottom"/>
          </w:tcPr>
          <w:p>
            <w:pPr>
              <w:jc w:val="right"/>
              <w:ind w:right="2"/>
              <w:spacing w:after="0"/>
              <w:rPr>
                <w:sz w:val="20"/>
                <w:szCs w:val="20"/>
                <w:color w:val="auto"/>
              </w:rPr>
            </w:pPr>
            <w:r>
              <w:rPr>
                <w:rFonts w:ascii="Verdana" w:cs="Verdana" w:eastAsia="Verdana" w:hAnsi="Verdana"/>
                <w:sz w:val="16"/>
                <w:szCs w:val="16"/>
                <w:color w:val="131313"/>
              </w:rPr>
              <w:t>77.88</w:t>
            </w:r>
          </w:p>
        </w:tc>
      </w:tr>
      <w:tr>
        <w:trPr>
          <w:trHeight w:val="236"/>
        </w:trPr>
        <w:tc>
          <w:tcPr>
            <w:tcW w:w="5520" w:type="dxa"/>
            <w:vAlign w:val="bottom"/>
          </w:tcPr>
          <w:p>
            <w:pPr>
              <w:ind w:left="160"/>
              <w:spacing w:after="0"/>
              <w:rPr>
                <w:sz w:val="20"/>
                <w:szCs w:val="20"/>
                <w:color w:val="auto"/>
              </w:rPr>
            </w:pPr>
            <w:r>
              <w:rPr>
                <w:rFonts w:ascii="Verdana" w:cs="Verdana" w:eastAsia="Verdana" w:hAnsi="Verdana"/>
                <w:sz w:val="16"/>
                <w:szCs w:val="16"/>
                <w:color w:val="auto"/>
              </w:rPr>
              <w:t>Natural gas, without realized derivatives (per Mcf)</w:t>
            </w:r>
          </w:p>
        </w:tc>
        <w:tc>
          <w:tcPr>
            <w:tcW w:w="280" w:type="dxa"/>
            <w:vAlign w:val="bottom"/>
          </w:tcPr>
          <w:p>
            <w:pPr>
              <w:jc w:val="right"/>
              <w:ind w:right="41"/>
              <w:spacing w:after="0"/>
              <w:rPr>
                <w:sz w:val="20"/>
                <w:szCs w:val="20"/>
                <w:color w:val="auto"/>
              </w:rPr>
            </w:pPr>
            <w:r>
              <w:rPr>
                <w:rFonts w:ascii="Verdana" w:cs="Verdana" w:eastAsia="Verdana" w:hAnsi="Verdana"/>
                <w:sz w:val="16"/>
                <w:szCs w:val="16"/>
                <w:color w:val="214E93"/>
              </w:rPr>
              <w:t>$</w:t>
            </w:r>
          </w:p>
        </w:tc>
        <w:tc>
          <w:tcPr>
            <w:tcW w:w="1040" w:type="dxa"/>
            <w:vAlign w:val="bottom"/>
          </w:tcPr>
          <w:p>
            <w:pPr>
              <w:jc w:val="right"/>
              <w:ind w:right="22"/>
              <w:spacing w:after="0"/>
              <w:rPr>
                <w:sz w:val="20"/>
                <w:szCs w:val="20"/>
                <w:color w:val="auto"/>
              </w:rPr>
            </w:pPr>
            <w:r>
              <w:rPr>
                <w:rFonts w:ascii="Verdana" w:cs="Verdana" w:eastAsia="Verdana" w:hAnsi="Verdana"/>
                <w:sz w:val="16"/>
                <w:szCs w:val="16"/>
                <w:color w:val="214E93"/>
              </w:rPr>
              <w:t>2.08</w:t>
            </w:r>
          </w:p>
        </w:tc>
        <w:tc>
          <w:tcPr>
            <w:tcW w:w="320" w:type="dxa"/>
            <w:vAlign w:val="bottom"/>
          </w:tcPr>
          <w:p>
            <w:pPr>
              <w:jc w:val="right"/>
              <w:ind w:right="41"/>
              <w:spacing w:after="0"/>
              <w:rPr>
                <w:sz w:val="20"/>
                <w:szCs w:val="20"/>
                <w:color w:val="auto"/>
              </w:rPr>
            </w:pPr>
            <w:r>
              <w:rPr>
                <w:rFonts w:ascii="Verdana" w:cs="Verdana" w:eastAsia="Verdana" w:hAnsi="Verdana"/>
                <w:sz w:val="16"/>
                <w:szCs w:val="16"/>
                <w:color w:val="131313"/>
              </w:rPr>
              <w:t>$</w:t>
            </w:r>
          </w:p>
        </w:tc>
        <w:tc>
          <w:tcPr>
            <w:tcW w:w="1040" w:type="dxa"/>
            <w:vAlign w:val="bottom"/>
          </w:tcPr>
          <w:p>
            <w:pPr>
              <w:jc w:val="right"/>
              <w:ind w:right="22"/>
              <w:spacing w:after="0"/>
              <w:rPr>
                <w:sz w:val="20"/>
                <w:szCs w:val="20"/>
                <w:color w:val="auto"/>
              </w:rPr>
            </w:pPr>
            <w:r>
              <w:rPr>
                <w:rFonts w:ascii="Verdana" w:cs="Verdana" w:eastAsia="Verdana" w:hAnsi="Verdana"/>
                <w:sz w:val="16"/>
                <w:szCs w:val="16"/>
                <w:color w:val="131313"/>
              </w:rPr>
              <w:t>2.38</w:t>
            </w:r>
          </w:p>
        </w:tc>
        <w:tc>
          <w:tcPr>
            <w:tcW w:w="360" w:type="dxa"/>
            <w:vAlign w:val="bottom"/>
          </w:tcPr>
          <w:p>
            <w:pPr>
              <w:jc w:val="right"/>
              <w:ind w:right="61"/>
              <w:spacing w:after="0"/>
              <w:rPr>
                <w:sz w:val="20"/>
                <w:szCs w:val="20"/>
                <w:color w:val="auto"/>
              </w:rPr>
            </w:pPr>
            <w:r>
              <w:rPr>
                <w:rFonts w:ascii="Verdana" w:cs="Verdana" w:eastAsia="Verdana" w:hAnsi="Verdana"/>
                <w:sz w:val="16"/>
                <w:szCs w:val="16"/>
                <w:color w:val="131313"/>
              </w:rPr>
              <w:t>$</w:t>
            </w:r>
          </w:p>
        </w:tc>
        <w:tc>
          <w:tcPr>
            <w:tcW w:w="1000" w:type="dxa"/>
            <w:vAlign w:val="bottom"/>
          </w:tcPr>
          <w:p>
            <w:pPr>
              <w:jc w:val="right"/>
              <w:ind w:right="2"/>
              <w:spacing w:after="0"/>
              <w:rPr>
                <w:sz w:val="20"/>
                <w:szCs w:val="20"/>
                <w:color w:val="auto"/>
              </w:rPr>
            </w:pPr>
            <w:r>
              <w:rPr>
                <w:rFonts w:ascii="Verdana" w:cs="Verdana" w:eastAsia="Verdana" w:hAnsi="Verdana"/>
                <w:sz w:val="16"/>
                <w:szCs w:val="16"/>
                <w:color w:val="131313"/>
              </w:rPr>
              <w:t>3.25</w:t>
            </w:r>
          </w:p>
        </w:tc>
      </w:tr>
      <w:tr>
        <w:trPr>
          <w:trHeight w:val="236"/>
        </w:trPr>
        <w:tc>
          <w:tcPr>
            <w:tcW w:w="5520" w:type="dxa"/>
            <w:vAlign w:val="bottom"/>
          </w:tcPr>
          <w:p>
            <w:pPr>
              <w:ind w:left="160"/>
              <w:spacing w:after="0"/>
              <w:rPr>
                <w:sz w:val="20"/>
                <w:szCs w:val="20"/>
                <w:color w:val="auto"/>
              </w:rPr>
            </w:pPr>
            <w:r>
              <w:rPr>
                <w:rFonts w:ascii="Verdana" w:cs="Verdana" w:eastAsia="Verdana" w:hAnsi="Verdana"/>
                <w:sz w:val="16"/>
                <w:szCs w:val="16"/>
                <w:color w:val="auto"/>
              </w:rPr>
              <w:t>Natural gas, with realized derivatives (per Mcf)</w:t>
            </w:r>
          </w:p>
        </w:tc>
        <w:tc>
          <w:tcPr>
            <w:tcW w:w="280" w:type="dxa"/>
            <w:vAlign w:val="bottom"/>
          </w:tcPr>
          <w:p>
            <w:pPr>
              <w:jc w:val="right"/>
              <w:ind w:right="41"/>
              <w:spacing w:after="0"/>
              <w:rPr>
                <w:sz w:val="20"/>
                <w:szCs w:val="20"/>
                <w:color w:val="auto"/>
              </w:rPr>
            </w:pPr>
            <w:r>
              <w:rPr>
                <w:rFonts w:ascii="Verdana" w:cs="Verdana" w:eastAsia="Verdana" w:hAnsi="Verdana"/>
                <w:sz w:val="16"/>
                <w:szCs w:val="16"/>
                <w:color w:val="214E93"/>
              </w:rPr>
              <w:t>$</w:t>
            </w:r>
          </w:p>
        </w:tc>
        <w:tc>
          <w:tcPr>
            <w:tcW w:w="1040" w:type="dxa"/>
            <w:vAlign w:val="bottom"/>
          </w:tcPr>
          <w:p>
            <w:pPr>
              <w:jc w:val="right"/>
              <w:ind w:right="22"/>
              <w:spacing w:after="0"/>
              <w:rPr>
                <w:sz w:val="20"/>
                <w:szCs w:val="20"/>
                <w:color w:val="auto"/>
              </w:rPr>
            </w:pPr>
            <w:r>
              <w:rPr>
                <w:rFonts w:ascii="Verdana" w:cs="Verdana" w:eastAsia="Verdana" w:hAnsi="Verdana"/>
                <w:sz w:val="16"/>
                <w:szCs w:val="16"/>
                <w:color w:val="214E93"/>
              </w:rPr>
              <w:t>2.20</w:t>
            </w:r>
          </w:p>
        </w:tc>
        <w:tc>
          <w:tcPr>
            <w:tcW w:w="320" w:type="dxa"/>
            <w:vAlign w:val="bottom"/>
          </w:tcPr>
          <w:p>
            <w:pPr>
              <w:jc w:val="right"/>
              <w:ind w:right="41"/>
              <w:spacing w:after="0"/>
              <w:rPr>
                <w:sz w:val="20"/>
                <w:szCs w:val="20"/>
                <w:color w:val="auto"/>
              </w:rPr>
            </w:pPr>
            <w:r>
              <w:rPr>
                <w:rFonts w:ascii="Verdana" w:cs="Verdana" w:eastAsia="Verdana" w:hAnsi="Verdana"/>
                <w:sz w:val="16"/>
                <w:szCs w:val="16"/>
                <w:color w:val="131313"/>
              </w:rPr>
              <w:t>$</w:t>
            </w:r>
          </w:p>
        </w:tc>
        <w:tc>
          <w:tcPr>
            <w:tcW w:w="1040" w:type="dxa"/>
            <w:vAlign w:val="bottom"/>
          </w:tcPr>
          <w:p>
            <w:pPr>
              <w:jc w:val="right"/>
              <w:ind w:right="22"/>
              <w:spacing w:after="0"/>
              <w:rPr>
                <w:sz w:val="20"/>
                <w:szCs w:val="20"/>
                <w:color w:val="auto"/>
              </w:rPr>
            </w:pPr>
            <w:r>
              <w:rPr>
                <w:rFonts w:ascii="Verdana" w:cs="Verdana" w:eastAsia="Verdana" w:hAnsi="Verdana"/>
                <w:sz w:val="16"/>
                <w:szCs w:val="16"/>
                <w:color w:val="131313"/>
              </w:rPr>
              <w:t>2.47</w:t>
            </w:r>
          </w:p>
        </w:tc>
        <w:tc>
          <w:tcPr>
            <w:tcW w:w="360" w:type="dxa"/>
            <w:vAlign w:val="bottom"/>
          </w:tcPr>
          <w:p>
            <w:pPr>
              <w:jc w:val="right"/>
              <w:ind w:right="61"/>
              <w:spacing w:after="0"/>
              <w:rPr>
                <w:sz w:val="20"/>
                <w:szCs w:val="20"/>
                <w:color w:val="auto"/>
              </w:rPr>
            </w:pPr>
            <w:r>
              <w:rPr>
                <w:rFonts w:ascii="Verdana" w:cs="Verdana" w:eastAsia="Verdana" w:hAnsi="Verdana"/>
                <w:sz w:val="16"/>
                <w:szCs w:val="16"/>
                <w:color w:val="131313"/>
              </w:rPr>
              <w:t>$</w:t>
            </w:r>
          </w:p>
        </w:tc>
        <w:tc>
          <w:tcPr>
            <w:tcW w:w="1000" w:type="dxa"/>
            <w:vAlign w:val="bottom"/>
          </w:tcPr>
          <w:p>
            <w:pPr>
              <w:jc w:val="right"/>
              <w:ind w:right="2"/>
              <w:spacing w:after="0"/>
              <w:rPr>
                <w:sz w:val="20"/>
                <w:szCs w:val="20"/>
                <w:color w:val="auto"/>
              </w:rPr>
            </w:pPr>
            <w:r>
              <w:rPr>
                <w:rFonts w:ascii="Verdana" w:cs="Verdana" w:eastAsia="Verdana" w:hAnsi="Verdana"/>
                <w:sz w:val="16"/>
                <w:szCs w:val="16"/>
                <w:color w:val="131313"/>
              </w:rPr>
              <w:t>3.17</w:t>
            </w:r>
          </w:p>
        </w:tc>
      </w:tr>
    </w:tbl>
    <w:p>
      <w:pPr>
        <w:spacing w:after="0" w:line="20" w:lineRule="exact"/>
        <w:rPr>
          <w:sz w:val="20"/>
          <w:szCs w:val="20"/>
          <w:color w:val="auto"/>
        </w:rPr>
      </w:pPr>
    </w:p>
    <w:p>
      <w:pPr>
        <w:spacing w:after="0" w:line="145" w:lineRule="exact"/>
        <w:rPr>
          <w:sz w:val="20"/>
          <w:szCs w:val="20"/>
          <w:color w:val="auto"/>
        </w:rPr>
      </w:pPr>
    </w:p>
    <w:p>
      <w:pPr>
        <w:ind w:left="480" w:right="720" w:hanging="350"/>
        <w:spacing w:after="0" w:line="226" w:lineRule="auto"/>
        <w:tabs>
          <w:tab w:leader="none" w:pos="480" w:val="left"/>
        </w:tabs>
        <w:numPr>
          <w:ilvl w:val="0"/>
          <w:numId w:val="65"/>
        </w:numPr>
        <w:rPr>
          <w:rFonts w:ascii="Calibri" w:cs="Calibri" w:eastAsia="Calibri" w:hAnsi="Calibri"/>
          <w:sz w:val="14"/>
          <w:szCs w:val="14"/>
          <w:color w:val="auto"/>
        </w:rPr>
      </w:pPr>
      <w:r>
        <w:rPr>
          <w:rFonts w:ascii="Calibri" w:cs="Calibri" w:eastAsia="Calibri" w:hAnsi="Calibri"/>
          <w:sz w:val="14"/>
          <w:szCs w:val="14"/>
          <w:color w:val="auto"/>
        </w:rPr>
        <w:t>We report our production volumes in two streams: oil and natural gas, including both dry and liquids-rich natural gas. Revenues associated with NGLs are included with our natural gas revenues.</w:t>
      </w:r>
    </w:p>
    <w:p>
      <w:pPr>
        <w:spacing w:after="0" w:line="73" w:lineRule="exact"/>
        <w:rPr>
          <w:rFonts w:ascii="Calibri" w:cs="Calibri" w:eastAsia="Calibri" w:hAnsi="Calibri"/>
          <w:sz w:val="14"/>
          <w:szCs w:val="14"/>
          <w:color w:val="auto"/>
        </w:rPr>
      </w:pPr>
    </w:p>
    <w:p>
      <w:pPr>
        <w:ind w:left="480" w:hanging="350"/>
        <w:spacing w:after="0"/>
        <w:tabs>
          <w:tab w:leader="none" w:pos="480" w:val="left"/>
        </w:tabs>
        <w:numPr>
          <w:ilvl w:val="0"/>
          <w:numId w:val="65"/>
        </w:numPr>
        <w:rPr>
          <w:rFonts w:ascii="Calibri" w:cs="Calibri" w:eastAsia="Calibri" w:hAnsi="Calibri"/>
          <w:sz w:val="14"/>
          <w:szCs w:val="14"/>
          <w:color w:val="auto"/>
        </w:rPr>
      </w:pPr>
      <w:r>
        <w:rPr>
          <w:rFonts w:ascii="Calibri" w:cs="Calibri" w:eastAsia="Calibri" w:hAnsi="Calibri"/>
          <w:sz w:val="14"/>
          <w:szCs w:val="14"/>
          <w:color w:val="auto"/>
        </w:rPr>
        <w:t>Estimated using a conversion ratio of one Bbl of oil per six Mcf of natural gas.</w:t>
      </w:r>
    </w:p>
    <w:p>
      <w:pPr>
        <w:spacing w:after="0" w:line="182"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Year Ended December 31, 2025 as Compared to Year Ended December 31, 2024</w:t>
      </w:r>
    </w:p>
    <w:p>
      <w:pPr>
        <w:spacing w:after="0" w:line="223" w:lineRule="exact"/>
        <w:rPr>
          <w:sz w:val="20"/>
          <w:szCs w:val="20"/>
          <w:color w:val="auto"/>
        </w:rPr>
      </w:pPr>
    </w:p>
    <w:p>
      <w:pPr>
        <w:ind w:right="900"/>
        <w:spacing w:after="0" w:line="291" w:lineRule="auto"/>
        <w:rPr>
          <w:sz w:val="20"/>
          <w:szCs w:val="20"/>
          <w:color w:val="auto"/>
        </w:rPr>
      </w:pPr>
      <w:r>
        <w:rPr>
          <w:rFonts w:ascii="Calibri" w:cs="Calibri" w:eastAsia="Calibri" w:hAnsi="Calibri"/>
          <w:sz w:val="17"/>
          <w:szCs w:val="17"/>
          <w:color w:val="214E93"/>
        </w:rPr>
        <w:t xml:space="preserve">Oil and natural gas revenues. </w:t>
      </w:r>
      <w:r>
        <w:rPr>
          <w:rFonts w:ascii="Calibri" w:cs="Calibri" w:eastAsia="Calibri" w:hAnsi="Calibri"/>
          <w:sz w:val="17"/>
          <w:szCs w:val="17"/>
          <w:color w:val="000000"/>
        </w:rPr>
        <w:t>Our oil and natural gas revenues increased $94.9 million, or 3%, to $3.24 billion for the year ended</w:t>
      </w:r>
      <w:r>
        <w:rPr>
          <w:rFonts w:ascii="Calibri" w:cs="Calibri" w:eastAsia="Calibri" w:hAnsi="Calibri"/>
          <w:sz w:val="17"/>
          <w:szCs w:val="17"/>
          <w:color w:val="214E93"/>
        </w:rPr>
        <w:t xml:space="preserve"> </w:t>
      </w:r>
      <w:r>
        <w:rPr>
          <w:rFonts w:ascii="Calibri" w:cs="Calibri" w:eastAsia="Calibri" w:hAnsi="Calibri"/>
          <w:sz w:val="17"/>
          <w:szCs w:val="17"/>
          <w:color w:val="000000"/>
        </w:rPr>
        <w:t>December 31, 2025, as compared to $3.14 billion for the year ended December 31, 2024. Our oil revenues increased $67.8 million, or 2%, to $2.84 billion for the year ended December 31, 2025, as compared to $2.77 billion for the year ended December 31, 2024. This increase in oil revenues resulted from a 20% increase in our oil production to 43.7 million Bbl of oil for the year ended December 31, 2025, as compared to 36.5 million Bbl of oil for the year ended December 31, 2024, which was partially offset by a 14% decrease in the weighted average oil price realized for the year ended December 31, 2025 to $64.99 per Bbl, as compared to</w:t>
      </w:r>
    </w:p>
    <w:p>
      <w:pPr>
        <w:spacing w:after="0" w:line="2" w:lineRule="exact"/>
        <w:rPr>
          <w:sz w:val="20"/>
          <w:szCs w:val="20"/>
          <w:color w:val="auto"/>
        </w:rPr>
      </w:pPr>
    </w:p>
    <w:p>
      <w:pPr>
        <w:ind w:right="720"/>
        <w:spacing w:after="0" w:line="267" w:lineRule="auto"/>
        <w:rPr>
          <w:sz w:val="20"/>
          <w:szCs w:val="20"/>
          <w:color w:val="auto"/>
        </w:rPr>
      </w:pPr>
      <w:r>
        <w:rPr>
          <w:rFonts w:ascii="Calibri" w:cs="Calibri" w:eastAsia="Calibri" w:hAnsi="Calibri"/>
          <w:sz w:val="18"/>
          <w:szCs w:val="18"/>
          <w:color w:val="auto"/>
        </w:rPr>
        <w:t>$75.89 per Bbl realized for the year ended December 31, 2024. Our natural gas revenues increased by $27.1 million, or 7%, to $398.6 million for the year ended December 31, 2025, as compared to $371.5 million for the year ended December 31, 2024. The increase in natural gas revenues was primarily attributable to a 23% increase in our natural gas production to 191.3 Bcf for the year ended December 31, 2025, as compared to 155.8 Bcf for the year ended December 31, 2024, which was partially offset by a 13% decrease in the weighted average natural gas price realized for the year ended December 31, 2025 to $2.08 per Mcf, as compared to $2.38 per Mcf realized for the year ended December 31, 2024.</w:t>
      </w:r>
    </w:p>
    <w:p>
      <w:pPr>
        <w:spacing w:after="0" w:line="221" w:lineRule="exact"/>
        <w:rPr>
          <w:sz w:val="20"/>
          <w:szCs w:val="20"/>
          <w:color w:val="auto"/>
        </w:rPr>
      </w:pPr>
    </w:p>
    <w:p>
      <w:pPr>
        <w:ind w:right="760"/>
        <w:spacing w:after="0" w:line="271" w:lineRule="auto"/>
        <w:rPr>
          <w:sz w:val="20"/>
          <w:szCs w:val="20"/>
          <w:color w:val="auto"/>
        </w:rPr>
      </w:pPr>
      <w:r>
        <w:rPr>
          <w:rFonts w:ascii="Calibri" w:cs="Calibri" w:eastAsia="Calibri" w:hAnsi="Calibri"/>
          <w:sz w:val="18"/>
          <w:szCs w:val="18"/>
          <w:color w:val="214E93"/>
        </w:rPr>
        <w:t xml:space="preserve">Third-party midstream services revenues. </w:t>
      </w:r>
      <w:r>
        <w:rPr>
          <w:rFonts w:ascii="Calibri" w:cs="Calibri" w:eastAsia="Calibri" w:hAnsi="Calibri"/>
          <w:sz w:val="18"/>
          <w:szCs w:val="18"/>
          <w:color w:val="000000"/>
        </w:rPr>
        <w:t>Our third-party midstream services revenues increased $23.7 million, or 17%, to $164.7</w:t>
      </w:r>
      <w:r>
        <w:rPr>
          <w:rFonts w:ascii="Calibri" w:cs="Calibri" w:eastAsia="Calibri" w:hAnsi="Calibri"/>
          <w:sz w:val="18"/>
          <w:szCs w:val="18"/>
          <w:color w:val="214E93"/>
        </w:rPr>
        <w:t xml:space="preserve"> </w:t>
      </w:r>
      <w:r>
        <w:rPr>
          <w:rFonts w:ascii="Calibri" w:cs="Calibri" w:eastAsia="Calibri" w:hAnsi="Calibri"/>
          <w:sz w:val="18"/>
          <w:szCs w:val="18"/>
          <w:color w:val="000000"/>
        </w:rPr>
        <w:t>million for the year ended December 31, 2025, as compared to $141.0 million for the year ended December 31, 2024. Third-party midstream services revenues are those revenues from midstream operations related to third parties, including working interest owners in our operated wells. This increase was primarily attributable to (i) an increase in our third-party natural gas gathering and processing revenues to $90.3 million for the year ended December 31, 2025, as compared to $67.5 million for the year ended December 31, 2024, (ii) an increase in our oil transportation revenues to $23.7 million for the year ended December 31, 2025, as compared to $17.3 million for the year ended December 31, 2024, which were partially offset by (iii) a decrease in third-party produced water disposal revenues to $50.7 million for the year ended December 31, 2025, as compared to $56.3 million for the year ended December 31, 2024.</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880"/>
        <w:spacing w:after="0"/>
        <w:rPr>
          <w:sz w:val="20"/>
          <w:szCs w:val="20"/>
          <w:color w:val="auto"/>
        </w:rPr>
      </w:pPr>
      <w:r>
        <w:rPr>
          <w:rFonts w:ascii="Calibri" w:cs="Calibri" w:eastAsia="Calibri" w:hAnsi="Calibri"/>
          <w:sz w:val="17"/>
          <w:szCs w:val="17"/>
          <w:color w:val="auto"/>
        </w:rPr>
        <w:t>FORM 10-K PART II</w:t>
      </w:r>
    </w:p>
    <w:p>
      <w:pPr>
        <w:sectPr>
          <w:pgSz w:w="11880" w:h="15480" w:orient="portrait"/>
          <w:cols w:equalWidth="0" w:num="1">
            <w:col w:w="10280"/>
          </w:cols>
          <w:pgMar w:left="1160" w:top="498" w:right="440" w:bottom="0" w:gutter="0" w:footer="0" w:header="0"/>
          <w:type w:val="continuous"/>
        </w:sectPr>
      </w:pPr>
    </w:p>
    <w:bookmarkStart w:id="99" w:name="page100"/>
    <w:bookmarkEnd w:id="99"/>
    <w:p>
      <w:pPr>
        <w:spacing w:after="0"/>
        <w:tabs>
          <w:tab w:leader="none" w:pos="740" w:val="left"/>
        </w:tabs>
        <w:rPr>
          <w:sz w:val="20"/>
          <w:szCs w:val="20"/>
          <w:color w:val="auto"/>
        </w:rPr>
      </w:pPr>
      <w:r>
        <w:rPr>
          <w:rFonts w:ascii="Calibri" w:cs="Calibri" w:eastAsia="Calibri" w:hAnsi="Calibri"/>
          <w:sz w:val="18"/>
          <w:szCs w:val="18"/>
          <w:color w:val="auto"/>
        </w:rPr>
        <w:t>86</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20" w:right="80"/>
        <w:spacing w:after="0" w:line="271" w:lineRule="auto"/>
        <w:rPr>
          <w:sz w:val="20"/>
          <w:szCs w:val="20"/>
          <w:color w:val="auto"/>
        </w:rPr>
      </w:pPr>
      <w:r>
        <w:rPr>
          <w:rFonts w:ascii="Calibri" w:cs="Calibri" w:eastAsia="Calibri" w:hAnsi="Calibri"/>
          <w:sz w:val="18"/>
          <w:szCs w:val="18"/>
          <w:color w:val="214E93"/>
        </w:rPr>
        <w:t xml:space="preserve">Sales of purchased natural gas. </w:t>
      </w:r>
      <w:r>
        <w:rPr>
          <w:rFonts w:ascii="Calibri" w:cs="Calibri" w:eastAsia="Calibri" w:hAnsi="Calibri"/>
          <w:sz w:val="18"/>
          <w:szCs w:val="18"/>
          <w:color w:val="000000"/>
        </w:rPr>
        <w:t>Our sales of purchased natural gas increased $58.9 million, or 30%, to $253.0 million for the year</w:t>
      </w:r>
      <w:r>
        <w:rPr>
          <w:rFonts w:ascii="Calibri" w:cs="Calibri" w:eastAsia="Calibri" w:hAnsi="Calibri"/>
          <w:sz w:val="18"/>
          <w:szCs w:val="18"/>
          <w:color w:val="214E93"/>
        </w:rPr>
        <w:t xml:space="preserve"> </w:t>
      </w:r>
      <w:r>
        <w:rPr>
          <w:rFonts w:ascii="Calibri" w:cs="Calibri" w:eastAsia="Calibri" w:hAnsi="Calibri"/>
          <w:sz w:val="18"/>
          <w:szCs w:val="18"/>
          <w:color w:val="000000"/>
        </w:rPr>
        <w:t>ended December 31, 2025, as compared to $194.1 million for the year ended December 31, 2024. This increase was primarily the result of a 21% increase in natural gas volumes sold and an 8% increase in natural gas prices realized. Sales of purchased natural gas primarily reflect those natural gas purchase transactions that we periodically enter into with third parties whereby we purchase natural gas and (i) subsequently sell the natural gas to other purchasers or (ii) process the natural gas at San Mateo’s cryogenic natural gas processing plants and subsequently sell the residue natural gas and NGLs to other purchasers. These revenues, and the expenses related to these transactions included in “Purchased natural gas,” are presented on a gross basis in our consolidated statements of income.</w:t>
      </w:r>
    </w:p>
    <w:p>
      <w:pPr>
        <w:spacing w:after="0" w:line="219" w:lineRule="exact"/>
        <w:rPr>
          <w:sz w:val="20"/>
          <w:szCs w:val="20"/>
          <w:color w:val="auto"/>
        </w:rPr>
      </w:pPr>
    </w:p>
    <w:p>
      <w:pPr>
        <w:ind w:left="720" w:right="100"/>
        <w:spacing w:after="0" w:line="284" w:lineRule="auto"/>
        <w:rPr>
          <w:sz w:val="20"/>
          <w:szCs w:val="20"/>
          <w:color w:val="auto"/>
        </w:rPr>
      </w:pPr>
      <w:r>
        <w:rPr>
          <w:rFonts w:ascii="Calibri" w:cs="Calibri" w:eastAsia="Calibri" w:hAnsi="Calibri"/>
          <w:sz w:val="17"/>
          <w:szCs w:val="17"/>
          <w:color w:val="214E93"/>
        </w:rPr>
        <w:t xml:space="preserve">Realized gain (loss) on derivatives. </w:t>
      </w:r>
      <w:r>
        <w:rPr>
          <w:rFonts w:ascii="Calibri" w:cs="Calibri" w:eastAsia="Calibri" w:hAnsi="Calibri"/>
          <w:sz w:val="17"/>
          <w:szCs w:val="17"/>
          <w:color w:val="000000"/>
        </w:rPr>
        <w:t>Our realized net gains on derivatives were $21.7 million and $12.7 million for the years ended</w:t>
      </w:r>
      <w:r>
        <w:rPr>
          <w:rFonts w:ascii="Calibri" w:cs="Calibri" w:eastAsia="Calibri" w:hAnsi="Calibri"/>
          <w:sz w:val="17"/>
          <w:szCs w:val="17"/>
          <w:color w:val="214E93"/>
        </w:rPr>
        <w:t xml:space="preserve"> </w:t>
      </w:r>
      <w:r>
        <w:rPr>
          <w:rFonts w:ascii="Calibri" w:cs="Calibri" w:eastAsia="Calibri" w:hAnsi="Calibri"/>
          <w:sz w:val="17"/>
          <w:szCs w:val="17"/>
          <w:color w:val="000000"/>
        </w:rPr>
        <w:t>December 31, 2025 and 2024, respectively. These realized net gains were related to natural gas basis differentials that were below the fixed prices of our natural gas basis differential swap contracts. We realized average gains on our natural gas derivatives of approximately $0.12 and $0.09 per Mcf of natural gas produced during the years ended December 31, 2025 and 2024, respectively.</w:t>
      </w:r>
    </w:p>
    <w:p>
      <w:pPr>
        <w:spacing w:after="0" w:line="209" w:lineRule="exact"/>
        <w:rPr>
          <w:sz w:val="20"/>
          <w:szCs w:val="20"/>
          <w:color w:val="auto"/>
        </w:rPr>
      </w:pPr>
    </w:p>
    <w:p>
      <w:pPr>
        <w:ind w:left="720"/>
        <w:spacing w:after="0" w:line="271" w:lineRule="auto"/>
        <w:rPr>
          <w:sz w:val="20"/>
          <w:szCs w:val="20"/>
          <w:color w:val="auto"/>
        </w:rPr>
      </w:pPr>
      <w:r>
        <w:rPr>
          <w:rFonts w:ascii="Calibri" w:cs="Calibri" w:eastAsia="Calibri" w:hAnsi="Calibri"/>
          <w:sz w:val="18"/>
          <w:szCs w:val="18"/>
          <w:color w:val="214E93"/>
        </w:rPr>
        <w:t xml:space="preserve">Unrealized gain (loss) on derivatives. </w:t>
      </w:r>
      <w:r>
        <w:rPr>
          <w:rFonts w:ascii="Calibri" w:cs="Calibri" w:eastAsia="Calibri" w:hAnsi="Calibri"/>
          <w:sz w:val="18"/>
          <w:szCs w:val="18"/>
          <w:color w:val="000000"/>
        </w:rPr>
        <w:t>Our unrealized gain on derivatives was approximately $18.1 million for the year ended</w:t>
      </w:r>
      <w:r>
        <w:rPr>
          <w:rFonts w:ascii="Calibri" w:cs="Calibri" w:eastAsia="Calibri" w:hAnsi="Calibri"/>
          <w:sz w:val="18"/>
          <w:szCs w:val="18"/>
          <w:color w:val="214E93"/>
        </w:rPr>
        <w:t xml:space="preserve"> </w:t>
      </w:r>
      <w:r>
        <w:rPr>
          <w:rFonts w:ascii="Calibri" w:cs="Calibri" w:eastAsia="Calibri" w:hAnsi="Calibri"/>
          <w:sz w:val="18"/>
          <w:szCs w:val="18"/>
          <w:color w:val="000000"/>
        </w:rPr>
        <w:t>December 31, 2025, as compared to an unrealized gain of $13.3 million for the year ended December 31, 2024. During the year ended December 31, 2025, the aggregate net fair value of our open oil and natural gas costless collars and natural gas basis differential swap contracts changed from a net asset of approximately $16.0 million to a net asset of approximately $34.1 million, resulting in an unrealized gain on derivatives of approximately $18.1 million for the year ended December 31, 2025. During the year ended December 31, 2024, the aggregate net fair value of our open oil and natural gas derivative contracts changed from a net asset of approximately $2.7 million to a net asset of approximately $16.0 million, resulting in an unrealized gain on derivatives of approximately $13.3 million for the year ended December 31, 2024.</w:t>
      </w:r>
    </w:p>
    <w:p>
      <w:pPr>
        <w:sectPr>
          <w:pgSz w:w="11880" w:h="15480" w:orient="portrait"/>
          <w:cols w:equalWidth="0" w:num="1">
            <w:col w:w="10260"/>
          </w:cols>
          <w:pgMar w:left="440" w:top="49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II</w:t>
      </w:r>
    </w:p>
    <w:p>
      <w:pPr>
        <w:sectPr>
          <w:pgSz w:w="11880" w:h="15480" w:orient="portrait"/>
          <w:cols w:equalWidth="0" w:num="1">
            <w:col w:w="10260"/>
          </w:cols>
          <w:pgMar w:left="440" w:top="498" w:right="1180" w:bottom="0" w:gutter="0" w:footer="0" w:header="0"/>
          <w:type w:val="continuous"/>
        </w:sectPr>
      </w:pPr>
    </w:p>
    <w:bookmarkStart w:id="100" w:name="page101"/>
    <w:bookmarkEnd w:id="100"/>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87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Verdana" w:cs="Verdana" w:eastAsia="Verdana" w:hAnsi="Verdana"/>
          <w:sz w:val="20"/>
          <w:szCs w:val="20"/>
          <w:color w:val="214E93"/>
        </w:rPr>
        <w:t>EXPENSES</w:t>
      </w:r>
    </w:p>
    <w:p>
      <w:pPr>
        <w:spacing w:after="0" w:line="192" w:lineRule="exact"/>
        <w:rPr>
          <w:sz w:val="20"/>
          <w:szCs w:val="20"/>
          <w:color w:val="auto"/>
        </w:rPr>
      </w:pPr>
    </w:p>
    <w:p>
      <w:pPr>
        <w:ind w:left="240"/>
        <w:spacing w:after="0"/>
        <w:rPr>
          <w:sz w:val="20"/>
          <w:szCs w:val="20"/>
          <w:color w:val="auto"/>
        </w:rPr>
      </w:pPr>
      <w:r>
        <w:rPr>
          <w:rFonts w:ascii="Calibri" w:cs="Calibri" w:eastAsia="Calibri" w:hAnsi="Calibri"/>
          <w:sz w:val="18"/>
          <w:szCs w:val="18"/>
          <w:color w:val="auto"/>
        </w:rPr>
        <w:t>The following table summarizes our operating expenses and other income (expense) for the periods indicated.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60" w:type="dxa"/>
            <w:vAlign w:val="bottom"/>
          </w:tcPr>
          <w:p>
            <w:pPr>
              <w:spacing w:after="0"/>
              <w:rPr>
                <w:sz w:val="16"/>
                <w:szCs w:val="16"/>
                <w:color w:val="auto"/>
              </w:rPr>
            </w:pPr>
          </w:p>
        </w:tc>
        <w:tc>
          <w:tcPr>
            <w:tcW w:w="240" w:type="dxa"/>
            <w:vAlign w:val="bottom"/>
            <w:tcBorders>
              <w:bottom w:val="single" w:sz="8" w:color="214E93"/>
            </w:tcBorders>
          </w:tcPr>
          <w:p>
            <w:pPr>
              <w:spacing w:after="0"/>
              <w:rPr>
                <w:sz w:val="16"/>
                <w:szCs w:val="16"/>
                <w:color w:val="auto"/>
              </w:rPr>
            </w:pPr>
          </w:p>
        </w:tc>
        <w:tc>
          <w:tcPr>
            <w:tcW w:w="2920" w:type="dxa"/>
            <w:vAlign w:val="bottom"/>
            <w:tcBorders>
              <w:bottom w:val="single" w:sz="8" w:color="214E93"/>
            </w:tcBorders>
            <w:gridSpan w:val="5"/>
          </w:tcPr>
          <w:p>
            <w:pPr>
              <w:jc w:val="right"/>
              <w:ind w:right="602"/>
              <w:spacing w:after="0"/>
              <w:rPr>
                <w:sz w:val="20"/>
                <w:szCs w:val="20"/>
                <w:color w:val="auto"/>
              </w:rPr>
            </w:pPr>
            <w:r>
              <w:rPr>
                <w:rFonts w:ascii="Verdana" w:cs="Verdana" w:eastAsia="Verdana" w:hAnsi="Verdana"/>
                <w:sz w:val="14"/>
                <w:szCs w:val="14"/>
                <w:color w:val="auto"/>
              </w:rPr>
              <w:t>Year Ended December 31,</w:t>
            </w:r>
          </w:p>
        </w:tc>
      </w:tr>
      <w:tr>
        <w:trPr>
          <w:trHeight w:val="216"/>
        </w:trPr>
        <w:tc>
          <w:tcPr>
            <w:tcW w:w="6160" w:type="dxa"/>
            <w:vAlign w:val="bottom"/>
            <w:tcBorders>
              <w:bottom w:val="single" w:sz="8" w:color="214E93"/>
            </w:tcBorders>
          </w:tcPr>
          <w:p>
            <w:pPr>
              <w:spacing w:after="0"/>
              <w:rPr>
                <w:sz w:val="18"/>
                <w:szCs w:val="18"/>
                <w:color w:val="auto"/>
              </w:rPr>
            </w:pPr>
          </w:p>
        </w:tc>
        <w:tc>
          <w:tcPr>
            <w:tcW w:w="240" w:type="dxa"/>
            <w:vAlign w:val="bottom"/>
            <w:tcBorders>
              <w:bottom w:val="single" w:sz="8" w:color="214E93"/>
            </w:tcBorders>
          </w:tcPr>
          <w:p>
            <w:pPr>
              <w:spacing w:after="0"/>
              <w:rPr>
                <w:sz w:val="18"/>
                <w:szCs w:val="18"/>
                <w:color w:val="auto"/>
              </w:rPr>
            </w:pPr>
          </w:p>
        </w:tc>
        <w:tc>
          <w:tcPr>
            <w:tcW w:w="1040" w:type="dxa"/>
            <w:vAlign w:val="bottom"/>
            <w:tcBorders>
              <w:bottom w:val="single" w:sz="8" w:color="214E93"/>
            </w:tcBorders>
          </w:tcPr>
          <w:p>
            <w:pPr>
              <w:jc w:val="right"/>
              <w:ind w:right="402"/>
              <w:spacing w:after="0"/>
              <w:rPr>
                <w:sz w:val="20"/>
                <w:szCs w:val="20"/>
                <w:color w:val="auto"/>
              </w:rPr>
            </w:pPr>
            <w:r>
              <w:rPr>
                <w:rFonts w:ascii="Verdana" w:cs="Verdana" w:eastAsia="Verdana" w:hAnsi="Verdana"/>
                <w:sz w:val="14"/>
                <w:szCs w:val="14"/>
                <w:color w:val="214E93"/>
              </w:rPr>
              <w:t>2025</w:t>
            </w:r>
          </w:p>
        </w:tc>
        <w:tc>
          <w:tcPr>
            <w:tcW w:w="180" w:type="dxa"/>
            <w:vAlign w:val="bottom"/>
            <w:tcBorders>
              <w:bottom w:val="single" w:sz="8" w:color="214E93"/>
            </w:tcBorders>
          </w:tcPr>
          <w:p>
            <w:pPr>
              <w:spacing w:after="0"/>
              <w:rPr>
                <w:sz w:val="18"/>
                <w:szCs w:val="18"/>
                <w:color w:val="auto"/>
              </w:rPr>
            </w:pPr>
          </w:p>
        </w:tc>
        <w:tc>
          <w:tcPr>
            <w:tcW w:w="780" w:type="dxa"/>
            <w:vAlign w:val="bottom"/>
            <w:tcBorders>
              <w:bottom w:val="single" w:sz="8" w:color="214E93"/>
            </w:tcBorders>
          </w:tcPr>
          <w:p>
            <w:pPr>
              <w:jc w:val="right"/>
              <w:ind w:right="242"/>
              <w:spacing w:after="0"/>
              <w:rPr>
                <w:sz w:val="20"/>
                <w:szCs w:val="20"/>
                <w:color w:val="auto"/>
              </w:rPr>
            </w:pPr>
            <w:r>
              <w:rPr>
                <w:rFonts w:ascii="Verdana" w:cs="Verdana" w:eastAsia="Verdana" w:hAnsi="Verdana"/>
                <w:sz w:val="14"/>
                <w:szCs w:val="14"/>
                <w:color w:val="auto"/>
              </w:rPr>
              <w:t>2024</w:t>
            </w:r>
          </w:p>
        </w:tc>
        <w:tc>
          <w:tcPr>
            <w:tcW w:w="180" w:type="dxa"/>
            <w:vAlign w:val="bottom"/>
            <w:tcBorders>
              <w:bottom w:val="single" w:sz="8" w:color="214E93"/>
            </w:tcBorders>
          </w:tcPr>
          <w:p>
            <w:pPr>
              <w:spacing w:after="0"/>
              <w:rPr>
                <w:sz w:val="18"/>
                <w:szCs w:val="18"/>
                <w:color w:val="auto"/>
              </w:rPr>
            </w:pPr>
          </w:p>
        </w:tc>
        <w:tc>
          <w:tcPr>
            <w:tcW w:w="740" w:type="dxa"/>
            <w:vAlign w:val="bottom"/>
            <w:tcBorders>
              <w:bottom w:val="single" w:sz="8" w:color="214E93"/>
            </w:tcBorders>
          </w:tcPr>
          <w:p>
            <w:pPr>
              <w:jc w:val="right"/>
              <w:ind w:right="202"/>
              <w:spacing w:after="0"/>
              <w:rPr>
                <w:sz w:val="20"/>
                <w:szCs w:val="20"/>
                <w:color w:val="auto"/>
              </w:rPr>
            </w:pPr>
            <w:r>
              <w:rPr>
                <w:rFonts w:ascii="Verdana" w:cs="Verdana" w:eastAsia="Verdana" w:hAnsi="Verdana"/>
                <w:sz w:val="14"/>
                <w:szCs w:val="14"/>
                <w:color w:val="auto"/>
              </w:rPr>
              <w:t>2023</w:t>
            </w:r>
          </w:p>
        </w:tc>
      </w:tr>
      <w:tr>
        <w:trPr>
          <w:trHeight w:val="208"/>
        </w:trPr>
        <w:tc>
          <w:tcPr>
            <w:tcW w:w="6160" w:type="dxa"/>
            <w:vAlign w:val="bottom"/>
          </w:tcPr>
          <w:p>
            <w:pPr>
              <w:ind w:left="40"/>
              <w:spacing w:after="0"/>
              <w:rPr>
                <w:sz w:val="20"/>
                <w:szCs w:val="20"/>
                <w:color w:val="auto"/>
              </w:rPr>
            </w:pPr>
            <w:r>
              <w:rPr>
                <w:rFonts w:ascii="Verdana" w:cs="Verdana" w:eastAsia="Verdana" w:hAnsi="Verdana"/>
                <w:sz w:val="16"/>
                <w:szCs w:val="16"/>
                <w:i w:val="1"/>
                <w:iCs w:val="1"/>
                <w:color w:val="auto"/>
              </w:rPr>
              <w:t>(In thousands, except expenses per BOE)</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4"/>
        </w:trPr>
        <w:tc>
          <w:tcPr>
            <w:tcW w:w="6160" w:type="dxa"/>
            <w:vAlign w:val="bottom"/>
          </w:tcPr>
          <w:p>
            <w:pPr>
              <w:ind w:left="40"/>
              <w:spacing w:after="0" w:line="214" w:lineRule="exact"/>
              <w:rPr>
                <w:sz w:val="20"/>
                <w:szCs w:val="20"/>
                <w:color w:val="auto"/>
              </w:rPr>
            </w:pPr>
            <w:r>
              <w:rPr>
                <w:rFonts w:ascii="Calibri" w:cs="Calibri" w:eastAsia="Calibri" w:hAnsi="Calibri"/>
                <w:sz w:val="19"/>
                <w:szCs w:val="19"/>
                <w:b w:val="1"/>
                <w:bCs w:val="1"/>
                <w:color w:val="214E93"/>
              </w:rPr>
              <w:t>Expenses: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60"/>
        </w:trPr>
        <w:tc>
          <w:tcPr>
            <w:tcW w:w="6160" w:type="dxa"/>
            <w:vAlign w:val="bottom"/>
          </w:tcPr>
          <w:p>
            <w:pPr>
              <w:ind w:left="160"/>
              <w:spacing w:after="0"/>
              <w:rPr>
                <w:sz w:val="20"/>
                <w:szCs w:val="20"/>
                <w:color w:val="auto"/>
              </w:rPr>
            </w:pPr>
            <w:r>
              <w:rPr>
                <w:rFonts w:ascii="Verdana" w:cs="Verdana" w:eastAsia="Verdana" w:hAnsi="Verdana"/>
                <w:sz w:val="16"/>
                <w:szCs w:val="16"/>
                <w:color w:val="auto"/>
              </w:rPr>
              <w:t>Lease operating</w:t>
            </w:r>
          </w:p>
        </w:tc>
        <w:tc>
          <w:tcPr>
            <w:tcW w:w="240" w:type="dxa"/>
            <w:vAlign w:val="bottom"/>
          </w:tcPr>
          <w:p>
            <w:pPr>
              <w:jc w:val="right"/>
              <w:ind w:right="1"/>
              <w:spacing w:after="0"/>
              <w:rPr>
                <w:sz w:val="20"/>
                <w:szCs w:val="20"/>
                <w:color w:val="auto"/>
              </w:rPr>
            </w:pPr>
            <w:r>
              <w:rPr>
                <w:rFonts w:ascii="Verdana" w:cs="Verdana" w:eastAsia="Verdana" w:hAnsi="Verdana"/>
                <w:sz w:val="16"/>
                <w:szCs w:val="16"/>
                <w:color w:val="214E93"/>
              </w:rPr>
              <w:t>$</w:t>
            </w:r>
          </w:p>
        </w:tc>
        <w:tc>
          <w:tcPr>
            <w:tcW w:w="1040" w:type="dxa"/>
            <w:vAlign w:val="bottom"/>
          </w:tcPr>
          <w:p>
            <w:pPr>
              <w:jc w:val="right"/>
              <w:ind w:right="62"/>
              <w:spacing w:after="0"/>
              <w:rPr>
                <w:sz w:val="20"/>
                <w:szCs w:val="20"/>
                <w:color w:val="auto"/>
              </w:rPr>
            </w:pPr>
            <w:r>
              <w:rPr>
                <w:rFonts w:ascii="Verdana" w:cs="Verdana" w:eastAsia="Verdana" w:hAnsi="Verdana"/>
                <w:sz w:val="16"/>
                <w:szCs w:val="16"/>
                <w:color w:val="214E93"/>
              </w:rPr>
              <w:t>415,810</w:t>
            </w:r>
          </w:p>
        </w:tc>
        <w:tc>
          <w:tcPr>
            <w:tcW w:w="960" w:type="dxa"/>
            <w:vAlign w:val="bottom"/>
            <w:gridSpan w:val="2"/>
          </w:tcPr>
          <w:p>
            <w:pPr>
              <w:ind w:left="80"/>
              <w:spacing w:after="0"/>
              <w:rPr>
                <w:sz w:val="20"/>
                <w:szCs w:val="20"/>
                <w:color w:val="auto"/>
              </w:rPr>
            </w:pPr>
            <w:r>
              <w:rPr>
                <w:rFonts w:ascii="Verdana" w:cs="Verdana" w:eastAsia="Verdana" w:hAnsi="Verdana"/>
                <w:sz w:val="16"/>
                <w:szCs w:val="16"/>
                <w:color w:val="131313"/>
              </w:rPr>
              <w:t>$325,145</w:t>
            </w:r>
          </w:p>
        </w:tc>
        <w:tc>
          <w:tcPr>
            <w:tcW w:w="920" w:type="dxa"/>
            <w:vAlign w:val="bottom"/>
            <w:gridSpan w:val="2"/>
          </w:tcPr>
          <w:p>
            <w:pPr>
              <w:ind w:left="80"/>
              <w:spacing w:after="0"/>
              <w:rPr>
                <w:sz w:val="20"/>
                <w:szCs w:val="20"/>
                <w:color w:val="auto"/>
              </w:rPr>
            </w:pPr>
            <w:r>
              <w:rPr>
                <w:rFonts w:ascii="Verdana" w:cs="Verdana" w:eastAsia="Verdana" w:hAnsi="Verdana"/>
                <w:sz w:val="16"/>
                <w:szCs w:val="16"/>
                <w:color w:val="131313"/>
              </w:rPr>
              <w:t>$232,521</w:t>
            </w:r>
          </w:p>
        </w:tc>
      </w:tr>
      <w:tr>
        <w:trPr>
          <w:trHeight w:val="236"/>
        </w:trPr>
        <w:tc>
          <w:tcPr>
            <w:tcW w:w="6160" w:type="dxa"/>
            <w:vAlign w:val="bottom"/>
          </w:tcPr>
          <w:p>
            <w:pPr>
              <w:ind w:left="160"/>
              <w:spacing w:after="0"/>
              <w:rPr>
                <w:sz w:val="20"/>
                <w:szCs w:val="20"/>
                <w:color w:val="auto"/>
              </w:rPr>
            </w:pPr>
            <w:r>
              <w:rPr>
                <w:rFonts w:ascii="Verdana" w:cs="Verdana" w:eastAsia="Verdana" w:hAnsi="Verdana"/>
                <w:sz w:val="16"/>
                <w:szCs w:val="16"/>
                <w:color w:val="auto"/>
              </w:rPr>
              <w:t>Transportation and processing</w:t>
            </w:r>
          </w:p>
        </w:tc>
        <w:tc>
          <w:tcPr>
            <w:tcW w:w="240" w:type="dxa"/>
            <w:vAlign w:val="bottom"/>
          </w:tcPr>
          <w:p>
            <w:pPr>
              <w:spacing w:after="0"/>
              <w:rPr>
                <w:sz w:val="20"/>
                <w:szCs w:val="20"/>
                <w:color w:val="auto"/>
              </w:rPr>
            </w:pPr>
          </w:p>
        </w:tc>
        <w:tc>
          <w:tcPr>
            <w:tcW w:w="1040" w:type="dxa"/>
            <w:vAlign w:val="bottom"/>
          </w:tcPr>
          <w:p>
            <w:pPr>
              <w:jc w:val="right"/>
              <w:ind w:right="62"/>
              <w:spacing w:after="0"/>
              <w:rPr>
                <w:sz w:val="20"/>
                <w:szCs w:val="20"/>
                <w:color w:val="auto"/>
              </w:rPr>
            </w:pPr>
            <w:r>
              <w:rPr>
                <w:rFonts w:ascii="Verdana" w:cs="Verdana" w:eastAsia="Verdana" w:hAnsi="Verdana"/>
                <w:sz w:val="16"/>
                <w:szCs w:val="16"/>
                <w:color w:val="214E93"/>
              </w:rPr>
              <w:t>66,787</w:t>
            </w:r>
          </w:p>
        </w:tc>
        <w:tc>
          <w:tcPr>
            <w:tcW w:w="180" w:type="dxa"/>
            <w:vAlign w:val="bottom"/>
          </w:tcPr>
          <w:p>
            <w:pPr>
              <w:spacing w:after="0"/>
              <w:rPr>
                <w:sz w:val="20"/>
                <w:szCs w:val="20"/>
                <w:color w:val="auto"/>
              </w:rPr>
            </w:pPr>
          </w:p>
        </w:tc>
        <w:tc>
          <w:tcPr>
            <w:tcW w:w="780" w:type="dxa"/>
            <w:vAlign w:val="bottom"/>
          </w:tcPr>
          <w:p>
            <w:pPr>
              <w:jc w:val="right"/>
              <w:ind w:right="62"/>
              <w:spacing w:after="0"/>
              <w:rPr>
                <w:sz w:val="20"/>
                <w:szCs w:val="20"/>
                <w:color w:val="auto"/>
              </w:rPr>
            </w:pPr>
            <w:r>
              <w:rPr>
                <w:rFonts w:ascii="Verdana" w:cs="Verdana" w:eastAsia="Verdana" w:hAnsi="Verdana"/>
                <w:sz w:val="16"/>
                <w:szCs w:val="16"/>
                <w:color w:val="131313"/>
              </w:rPr>
              <w:t>58,593</w:t>
            </w:r>
          </w:p>
        </w:tc>
        <w:tc>
          <w:tcPr>
            <w:tcW w:w="180" w:type="dxa"/>
            <w:vAlign w:val="bottom"/>
          </w:tcPr>
          <w:p>
            <w:pPr>
              <w:spacing w:after="0"/>
              <w:rPr>
                <w:sz w:val="20"/>
                <w:szCs w:val="20"/>
                <w:color w:val="auto"/>
              </w:rPr>
            </w:pPr>
          </w:p>
        </w:tc>
        <w:tc>
          <w:tcPr>
            <w:tcW w:w="740" w:type="dxa"/>
            <w:vAlign w:val="bottom"/>
          </w:tcPr>
          <w:p>
            <w:pPr>
              <w:jc w:val="right"/>
              <w:ind w:right="22"/>
              <w:spacing w:after="0"/>
              <w:rPr>
                <w:sz w:val="20"/>
                <w:szCs w:val="20"/>
                <w:color w:val="auto"/>
              </w:rPr>
            </w:pPr>
            <w:r>
              <w:rPr>
                <w:rFonts w:ascii="Verdana" w:cs="Verdana" w:eastAsia="Verdana" w:hAnsi="Verdana"/>
                <w:sz w:val="16"/>
                <w:szCs w:val="16"/>
                <w:color w:val="131313"/>
              </w:rPr>
              <w:t>59,912</w:t>
            </w:r>
          </w:p>
        </w:tc>
      </w:tr>
      <w:tr>
        <w:trPr>
          <w:trHeight w:val="236"/>
        </w:trPr>
        <w:tc>
          <w:tcPr>
            <w:tcW w:w="6160" w:type="dxa"/>
            <w:vAlign w:val="bottom"/>
          </w:tcPr>
          <w:p>
            <w:pPr>
              <w:ind w:left="160"/>
              <w:spacing w:after="0"/>
              <w:rPr>
                <w:sz w:val="20"/>
                <w:szCs w:val="20"/>
                <w:color w:val="auto"/>
              </w:rPr>
            </w:pPr>
            <w:r>
              <w:rPr>
                <w:rFonts w:ascii="Verdana" w:cs="Verdana" w:eastAsia="Verdana" w:hAnsi="Verdana"/>
                <w:sz w:val="16"/>
                <w:szCs w:val="16"/>
                <w:color w:val="auto"/>
              </w:rPr>
              <w:t>Midstream operating</w:t>
            </w:r>
          </w:p>
        </w:tc>
        <w:tc>
          <w:tcPr>
            <w:tcW w:w="240" w:type="dxa"/>
            <w:vAlign w:val="bottom"/>
          </w:tcPr>
          <w:p>
            <w:pPr>
              <w:spacing w:after="0"/>
              <w:rPr>
                <w:sz w:val="20"/>
                <w:szCs w:val="20"/>
                <w:color w:val="auto"/>
              </w:rPr>
            </w:pPr>
          </w:p>
        </w:tc>
        <w:tc>
          <w:tcPr>
            <w:tcW w:w="1040" w:type="dxa"/>
            <w:vAlign w:val="bottom"/>
          </w:tcPr>
          <w:p>
            <w:pPr>
              <w:jc w:val="right"/>
              <w:ind w:right="62"/>
              <w:spacing w:after="0"/>
              <w:rPr>
                <w:sz w:val="20"/>
                <w:szCs w:val="20"/>
                <w:color w:val="auto"/>
              </w:rPr>
            </w:pPr>
            <w:r>
              <w:rPr>
                <w:rFonts w:ascii="Verdana" w:cs="Verdana" w:eastAsia="Verdana" w:hAnsi="Verdana"/>
                <w:sz w:val="16"/>
                <w:szCs w:val="16"/>
                <w:color w:val="214E93"/>
              </w:rPr>
              <w:t>208,142</w:t>
            </w:r>
          </w:p>
        </w:tc>
        <w:tc>
          <w:tcPr>
            <w:tcW w:w="960" w:type="dxa"/>
            <w:vAlign w:val="bottom"/>
            <w:gridSpan w:val="2"/>
          </w:tcPr>
          <w:p>
            <w:pPr>
              <w:jc w:val="right"/>
              <w:ind w:right="62"/>
              <w:spacing w:after="0"/>
              <w:rPr>
                <w:sz w:val="20"/>
                <w:szCs w:val="20"/>
                <w:color w:val="auto"/>
              </w:rPr>
            </w:pPr>
            <w:r>
              <w:rPr>
                <w:rFonts w:ascii="Verdana" w:cs="Verdana" w:eastAsia="Verdana" w:hAnsi="Verdana"/>
                <w:sz w:val="16"/>
                <w:szCs w:val="16"/>
                <w:color w:val="131313"/>
              </w:rPr>
              <w:t>167,400</w:t>
            </w:r>
          </w:p>
        </w:tc>
        <w:tc>
          <w:tcPr>
            <w:tcW w:w="920" w:type="dxa"/>
            <w:vAlign w:val="bottom"/>
            <w:gridSpan w:val="2"/>
          </w:tcPr>
          <w:p>
            <w:pPr>
              <w:jc w:val="right"/>
              <w:ind w:right="22"/>
              <w:spacing w:after="0"/>
              <w:rPr>
                <w:sz w:val="20"/>
                <w:szCs w:val="20"/>
                <w:color w:val="auto"/>
              </w:rPr>
            </w:pPr>
            <w:r>
              <w:rPr>
                <w:rFonts w:ascii="Verdana" w:cs="Verdana" w:eastAsia="Verdana" w:hAnsi="Verdana"/>
                <w:sz w:val="16"/>
                <w:szCs w:val="16"/>
                <w:color w:val="131313"/>
              </w:rPr>
              <w:t>124,021</w:t>
            </w:r>
          </w:p>
        </w:tc>
      </w:tr>
      <w:tr>
        <w:trPr>
          <w:trHeight w:val="236"/>
        </w:trPr>
        <w:tc>
          <w:tcPr>
            <w:tcW w:w="6160" w:type="dxa"/>
            <w:vAlign w:val="bottom"/>
          </w:tcPr>
          <w:p>
            <w:pPr>
              <w:ind w:left="160"/>
              <w:spacing w:after="0"/>
              <w:rPr>
                <w:sz w:val="20"/>
                <w:szCs w:val="20"/>
                <w:color w:val="auto"/>
              </w:rPr>
            </w:pPr>
            <w:r>
              <w:rPr>
                <w:rFonts w:ascii="Verdana" w:cs="Verdana" w:eastAsia="Verdana" w:hAnsi="Verdana"/>
                <w:sz w:val="16"/>
                <w:szCs w:val="16"/>
                <w:color w:val="auto"/>
              </w:rPr>
              <w:t>Purchased natural gas</w:t>
            </w:r>
          </w:p>
        </w:tc>
        <w:tc>
          <w:tcPr>
            <w:tcW w:w="240" w:type="dxa"/>
            <w:vAlign w:val="bottom"/>
          </w:tcPr>
          <w:p>
            <w:pPr>
              <w:spacing w:after="0"/>
              <w:rPr>
                <w:sz w:val="20"/>
                <w:szCs w:val="20"/>
                <w:color w:val="auto"/>
              </w:rPr>
            </w:pPr>
          </w:p>
        </w:tc>
        <w:tc>
          <w:tcPr>
            <w:tcW w:w="1040" w:type="dxa"/>
            <w:vAlign w:val="bottom"/>
          </w:tcPr>
          <w:p>
            <w:pPr>
              <w:jc w:val="right"/>
              <w:ind w:right="62"/>
              <w:spacing w:after="0"/>
              <w:rPr>
                <w:sz w:val="20"/>
                <w:szCs w:val="20"/>
                <w:color w:val="auto"/>
              </w:rPr>
            </w:pPr>
            <w:r>
              <w:rPr>
                <w:rFonts w:ascii="Verdana" w:cs="Verdana" w:eastAsia="Verdana" w:hAnsi="Verdana"/>
                <w:sz w:val="16"/>
                <w:szCs w:val="16"/>
                <w:color w:val="214E93"/>
              </w:rPr>
              <w:t>163,094</w:t>
            </w:r>
          </w:p>
        </w:tc>
        <w:tc>
          <w:tcPr>
            <w:tcW w:w="960" w:type="dxa"/>
            <w:vAlign w:val="bottom"/>
            <w:gridSpan w:val="2"/>
          </w:tcPr>
          <w:p>
            <w:pPr>
              <w:jc w:val="right"/>
              <w:ind w:right="62"/>
              <w:spacing w:after="0"/>
              <w:rPr>
                <w:sz w:val="20"/>
                <w:szCs w:val="20"/>
                <w:color w:val="auto"/>
              </w:rPr>
            </w:pPr>
            <w:r>
              <w:rPr>
                <w:rFonts w:ascii="Verdana" w:cs="Verdana" w:eastAsia="Verdana" w:hAnsi="Verdana"/>
                <w:sz w:val="16"/>
                <w:szCs w:val="16"/>
                <w:color w:val="131313"/>
              </w:rPr>
              <w:t>142,715</w:t>
            </w:r>
          </w:p>
        </w:tc>
        <w:tc>
          <w:tcPr>
            <w:tcW w:w="920" w:type="dxa"/>
            <w:vAlign w:val="bottom"/>
            <w:gridSpan w:val="2"/>
          </w:tcPr>
          <w:p>
            <w:pPr>
              <w:jc w:val="right"/>
              <w:ind w:right="22"/>
              <w:spacing w:after="0"/>
              <w:rPr>
                <w:sz w:val="20"/>
                <w:szCs w:val="20"/>
                <w:color w:val="auto"/>
              </w:rPr>
            </w:pPr>
            <w:r>
              <w:rPr>
                <w:rFonts w:ascii="Verdana" w:cs="Verdana" w:eastAsia="Verdana" w:hAnsi="Verdana"/>
                <w:sz w:val="16"/>
                <w:szCs w:val="16"/>
                <w:color w:val="131313"/>
              </w:rPr>
              <w:t>129,401</w:t>
            </w:r>
          </w:p>
        </w:tc>
      </w:tr>
      <w:tr>
        <w:trPr>
          <w:trHeight w:val="236"/>
        </w:trPr>
        <w:tc>
          <w:tcPr>
            <w:tcW w:w="6160" w:type="dxa"/>
            <w:vAlign w:val="bottom"/>
          </w:tcPr>
          <w:p>
            <w:pPr>
              <w:ind w:left="160"/>
              <w:spacing w:after="0"/>
              <w:rPr>
                <w:sz w:val="20"/>
                <w:szCs w:val="20"/>
                <w:color w:val="auto"/>
              </w:rPr>
            </w:pPr>
            <w:r>
              <w:rPr>
                <w:rFonts w:ascii="Verdana" w:cs="Verdana" w:eastAsia="Verdana" w:hAnsi="Verdana"/>
                <w:sz w:val="16"/>
                <w:szCs w:val="16"/>
                <w:color w:val="auto"/>
              </w:rPr>
              <w:t>Depletion, depreciation and amortization</w:t>
            </w:r>
          </w:p>
        </w:tc>
        <w:tc>
          <w:tcPr>
            <w:tcW w:w="240" w:type="dxa"/>
            <w:vAlign w:val="bottom"/>
          </w:tcPr>
          <w:p>
            <w:pPr>
              <w:spacing w:after="0"/>
              <w:rPr>
                <w:sz w:val="20"/>
                <w:szCs w:val="20"/>
                <w:color w:val="auto"/>
              </w:rPr>
            </w:pPr>
          </w:p>
        </w:tc>
        <w:tc>
          <w:tcPr>
            <w:tcW w:w="1040" w:type="dxa"/>
            <w:vAlign w:val="bottom"/>
          </w:tcPr>
          <w:p>
            <w:pPr>
              <w:jc w:val="right"/>
              <w:ind w:right="62"/>
              <w:spacing w:after="0"/>
              <w:rPr>
                <w:sz w:val="20"/>
                <w:szCs w:val="20"/>
                <w:color w:val="auto"/>
              </w:rPr>
            </w:pPr>
            <w:r>
              <w:rPr>
                <w:rFonts w:ascii="Verdana" w:cs="Verdana" w:eastAsia="Verdana" w:hAnsi="Verdana"/>
                <w:sz w:val="16"/>
                <w:szCs w:val="16"/>
                <w:color w:val="214E93"/>
              </w:rPr>
              <w:t>1,195,358</w:t>
            </w:r>
          </w:p>
        </w:tc>
        <w:tc>
          <w:tcPr>
            <w:tcW w:w="960" w:type="dxa"/>
            <w:vAlign w:val="bottom"/>
            <w:gridSpan w:val="2"/>
          </w:tcPr>
          <w:p>
            <w:pPr>
              <w:jc w:val="right"/>
              <w:ind w:right="62"/>
              <w:spacing w:after="0"/>
              <w:rPr>
                <w:sz w:val="20"/>
                <w:szCs w:val="20"/>
                <w:color w:val="auto"/>
              </w:rPr>
            </w:pPr>
            <w:r>
              <w:rPr>
                <w:rFonts w:ascii="Verdana" w:cs="Verdana" w:eastAsia="Verdana" w:hAnsi="Verdana"/>
                <w:sz w:val="16"/>
                <w:szCs w:val="16"/>
                <w:color w:val="131313"/>
              </w:rPr>
              <w:t>974,300</w:t>
            </w:r>
          </w:p>
        </w:tc>
        <w:tc>
          <w:tcPr>
            <w:tcW w:w="920" w:type="dxa"/>
            <w:vAlign w:val="bottom"/>
            <w:gridSpan w:val="2"/>
          </w:tcPr>
          <w:p>
            <w:pPr>
              <w:jc w:val="right"/>
              <w:ind w:right="22"/>
              <w:spacing w:after="0"/>
              <w:rPr>
                <w:sz w:val="20"/>
                <w:szCs w:val="20"/>
                <w:color w:val="auto"/>
              </w:rPr>
            </w:pPr>
            <w:r>
              <w:rPr>
                <w:rFonts w:ascii="Verdana" w:cs="Verdana" w:eastAsia="Verdana" w:hAnsi="Verdana"/>
                <w:sz w:val="16"/>
                <w:szCs w:val="16"/>
                <w:color w:val="131313"/>
              </w:rPr>
              <w:t>716,688</w:t>
            </w:r>
          </w:p>
        </w:tc>
      </w:tr>
      <w:tr>
        <w:trPr>
          <w:trHeight w:val="236"/>
        </w:trPr>
        <w:tc>
          <w:tcPr>
            <w:tcW w:w="6160" w:type="dxa"/>
            <w:vAlign w:val="bottom"/>
          </w:tcPr>
          <w:p>
            <w:pPr>
              <w:ind w:left="160"/>
              <w:spacing w:after="0"/>
              <w:rPr>
                <w:sz w:val="20"/>
                <w:szCs w:val="20"/>
                <w:color w:val="auto"/>
              </w:rPr>
            </w:pPr>
            <w:r>
              <w:rPr>
                <w:rFonts w:ascii="Verdana" w:cs="Verdana" w:eastAsia="Verdana" w:hAnsi="Verdana"/>
                <w:sz w:val="16"/>
                <w:szCs w:val="16"/>
                <w:color w:val="auto"/>
              </w:rPr>
              <w:t>Taxes other than income</w:t>
            </w:r>
          </w:p>
        </w:tc>
        <w:tc>
          <w:tcPr>
            <w:tcW w:w="240" w:type="dxa"/>
            <w:vAlign w:val="bottom"/>
          </w:tcPr>
          <w:p>
            <w:pPr>
              <w:spacing w:after="0"/>
              <w:rPr>
                <w:sz w:val="20"/>
                <w:szCs w:val="20"/>
                <w:color w:val="auto"/>
              </w:rPr>
            </w:pPr>
          </w:p>
        </w:tc>
        <w:tc>
          <w:tcPr>
            <w:tcW w:w="1040" w:type="dxa"/>
            <w:vAlign w:val="bottom"/>
          </w:tcPr>
          <w:p>
            <w:pPr>
              <w:jc w:val="right"/>
              <w:ind w:right="62"/>
              <w:spacing w:after="0"/>
              <w:rPr>
                <w:sz w:val="20"/>
                <w:szCs w:val="20"/>
                <w:color w:val="auto"/>
              </w:rPr>
            </w:pPr>
            <w:r>
              <w:rPr>
                <w:rFonts w:ascii="Verdana" w:cs="Verdana" w:eastAsia="Verdana" w:hAnsi="Verdana"/>
                <w:sz w:val="16"/>
                <w:szCs w:val="16"/>
                <w:color w:val="214E93"/>
              </w:rPr>
              <w:t>275,629</w:t>
            </w:r>
          </w:p>
        </w:tc>
        <w:tc>
          <w:tcPr>
            <w:tcW w:w="960" w:type="dxa"/>
            <w:vAlign w:val="bottom"/>
            <w:gridSpan w:val="2"/>
          </w:tcPr>
          <w:p>
            <w:pPr>
              <w:jc w:val="right"/>
              <w:ind w:right="62"/>
              <w:spacing w:after="0"/>
              <w:rPr>
                <w:sz w:val="20"/>
                <w:szCs w:val="20"/>
                <w:color w:val="auto"/>
              </w:rPr>
            </w:pPr>
            <w:r>
              <w:rPr>
                <w:rFonts w:ascii="Verdana" w:cs="Verdana" w:eastAsia="Verdana" w:hAnsi="Verdana"/>
                <w:sz w:val="16"/>
                <w:szCs w:val="16"/>
                <w:color w:val="131313"/>
              </w:rPr>
              <w:t>268,649</w:t>
            </w:r>
          </w:p>
        </w:tc>
        <w:tc>
          <w:tcPr>
            <w:tcW w:w="920" w:type="dxa"/>
            <w:vAlign w:val="bottom"/>
            <w:gridSpan w:val="2"/>
          </w:tcPr>
          <w:p>
            <w:pPr>
              <w:jc w:val="right"/>
              <w:ind w:right="22"/>
              <w:spacing w:after="0"/>
              <w:rPr>
                <w:sz w:val="20"/>
                <w:szCs w:val="20"/>
                <w:color w:val="auto"/>
              </w:rPr>
            </w:pPr>
            <w:r>
              <w:rPr>
                <w:rFonts w:ascii="Verdana" w:cs="Verdana" w:eastAsia="Verdana" w:hAnsi="Verdana"/>
                <w:sz w:val="16"/>
                <w:szCs w:val="16"/>
                <w:color w:val="131313"/>
              </w:rPr>
              <w:t>220,604</w:t>
            </w:r>
          </w:p>
        </w:tc>
      </w:tr>
      <w:tr>
        <w:trPr>
          <w:trHeight w:val="236"/>
        </w:trPr>
        <w:tc>
          <w:tcPr>
            <w:tcW w:w="6160" w:type="dxa"/>
            <w:vAlign w:val="bottom"/>
          </w:tcPr>
          <w:p>
            <w:pPr>
              <w:ind w:left="160"/>
              <w:spacing w:after="0"/>
              <w:rPr>
                <w:sz w:val="20"/>
                <w:szCs w:val="20"/>
                <w:color w:val="auto"/>
              </w:rPr>
            </w:pPr>
            <w:r>
              <w:rPr>
                <w:rFonts w:ascii="Verdana" w:cs="Verdana" w:eastAsia="Verdana" w:hAnsi="Verdana"/>
                <w:sz w:val="16"/>
                <w:szCs w:val="16"/>
                <w:color w:val="auto"/>
              </w:rPr>
              <w:t>Accretion of asset retirement obligations</w:t>
            </w:r>
          </w:p>
        </w:tc>
        <w:tc>
          <w:tcPr>
            <w:tcW w:w="240" w:type="dxa"/>
            <w:vAlign w:val="bottom"/>
          </w:tcPr>
          <w:p>
            <w:pPr>
              <w:spacing w:after="0"/>
              <w:rPr>
                <w:sz w:val="20"/>
                <w:szCs w:val="20"/>
                <w:color w:val="auto"/>
              </w:rPr>
            </w:pPr>
          </w:p>
        </w:tc>
        <w:tc>
          <w:tcPr>
            <w:tcW w:w="1040" w:type="dxa"/>
            <w:vAlign w:val="bottom"/>
          </w:tcPr>
          <w:p>
            <w:pPr>
              <w:jc w:val="right"/>
              <w:ind w:right="62"/>
              <w:spacing w:after="0"/>
              <w:rPr>
                <w:sz w:val="20"/>
                <w:szCs w:val="20"/>
                <w:color w:val="auto"/>
              </w:rPr>
            </w:pPr>
            <w:r>
              <w:rPr>
                <w:rFonts w:ascii="Verdana" w:cs="Verdana" w:eastAsia="Verdana" w:hAnsi="Verdana"/>
                <w:sz w:val="16"/>
                <w:szCs w:val="16"/>
                <w:color w:val="214E93"/>
              </w:rPr>
              <w:t>7,846</w:t>
            </w:r>
          </w:p>
        </w:tc>
        <w:tc>
          <w:tcPr>
            <w:tcW w:w="180" w:type="dxa"/>
            <w:vAlign w:val="bottom"/>
          </w:tcPr>
          <w:p>
            <w:pPr>
              <w:spacing w:after="0"/>
              <w:rPr>
                <w:sz w:val="20"/>
                <w:szCs w:val="20"/>
                <w:color w:val="auto"/>
              </w:rPr>
            </w:pPr>
          </w:p>
        </w:tc>
        <w:tc>
          <w:tcPr>
            <w:tcW w:w="780" w:type="dxa"/>
            <w:vAlign w:val="bottom"/>
          </w:tcPr>
          <w:p>
            <w:pPr>
              <w:jc w:val="right"/>
              <w:ind w:right="62"/>
              <w:spacing w:after="0"/>
              <w:rPr>
                <w:sz w:val="20"/>
                <w:szCs w:val="20"/>
                <w:color w:val="auto"/>
              </w:rPr>
            </w:pPr>
            <w:r>
              <w:rPr>
                <w:rFonts w:ascii="Verdana" w:cs="Verdana" w:eastAsia="Verdana" w:hAnsi="Verdana"/>
                <w:sz w:val="16"/>
                <w:szCs w:val="16"/>
                <w:color w:val="131313"/>
              </w:rPr>
              <w:t>6,027</w:t>
            </w:r>
          </w:p>
        </w:tc>
        <w:tc>
          <w:tcPr>
            <w:tcW w:w="180" w:type="dxa"/>
            <w:vAlign w:val="bottom"/>
          </w:tcPr>
          <w:p>
            <w:pPr>
              <w:spacing w:after="0"/>
              <w:rPr>
                <w:sz w:val="20"/>
                <w:szCs w:val="20"/>
                <w:color w:val="auto"/>
              </w:rPr>
            </w:pPr>
          </w:p>
        </w:tc>
        <w:tc>
          <w:tcPr>
            <w:tcW w:w="740" w:type="dxa"/>
            <w:vAlign w:val="bottom"/>
          </w:tcPr>
          <w:p>
            <w:pPr>
              <w:jc w:val="right"/>
              <w:ind w:right="22"/>
              <w:spacing w:after="0"/>
              <w:rPr>
                <w:sz w:val="20"/>
                <w:szCs w:val="20"/>
                <w:color w:val="auto"/>
              </w:rPr>
            </w:pPr>
            <w:r>
              <w:rPr>
                <w:rFonts w:ascii="Verdana" w:cs="Verdana" w:eastAsia="Verdana" w:hAnsi="Verdana"/>
                <w:sz w:val="16"/>
                <w:szCs w:val="16"/>
                <w:color w:val="131313"/>
              </w:rPr>
              <w:t>3,943</w:t>
            </w:r>
          </w:p>
        </w:tc>
      </w:tr>
      <w:tr>
        <w:trPr>
          <w:trHeight w:val="242"/>
        </w:trPr>
        <w:tc>
          <w:tcPr>
            <w:tcW w:w="6160" w:type="dxa"/>
            <w:vAlign w:val="bottom"/>
            <w:tcBorders>
              <w:bottom w:val="single" w:sz="8" w:color="auto"/>
            </w:tcBorders>
          </w:tcPr>
          <w:p>
            <w:pPr>
              <w:ind w:left="160"/>
              <w:spacing w:after="0"/>
              <w:rPr>
                <w:sz w:val="20"/>
                <w:szCs w:val="20"/>
                <w:color w:val="auto"/>
              </w:rPr>
            </w:pPr>
            <w:r>
              <w:rPr>
                <w:rFonts w:ascii="Verdana" w:cs="Verdana" w:eastAsia="Verdana" w:hAnsi="Verdana"/>
                <w:sz w:val="16"/>
                <w:szCs w:val="16"/>
                <w:color w:val="auto"/>
              </w:rPr>
              <w:t>General and administrative</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62"/>
              <w:spacing w:after="0"/>
              <w:rPr>
                <w:sz w:val="20"/>
                <w:szCs w:val="20"/>
                <w:color w:val="auto"/>
              </w:rPr>
            </w:pPr>
            <w:r>
              <w:rPr>
                <w:rFonts w:ascii="Verdana" w:cs="Verdana" w:eastAsia="Verdana" w:hAnsi="Verdana"/>
                <w:sz w:val="16"/>
                <w:szCs w:val="16"/>
                <w:color w:val="214E93"/>
              </w:rPr>
              <w:t>137,069</w:t>
            </w:r>
          </w:p>
        </w:tc>
        <w:tc>
          <w:tcPr>
            <w:tcW w:w="960" w:type="dxa"/>
            <w:vAlign w:val="bottom"/>
            <w:tcBorders>
              <w:bottom w:val="single" w:sz="8" w:color="auto"/>
            </w:tcBorders>
            <w:gridSpan w:val="2"/>
          </w:tcPr>
          <w:p>
            <w:pPr>
              <w:jc w:val="right"/>
              <w:ind w:right="62"/>
              <w:spacing w:after="0"/>
              <w:rPr>
                <w:sz w:val="20"/>
                <w:szCs w:val="20"/>
                <w:color w:val="auto"/>
              </w:rPr>
            </w:pPr>
            <w:r>
              <w:rPr>
                <w:rFonts w:ascii="Verdana" w:cs="Verdana" w:eastAsia="Verdana" w:hAnsi="Verdana"/>
                <w:sz w:val="16"/>
                <w:szCs w:val="16"/>
                <w:color w:val="131313"/>
              </w:rPr>
              <w:t>127,454</w:t>
            </w:r>
          </w:p>
        </w:tc>
        <w:tc>
          <w:tcPr>
            <w:tcW w:w="920" w:type="dxa"/>
            <w:vAlign w:val="bottom"/>
            <w:tcBorders>
              <w:bottom w:val="single" w:sz="8" w:color="auto"/>
            </w:tcBorders>
            <w:gridSpan w:val="2"/>
          </w:tcPr>
          <w:p>
            <w:pPr>
              <w:jc w:val="right"/>
              <w:ind w:right="22"/>
              <w:spacing w:after="0"/>
              <w:rPr>
                <w:sz w:val="20"/>
                <w:szCs w:val="20"/>
                <w:color w:val="auto"/>
              </w:rPr>
            </w:pPr>
            <w:r>
              <w:rPr>
                <w:rFonts w:ascii="Verdana" w:cs="Verdana" w:eastAsia="Verdana" w:hAnsi="Verdana"/>
                <w:sz w:val="16"/>
                <w:szCs w:val="16"/>
                <w:color w:val="131313"/>
              </w:rPr>
              <w:t>110,373</w:t>
            </w:r>
          </w:p>
        </w:tc>
      </w:tr>
      <w:tr>
        <w:trPr>
          <w:trHeight w:val="211"/>
        </w:trPr>
        <w:tc>
          <w:tcPr>
            <w:tcW w:w="6160" w:type="dxa"/>
            <w:vAlign w:val="bottom"/>
          </w:tcPr>
          <w:p>
            <w:pPr>
              <w:ind w:left="280"/>
              <w:spacing w:after="0"/>
              <w:rPr>
                <w:sz w:val="20"/>
                <w:szCs w:val="20"/>
                <w:color w:val="auto"/>
              </w:rPr>
            </w:pPr>
            <w:r>
              <w:rPr>
                <w:rFonts w:ascii="Verdana" w:cs="Verdana" w:eastAsia="Verdana" w:hAnsi="Verdana"/>
                <w:sz w:val="16"/>
                <w:szCs w:val="16"/>
                <w:color w:val="auto"/>
              </w:rPr>
              <w:t>Total expenses</w:t>
            </w:r>
          </w:p>
        </w:tc>
        <w:tc>
          <w:tcPr>
            <w:tcW w:w="240" w:type="dxa"/>
            <w:vAlign w:val="bottom"/>
          </w:tcPr>
          <w:p>
            <w:pPr>
              <w:spacing w:after="0"/>
              <w:rPr>
                <w:sz w:val="18"/>
                <w:szCs w:val="18"/>
                <w:color w:val="auto"/>
              </w:rPr>
            </w:pPr>
          </w:p>
        </w:tc>
        <w:tc>
          <w:tcPr>
            <w:tcW w:w="1040" w:type="dxa"/>
            <w:vAlign w:val="bottom"/>
          </w:tcPr>
          <w:p>
            <w:pPr>
              <w:jc w:val="right"/>
              <w:ind w:right="62"/>
              <w:spacing w:after="0"/>
              <w:rPr>
                <w:sz w:val="20"/>
                <w:szCs w:val="20"/>
                <w:color w:val="auto"/>
              </w:rPr>
            </w:pPr>
            <w:r>
              <w:rPr>
                <w:rFonts w:ascii="Verdana" w:cs="Verdana" w:eastAsia="Verdana" w:hAnsi="Verdana"/>
                <w:sz w:val="16"/>
                <w:szCs w:val="16"/>
                <w:color w:val="214E93"/>
              </w:rPr>
              <w:t>2,469,735</w:t>
            </w:r>
          </w:p>
        </w:tc>
        <w:tc>
          <w:tcPr>
            <w:tcW w:w="960" w:type="dxa"/>
            <w:vAlign w:val="bottom"/>
            <w:gridSpan w:val="2"/>
          </w:tcPr>
          <w:p>
            <w:pPr>
              <w:ind w:left="80"/>
              <w:spacing w:after="0"/>
              <w:rPr>
                <w:sz w:val="20"/>
                <w:szCs w:val="20"/>
                <w:color w:val="auto"/>
              </w:rPr>
            </w:pPr>
            <w:r>
              <w:rPr>
                <w:rFonts w:ascii="Verdana" w:cs="Verdana" w:eastAsia="Verdana" w:hAnsi="Verdana"/>
                <w:sz w:val="16"/>
                <w:szCs w:val="16"/>
                <w:color w:val="131313"/>
              </w:rPr>
              <w:t>2,070,283</w:t>
            </w:r>
          </w:p>
        </w:tc>
        <w:tc>
          <w:tcPr>
            <w:tcW w:w="920" w:type="dxa"/>
            <w:vAlign w:val="bottom"/>
            <w:gridSpan w:val="2"/>
          </w:tcPr>
          <w:p>
            <w:pPr>
              <w:ind w:left="80"/>
              <w:spacing w:after="0"/>
              <w:rPr>
                <w:sz w:val="20"/>
                <w:szCs w:val="20"/>
                <w:color w:val="auto"/>
              </w:rPr>
            </w:pPr>
            <w:r>
              <w:rPr>
                <w:rFonts w:ascii="Verdana" w:cs="Verdana" w:eastAsia="Verdana" w:hAnsi="Verdana"/>
                <w:sz w:val="16"/>
                <w:szCs w:val="16"/>
                <w:color w:val="131313"/>
                <w:w w:val="98"/>
              </w:rPr>
              <w:t>1,597,463</w:t>
            </w:r>
          </w:p>
        </w:tc>
      </w:tr>
      <w:tr>
        <w:trPr>
          <w:trHeight w:val="234"/>
        </w:trPr>
        <w:tc>
          <w:tcPr>
            <w:tcW w:w="6160" w:type="dxa"/>
            <w:vAlign w:val="bottom"/>
          </w:tcPr>
          <w:p>
            <w:pPr>
              <w:ind w:left="40"/>
              <w:spacing w:after="0"/>
              <w:rPr>
                <w:sz w:val="20"/>
                <w:szCs w:val="20"/>
                <w:color w:val="auto"/>
              </w:rPr>
            </w:pPr>
            <w:r>
              <w:rPr>
                <w:rFonts w:ascii="Verdana" w:cs="Verdana" w:eastAsia="Verdana" w:hAnsi="Verdana"/>
                <w:sz w:val="16"/>
                <w:szCs w:val="16"/>
                <w:color w:val="auto"/>
              </w:rPr>
              <w:t>Operating income</w:t>
            </w:r>
          </w:p>
        </w:tc>
        <w:tc>
          <w:tcPr>
            <w:tcW w:w="240" w:type="dxa"/>
            <w:vAlign w:val="bottom"/>
          </w:tcPr>
          <w:p>
            <w:pPr>
              <w:spacing w:after="0"/>
              <w:rPr>
                <w:sz w:val="20"/>
                <w:szCs w:val="20"/>
                <w:color w:val="auto"/>
              </w:rPr>
            </w:pPr>
          </w:p>
        </w:tc>
        <w:tc>
          <w:tcPr>
            <w:tcW w:w="1040" w:type="dxa"/>
            <w:vAlign w:val="bottom"/>
          </w:tcPr>
          <w:p>
            <w:pPr>
              <w:jc w:val="right"/>
              <w:ind w:right="62"/>
              <w:spacing w:after="0"/>
              <w:rPr>
                <w:sz w:val="20"/>
                <w:szCs w:val="20"/>
                <w:color w:val="auto"/>
              </w:rPr>
            </w:pPr>
            <w:r>
              <w:rPr>
                <w:rFonts w:ascii="Verdana" w:cs="Verdana" w:eastAsia="Verdana" w:hAnsi="Verdana"/>
                <w:sz w:val="16"/>
                <w:szCs w:val="16"/>
                <w:color w:val="214E93"/>
              </w:rPr>
              <w:t>1,226,542</w:t>
            </w:r>
          </w:p>
        </w:tc>
        <w:tc>
          <w:tcPr>
            <w:tcW w:w="960" w:type="dxa"/>
            <w:vAlign w:val="bottom"/>
            <w:gridSpan w:val="2"/>
          </w:tcPr>
          <w:p>
            <w:pPr>
              <w:ind w:left="80"/>
              <w:spacing w:after="0"/>
              <w:rPr>
                <w:sz w:val="20"/>
                <w:szCs w:val="20"/>
                <w:color w:val="auto"/>
              </w:rPr>
            </w:pPr>
            <w:r>
              <w:rPr>
                <w:rFonts w:ascii="Verdana" w:cs="Verdana" w:eastAsia="Verdana" w:hAnsi="Verdana"/>
                <w:sz w:val="16"/>
                <w:szCs w:val="16"/>
                <w:color w:val="131313"/>
              </w:rPr>
              <w:t>1,434,698</w:t>
            </w:r>
          </w:p>
        </w:tc>
        <w:tc>
          <w:tcPr>
            <w:tcW w:w="920" w:type="dxa"/>
            <w:vAlign w:val="bottom"/>
            <w:gridSpan w:val="2"/>
          </w:tcPr>
          <w:p>
            <w:pPr>
              <w:ind w:left="80"/>
              <w:spacing w:after="0"/>
              <w:rPr>
                <w:sz w:val="20"/>
                <w:szCs w:val="20"/>
                <w:color w:val="auto"/>
              </w:rPr>
            </w:pPr>
            <w:r>
              <w:rPr>
                <w:rFonts w:ascii="Verdana" w:cs="Verdana" w:eastAsia="Verdana" w:hAnsi="Verdana"/>
                <w:sz w:val="16"/>
                <w:szCs w:val="16"/>
                <w:color w:val="131313"/>
                <w:w w:val="98"/>
              </w:rPr>
              <w:t>1,209,322</w:t>
            </w:r>
          </w:p>
        </w:tc>
      </w:tr>
      <w:tr>
        <w:trPr>
          <w:trHeight w:val="214"/>
        </w:trPr>
        <w:tc>
          <w:tcPr>
            <w:tcW w:w="6160" w:type="dxa"/>
            <w:vAlign w:val="bottom"/>
          </w:tcPr>
          <w:p>
            <w:pPr>
              <w:ind w:left="40"/>
              <w:spacing w:after="0" w:line="214" w:lineRule="exact"/>
              <w:rPr>
                <w:sz w:val="20"/>
                <w:szCs w:val="20"/>
                <w:color w:val="auto"/>
              </w:rPr>
            </w:pPr>
            <w:r>
              <w:rPr>
                <w:rFonts w:ascii="Calibri" w:cs="Calibri" w:eastAsia="Calibri" w:hAnsi="Calibri"/>
                <w:sz w:val="19"/>
                <w:szCs w:val="19"/>
                <w:b w:val="1"/>
                <w:bCs w:val="1"/>
                <w:color w:val="214E93"/>
              </w:rPr>
              <w:t>Other income (expense):</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60"/>
        </w:trPr>
        <w:tc>
          <w:tcPr>
            <w:tcW w:w="6160" w:type="dxa"/>
            <w:vAlign w:val="bottom"/>
          </w:tcPr>
          <w:p>
            <w:pPr>
              <w:ind w:left="160"/>
              <w:spacing w:after="0"/>
              <w:rPr>
                <w:sz w:val="20"/>
                <w:szCs w:val="20"/>
                <w:color w:val="auto"/>
              </w:rPr>
            </w:pPr>
            <w:r>
              <w:rPr>
                <w:rFonts w:ascii="Verdana" w:cs="Verdana" w:eastAsia="Verdana" w:hAnsi="Verdana"/>
                <w:sz w:val="16"/>
                <w:szCs w:val="16"/>
                <w:color w:val="auto"/>
              </w:rPr>
              <w:t>Net loss on asset sales and impairment</w:t>
            </w:r>
          </w:p>
        </w:tc>
        <w:tc>
          <w:tcPr>
            <w:tcW w:w="2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Verdana" w:cs="Verdana" w:eastAsia="Verdana" w:hAnsi="Verdana"/>
                <w:sz w:val="16"/>
                <w:szCs w:val="16"/>
                <w:color w:val="214E93"/>
              </w:rPr>
              <w:t>(589)</w:t>
            </w:r>
          </w:p>
        </w:tc>
        <w:tc>
          <w:tcPr>
            <w:tcW w:w="180" w:type="dxa"/>
            <w:vAlign w:val="bottom"/>
          </w:tcPr>
          <w:p>
            <w:pPr>
              <w:spacing w:after="0"/>
              <w:rPr>
                <w:sz w:val="22"/>
                <w:szCs w:val="22"/>
                <w:color w:val="auto"/>
              </w:rPr>
            </w:pPr>
          </w:p>
        </w:tc>
        <w:tc>
          <w:tcPr>
            <w:tcW w:w="780" w:type="dxa"/>
            <w:vAlign w:val="bottom"/>
          </w:tcPr>
          <w:p>
            <w:pPr>
              <w:jc w:val="right"/>
              <w:ind w:right="62"/>
              <w:spacing w:after="0"/>
              <w:rPr>
                <w:sz w:val="20"/>
                <w:szCs w:val="20"/>
                <w:color w:val="auto"/>
              </w:rPr>
            </w:pPr>
            <w:r>
              <w:rPr>
                <w:rFonts w:ascii="Verdana" w:cs="Verdana" w:eastAsia="Verdana" w:hAnsi="Verdana"/>
                <w:sz w:val="16"/>
                <w:szCs w:val="16"/>
                <w:color w:val="131313"/>
              </w:rPr>
              <w:t>—</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Verdana" w:cs="Verdana" w:eastAsia="Verdana" w:hAnsi="Verdana"/>
                <w:sz w:val="16"/>
                <w:szCs w:val="16"/>
                <w:color w:val="131313"/>
              </w:rPr>
              <w:t>(202)</w:t>
            </w:r>
          </w:p>
        </w:tc>
      </w:tr>
      <w:tr>
        <w:trPr>
          <w:trHeight w:val="236"/>
        </w:trPr>
        <w:tc>
          <w:tcPr>
            <w:tcW w:w="6160" w:type="dxa"/>
            <w:vAlign w:val="bottom"/>
          </w:tcPr>
          <w:p>
            <w:pPr>
              <w:ind w:left="160"/>
              <w:spacing w:after="0"/>
              <w:rPr>
                <w:sz w:val="20"/>
                <w:szCs w:val="20"/>
                <w:color w:val="auto"/>
              </w:rPr>
            </w:pPr>
            <w:r>
              <w:rPr>
                <w:rFonts w:ascii="Verdana" w:cs="Verdana" w:eastAsia="Verdana" w:hAnsi="Verdana"/>
                <w:sz w:val="16"/>
                <w:szCs w:val="16"/>
                <w:color w:val="auto"/>
              </w:rPr>
              <w:t>Interest expense</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Verdana" w:cs="Verdana" w:eastAsia="Verdana" w:hAnsi="Verdana"/>
                <w:sz w:val="16"/>
                <w:szCs w:val="16"/>
                <w:color w:val="214E93"/>
              </w:rPr>
              <w:t>(208,520)</w:t>
            </w:r>
          </w:p>
        </w:tc>
        <w:tc>
          <w:tcPr>
            <w:tcW w:w="960" w:type="dxa"/>
            <w:vAlign w:val="bottom"/>
            <w:gridSpan w:val="2"/>
          </w:tcPr>
          <w:p>
            <w:pPr>
              <w:jc w:val="right"/>
              <w:spacing w:after="0"/>
              <w:rPr>
                <w:sz w:val="20"/>
                <w:szCs w:val="20"/>
                <w:color w:val="auto"/>
              </w:rPr>
            </w:pPr>
            <w:r>
              <w:rPr>
                <w:rFonts w:ascii="Verdana" w:cs="Verdana" w:eastAsia="Verdana" w:hAnsi="Verdana"/>
                <w:sz w:val="16"/>
                <w:szCs w:val="16"/>
                <w:color w:val="131313"/>
              </w:rPr>
              <w:t>(171,687)</w:t>
            </w:r>
          </w:p>
        </w:tc>
        <w:tc>
          <w:tcPr>
            <w:tcW w:w="920" w:type="dxa"/>
            <w:vAlign w:val="bottom"/>
            <w:gridSpan w:val="2"/>
          </w:tcPr>
          <w:p>
            <w:pPr>
              <w:jc w:val="right"/>
              <w:spacing w:after="0"/>
              <w:rPr>
                <w:sz w:val="20"/>
                <w:szCs w:val="20"/>
                <w:color w:val="auto"/>
              </w:rPr>
            </w:pPr>
            <w:r>
              <w:rPr>
                <w:rFonts w:ascii="Verdana" w:cs="Verdana" w:eastAsia="Verdana" w:hAnsi="Verdana"/>
                <w:sz w:val="16"/>
                <w:szCs w:val="16"/>
                <w:color w:val="131313"/>
              </w:rPr>
              <w:t>(121,520)</w:t>
            </w:r>
          </w:p>
        </w:tc>
      </w:tr>
      <w:tr>
        <w:trPr>
          <w:trHeight w:val="242"/>
        </w:trPr>
        <w:tc>
          <w:tcPr>
            <w:tcW w:w="6160" w:type="dxa"/>
            <w:vAlign w:val="bottom"/>
            <w:tcBorders>
              <w:bottom w:val="single" w:sz="8" w:color="auto"/>
            </w:tcBorders>
          </w:tcPr>
          <w:p>
            <w:pPr>
              <w:ind w:left="160"/>
              <w:spacing w:after="0"/>
              <w:rPr>
                <w:sz w:val="20"/>
                <w:szCs w:val="20"/>
                <w:color w:val="auto"/>
              </w:rPr>
            </w:pPr>
            <w:r>
              <w:rPr>
                <w:rFonts w:ascii="Verdana" w:cs="Verdana" w:eastAsia="Verdana" w:hAnsi="Verdana"/>
                <w:sz w:val="16"/>
                <w:szCs w:val="16"/>
                <w:color w:val="auto"/>
              </w:rPr>
              <w:t>Other income</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62"/>
              <w:spacing w:after="0"/>
              <w:rPr>
                <w:sz w:val="20"/>
                <w:szCs w:val="20"/>
                <w:color w:val="auto"/>
              </w:rPr>
            </w:pPr>
            <w:r>
              <w:rPr>
                <w:rFonts w:ascii="Verdana" w:cs="Verdana" w:eastAsia="Verdana" w:hAnsi="Verdana"/>
                <w:sz w:val="16"/>
                <w:szCs w:val="16"/>
                <w:color w:val="214E93"/>
              </w:rPr>
              <w:t>16,011</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2"/>
              <w:spacing w:after="0"/>
              <w:rPr>
                <w:sz w:val="20"/>
                <w:szCs w:val="20"/>
                <w:color w:val="auto"/>
              </w:rPr>
            </w:pPr>
            <w:r>
              <w:rPr>
                <w:rFonts w:ascii="Verdana" w:cs="Verdana" w:eastAsia="Verdana" w:hAnsi="Verdana"/>
                <w:sz w:val="16"/>
                <w:szCs w:val="16"/>
                <w:color w:val="131313"/>
              </w:rPr>
              <w:t>696</w:t>
            </w: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2"/>
              <w:spacing w:after="0"/>
              <w:rPr>
                <w:sz w:val="20"/>
                <w:szCs w:val="20"/>
                <w:color w:val="auto"/>
              </w:rPr>
            </w:pPr>
            <w:r>
              <w:rPr>
                <w:rFonts w:ascii="Verdana" w:cs="Verdana" w:eastAsia="Verdana" w:hAnsi="Verdana"/>
                <w:sz w:val="16"/>
                <w:szCs w:val="16"/>
                <w:color w:val="131313"/>
              </w:rPr>
              <w:t>8,785</w:t>
            </w:r>
          </w:p>
        </w:tc>
      </w:tr>
      <w:tr>
        <w:trPr>
          <w:trHeight w:val="216"/>
        </w:trPr>
        <w:tc>
          <w:tcPr>
            <w:tcW w:w="6160" w:type="dxa"/>
            <w:vAlign w:val="bottom"/>
            <w:tcBorders>
              <w:bottom w:val="single" w:sz="8" w:color="auto"/>
            </w:tcBorders>
          </w:tcPr>
          <w:p>
            <w:pPr>
              <w:ind w:left="280"/>
              <w:spacing w:after="0"/>
              <w:rPr>
                <w:sz w:val="20"/>
                <w:szCs w:val="20"/>
                <w:color w:val="auto"/>
              </w:rPr>
            </w:pPr>
            <w:r>
              <w:rPr>
                <w:rFonts w:ascii="Verdana" w:cs="Verdana" w:eastAsia="Verdana" w:hAnsi="Verdana"/>
                <w:sz w:val="16"/>
                <w:szCs w:val="16"/>
                <w:color w:val="auto"/>
              </w:rPr>
              <w:t>Total other expense</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214E93"/>
              </w:rPr>
              <w:t>(193,098)</w:t>
            </w:r>
          </w:p>
        </w:tc>
        <w:tc>
          <w:tcPr>
            <w:tcW w:w="960" w:type="dxa"/>
            <w:vAlign w:val="bottom"/>
            <w:tcBorders>
              <w:bottom w:val="single" w:sz="8" w:color="auto"/>
            </w:tcBorders>
            <w:gridSpan w:val="2"/>
          </w:tcPr>
          <w:p>
            <w:pPr>
              <w:jc w:val="right"/>
              <w:spacing w:after="0"/>
              <w:rPr>
                <w:sz w:val="20"/>
                <w:szCs w:val="20"/>
                <w:color w:val="auto"/>
              </w:rPr>
            </w:pPr>
            <w:r>
              <w:rPr>
                <w:rFonts w:ascii="Verdana" w:cs="Verdana" w:eastAsia="Verdana" w:hAnsi="Verdana"/>
                <w:sz w:val="16"/>
                <w:szCs w:val="16"/>
                <w:color w:val="131313"/>
              </w:rPr>
              <w:t>(170,991)</w:t>
            </w:r>
          </w:p>
        </w:tc>
        <w:tc>
          <w:tcPr>
            <w:tcW w:w="920" w:type="dxa"/>
            <w:vAlign w:val="bottom"/>
            <w:tcBorders>
              <w:bottom w:val="single" w:sz="8" w:color="auto"/>
            </w:tcBorders>
            <w:gridSpan w:val="2"/>
          </w:tcPr>
          <w:p>
            <w:pPr>
              <w:jc w:val="right"/>
              <w:spacing w:after="0"/>
              <w:rPr>
                <w:sz w:val="20"/>
                <w:szCs w:val="20"/>
                <w:color w:val="auto"/>
              </w:rPr>
            </w:pPr>
            <w:r>
              <w:rPr>
                <w:rFonts w:ascii="Verdana" w:cs="Verdana" w:eastAsia="Verdana" w:hAnsi="Verdana"/>
                <w:sz w:val="16"/>
                <w:szCs w:val="16"/>
                <w:color w:val="131313"/>
              </w:rPr>
              <w:t>(112,937)</w:t>
            </w:r>
          </w:p>
        </w:tc>
      </w:tr>
      <w:tr>
        <w:trPr>
          <w:trHeight w:val="211"/>
        </w:trPr>
        <w:tc>
          <w:tcPr>
            <w:tcW w:w="6160" w:type="dxa"/>
            <w:vAlign w:val="bottom"/>
          </w:tcPr>
          <w:p>
            <w:pPr>
              <w:ind w:left="400"/>
              <w:spacing w:after="0"/>
              <w:rPr>
                <w:sz w:val="20"/>
                <w:szCs w:val="20"/>
                <w:color w:val="auto"/>
              </w:rPr>
            </w:pPr>
            <w:r>
              <w:rPr>
                <w:rFonts w:ascii="Verdana" w:cs="Verdana" w:eastAsia="Verdana" w:hAnsi="Verdana"/>
                <w:sz w:val="16"/>
                <w:szCs w:val="16"/>
                <w:color w:val="auto"/>
              </w:rPr>
              <w:t>Income before income taxes</w:t>
            </w:r>
          </w:p>
        </w:tc>
        <w:tc>
          <w:tcPr>
            <w:tcW w:w="240" w:type="dxa"/>
            <w:vAlign w:val="bottom"/>
          </w:tcPr>
          <w:p>
            <w:pPr>
              <w:spacing w:after="0"/>
              <w:rPr>
                <w:sz w:val="18"/>
                <w:szCs w:val="18"/>
                <w:color w:val="auto"/>
              </w:rPr>
            </w:pPr>
          </w:p>
        </w:tc>
        <w:tc>
          <w:tcPr>
            <w:tcW w:w="1040" w:type="dxa"/>
            <w:vAlign w:val="bottom"/>
          </w:tcPr>
          <w:p>
            <w:pPr>
              <w:jc w:val="right"/>
              <w:ind w:right="62"/>
              <w:spacing w:after="0"/>
              <w:rPr>
                <w:sz w:val="20"/>
                <w:szCs w:val="20"/>
                <w:color w:val="auto"/>
              </w:rPr>
            </w:pPr>
            <w:r>
              <w:rPr>
                <w:rFonts w:ascii="Verdana" w:cs="Verdana" w:eastAsia="Verdana" w:hAnsi="Verdana"/>
                <w:sz w:val="16"/>
                <w:szCs w:val="16"/>
                <w:color w:val="214E93"/>
              </w:rPr>
              <w:t>1,033,444</w:t>
            </w:r>
          </w:p>
        </w:tc>
        <w:tc>
          <w:tcPr>
            <w:tcW w:w="960" w:type="dxa"/>
            <w:vAlign w:val="bottom"/>
            <w:gridSpan w:val="2"/>
          </w:tcPr>
          <w:p>
            <w:pPr>
              <w:ind w:left="80"/>
              <w:spacing w:after="0"/>
              <w:rPr>
                <w:sz w:val="20"/>
                <w:szCs w:val="20"/>
                <w:color w:val="auto"/>
              </w:rPr>
            </w:pPr>
            <w:r>
              <w:rPr>
                <w:rFonts w:ascii="Verdana" w:cs="Verdana" w:eastAsia="Verdana" w:hAnsi="Verdana"/>
                <w:sz w:val="16"/>
                <w:szCs w:val="16"/>
                <w:color w:val="131313"/>
              </w:rPr>
              <w:t>1,263,707</w:t>
            </w:r>
          </w:p>
        </w:tc>
        <w:tc>
          <w:tcPr>
            <w:tcW w:w="920" w:type="dxa"/>
            <w:vAlign w:val="bottom"/>
            <w:gridSpan w:val="2"/>
          </w:tcPr>
          <w:p>
            <w:pPr>
              <w:ind w:left="80"/>
              <w:spacing w:after="0"/>
              <w:rPr>
                <w:sz w:val="20"/>
                <w:szCs w:val="20"/>
                <w:color w:val="auto"/>
              </w:rPr>
            </w:pPr>
            <w:r>
              <w:rPr>
                <w:rFonts w:ascii="Verdana" w:cs="Verdana" w:eastAsia="Verdana" w:hAnsi="Verdana"/>
                <w:sz w:val="16"/>
                <w:szCs w:val="16"/>
                <w:color w:val="131313"/>
                <w:w w:val="98"/>
              </w:rPr>
              <w:t>1,096,385</w:t>
            </w:r>
          </w:p>
        </w:tc>
      </w:tr>
      <w:tr>
        <w:trPr>
          <w:trHeight w:val="236"/>
        </w:trPr>
        <w:tc>
          <w:tcPr>
            <w:tcW w:w="6160" w:type="dxa"/>
            <w:vAlign w:val="bottom"/>
          </w:tcPr>
          <w:p>
            <w:pPr>
              <w:ind w:left="40"/>
              <w:spacing w:after="0"/>
              <w:rPr>
                <w:sz w:val="20"/>
                <w:szCs w:val="20"/>
                <w:color w:val="auto"/>
              </w:rPr>
            </w:pPr>
            <w:r>
              <w:rPr>
                <w:rFonts w:ascii="Verdana" w:cs="Verdana" w:eastAsia="Verdana" w:hAnsi="Verdana"/>
                <w:sz w:val="16"/>
                <w:szCs w:val="16"/>
                <w:color w:val="auto"/>
              </w:rPr>
              <w:t>Income tax provision (benefit)</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36"/>
        </w:trPr>
        <w:tc>
          <w:tcPr>
            <w:tcW w:w="6160" w:type="dxa"/>
            <w:vAlign w:val="bottom"/>
          </w:tcPr>
          <w:p>
            <w:pPr>
              <w:ind w:left="160"/>
              <w:spacing w:after="0"/>
              <w:rPr>
                <w:sz w:val="20"/>
                <w:szCs w:val="20"/>
                <w:color w:val="auto"/>
              </w:rPr>
            </w:pPr>
            <w:r>
              <w:rPr>
                <w:rFonts w:ascii="Verdana" w:cs="Verdana" w:eastAsia="Verdana" w:hAnsi="Verdana"/>
                <w:sz w:val="16"/>
                <w:szCs w:val="16"/>
                <w:color w:val="auto"/>
              </w:rPr>
              <w:t>Current</w:t>
            </w:r>
          </w:p>
        </w:tc>
        <w:tc>
          <w:tcPr>
            <w:tcW w:w="240" w:type="dxa"/>
            <w:vAlign w:val="bottom"/>
          </w:tcPr>
          <w:p>
            <w:pPr>
              <w:spacing w:after="0"/>
              <w:rPr>
                <w:sz w:val="20"/>
                <w:szCs w:val="20"/>
                <w:color w:val="auto"/>
              </w:rPr>
            </w:pPr>
          </w:p>
        </w:tc>
        <w:tc>
          <w:tcPr>
            <w:tcW w:w="1040" w:type="dxa"/>
            <w:vAlign w:val="bottom"/>
          </w:tcPr>
          <w:p>
            <w:pPr>
              <w:jc w:val="right"/>
              <w:ind w:right="62"/>
              <w:spacing w:after="0"/>
              <w:rPr>
                <w:sz w:val="20"/>
                <w:szCs w:val="20"/>
                <w:color w:val="auto"/>
              </w:rPr>
            </w:pPr>
            <w:r>
              <w:rPr>
                <w:rFonts w:ascii="Verdana" w:cs="Verdana" w:eastAsia="Verdana" w:hAnsi="Verdana"/>
                <w:sz w:val="16"/>
                <w:szCs w:val="16"/>
                <w:color w:val="214E93"/>
              </w:rPr>
              <w:t>7,088</w:t>
            </w:r>
          </w:p>
        </w:tc>
        <w:tc>
          <w:tcPr>
            <w:tcW w:w="180" w:type="dxa"/>
            <w:vAlign w:val="bottom"/>
          </w:tcPr>
          <w:p>
            <w:pPr>
              <w:spacing w:after="0"/>
              <w:rPr>
                <w:sz w:val="20"/>
                <w:szCs w:val="20"/>
                <w:color w:val="auto"/>
              </w:rPr>
            </w:pPr>
          </w:p>
        </w:tc>
        <w:tc>
          <w:tcPr>
            <w:tcW w:w="780" w:type="dxa"/>
            <w:vAlign w:val="bottom"/>
          </w:tcPr>
          <w:p>
            <w:pPr>
              <w:jc w:val="right"/>
              <w:ind w:right="62"/>
              <w:spacing w:after="0"/>
              <w:rPr>
                <w:sz w:val="20"/>
                <w:szCs w:val="20"/>
                <w:color w:val="auto"/>
              </w:rPr>
            </w:pPr>
            <w:r>
              <w:rPr>
                <w:rFonts w:ascii="Verdana" w:cs="Verdana" w:eastAsia="Verdana" w:hAnsi="Verdana"/>
                <w:sz w:val="16"/>
                <w:szCs w:val="16"/>
                <w:color w:val="131313"/>
              </w:rPr>
              <w:t>27,059</w:t>
            </w:r>
          </w:p>
        </w:tc>
        <w:tc>
          <w:tcPr>
            <w:tcW w:w="180" w:type="dxa"/>
            <w:vAlign w:val="bottom"/>
          </w:tcPr>
          <w:p>
            <w:pPr>
              <w:spacing w:after="0"/>
              <w:rPr>
                <w:sz w:val="20"/>
                <w:szCs w:val="20"/>
                <w:color w:val="auto"/>
              </w:rPr>
            </w:pPr>
          </w:p>
        </w:tc>
        <w:tc>
          <w:tcPr>
            <w:tcW w:w="740" w:type="dxa"/>
            <w:vAlign w:val="bottom"/>
          </w:tcPr>
          <w:p>
            <w:pPr>
              <w:jc w:val="right"/>
              <w:ind w:right="22"/>
              <w:spacing w:after="0"/>
              <w:rPr>
                <w:sz w:val="20"/>
                <w:szCs w:val="20"/>
                <w:color w:val="auto"/>
              </w:rPr>
            </w:pPr>
            <w:r>
              <w:rPr>
                <w:rFonts w:ascii="Verdana" w:cs="Verdana" w:eastAsia="Verdana" w:hAnsi="Verdana"/>
                <w:sz w:val="16"/>
                <w:szCs w:val="16"/>
                <w:color w:val="131313"/>
              </w:rPr>
              <w:t>13,922</w:t>
            </w:r>
          </w:p>
        </w:tc>
      </w:tr>
      <w:tr>
        <w:trPr>
          <w:trHeight w:val="242"/>
        </w:trPr>
        <w:tc>
          <w:tcPr>
            <w:tcW w:w="6160" w:type="dxa"/>
            <w:vAlign w:val="bottom"/>
            <w:tcBorders>
              <w:bottom w:val="single" w:sz="8" w:color="auto"/>
            </w:tcBorders>
          </w:tcPr>
          <w:p>
            <w:pPr>
              <w:ind w:left="160"/>
              <w:spacing w:after="0"/>
              <w:rPr>
                <w:sz w:val="20"/>
                <w:szCs w:val="20"/>
                <w:color w:val="auto"/>
              </w:rPr>
            </w:pPr>
            <w:r>
              <w:rPr>
                <w:rFonts w:ascii="Verdana" w:cs="Verdana" w:eastAsia="Verdana" w:hAnsi="Verdana"/>
                <w:sz w:val="16"/>
                <w:szCs w:val="16"/>
                <w:color w:val="auto"/>
              </w:rPr>
              <w:t>Deferred</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62"/>
              <w:spacing w:after="0"/>
              <w:rPr>
                <w:sz w:val="20"/>
                <w:szCs w:val="20"/>
                <w:color w:val="auto"/>
              </w:rPr>
            </w:pPr>
            <w:r>
              <w:rPr>
                <w:rFonts w:ascii="Verdana" w:cs="Verdana" w:eastAsia="Verdana" w:hAnsi="Verdana"/>
                <w:sz w:val="16"/>
                <w:szCs w:val="16"/>
                <w:color w:val="214E93"/>
              </w:rPr>
              <w:t>165,587</w:t>
            </w:r>
          </w:p>
        </w:tc>
        <w:tc>
          <w:tcPr>
            <w:tcW w:w="960" w:type="dxa"/>
            <w:vAlign w:val="bottom"/>
            <w:tcBorders>
              <w:bottom w:val="single" w:sz="8" w:color="auto"/>
            </w:tcBorders>
            <w:gridSpan w:val="2"/>
          </w:tcPr>
          <w:p>
            <w:pPr>
              <w:jc w:val="right"/>
              <w:ind w:right="62"/>
              <w:spacing w:after="0"/>
              <w:rPr>
                <w:sz w:val="20"/>
                <w:szCs w:val="20"/>
                <w:color w:val="auto"/>
              </w:rPr>
            </w:pPr>
            <w:r>
              <w:rPr>
                <w:rFonts w:ascii="Verdana" w:cs="Verdana" w:eastAsia="Verdana" w:hAnsi="Verdana"/>
                <w:sz w:val="16"/>
                <w:szCs w:val="16"/>
                <w:color w:val="131313"/>
              </w:rPr>
              <w:t>265,305</w:t>
            </w:r>
          </w:p>
        </w:tc>
        <w:tc>
          <w:tcPr>
            <w:tcW w:w="920" w:type="dxa"/>
            <w:vAlign w:val="bottom"/>
            <w:tcBorders>
              <w:bottom w:val="single" w:sz="8" w:color="auto"/>
            </w:tcBorders>
            <w:gridSpan w:val="2"/>
          </w:tcPr>
          <w:p>
            <w:pPr>
              <w:jc w:val="right"/>
              <w:ind w:right="22"/>
              <w:spacing w:after="0"/>
              <w:rPr>
                <w:sz w:val="20"/>
                <w:szCs w:val="20"/>
                <w:color w:val="auto"/>
              </w:rPr>
            </w:pPr>
            <w:r>
              <w:rPr>
                <w:rFonts w:ascii="Verdana" w:cs="Verdana" w:eastAsia="Verdana" w:hAnsi="Verdana"/>
                <w:sz w:val="16"/>
                <w:szCs w:val="16"/>
                <w:color w:val="131313"/>
              </w:rPr>
              <w:t>172,104</w:t>
            </w:r>
          </w:p>
        </w:tc>
      </w:tr>
      <w:tr>
        <w:trPr>
          <w:trHeight w:val="211"/>
        </w:trPr>
        <w:tc>
          <w:tcPr>
            <w:tcW w:w="6160" w:type="dxa"/>
            <w:vAlign w:val="bottom"/>
          </w:tcPr>
          <w:p>
            <w:pPr>
              <w:ind w:left="280"/>
              <w:spacing w:after="0"/>
              <w:rPr>
                <w:sz w:val="20"/>
                <w:szCs w:val="20"/>
                <w:color w:val="auto"/>
              </w:rPr>
            </w:pPr>
            <w:r>
              <w:rPr>
                <w:rFonts w:ascii="Verdana" w:cs="Verdana" w:eastAsia="Verdana" w:hAnsi="Verdana"/>
                <w:sz w:val="16"/>
                <w:szCs w:val="16"/>
                <w:color w:val="auto"/>
              </w:rPr>
              <w:t>Total income tax provision</w:t>
            </w:r>
          </w:p>
        </w:tc>
        <w:tc>
          <w:tcPr>
            <w:tcW w:w="240" w:type="dxa"/>
            <w:vAlign w:val="bottom"/>
          </w:tcPr>
          <w:p>
            <w:pPr>
              <w:spacing w:after="0"/>
              <w:rPr>
                <w:sz w:val="18"/>
                <w:szCs w:val="18"/>
                <w:color w:val="auto"/>
              </w:rPr>
            </w:pPr>
          </w:p>
        </w:tc>
        <w:tc>
          <w:tcPr>
            <w:tcW w:w="1040" w:type="dxa"/>
            <w:vAlign w:val="bottom"/>
          </w:tcPr>
          <w:p>
            <w:pPr>
              <w:jc w:val="right"/>
              <w:ind w:right="62"/>
              <w:spacing w:after="0"/>
              <w:rPr>
                <w:sz w:val="20"/>
                <w:szCs w:val="20"/>
                <w:color w:val="auto"/>
              </w:rPr>
            </w:pPr>
            <w:r>
              <w:rPr>
                <w:rFonts w:ascii="Verdana" w:cs="Verdana" w:eastAsia="Verdana" w:hAnsi="Verdana"/>
                <w:sz w:val="16"/>
                <w:szCs w:val="16"/>
                <w:color w:val="214E93"/>
              </w:rPr>
              <w:t>172,675</w:t>
            </w:r>
          </w:p>
        </w:tc>
        <w:tc>
          <w:tcPr>
            <w:tcW w:w="960" w:type="dxa"/>
            <w:vAlign w:val="bottom"/>
            <w:gridSpan w:val="2"/>
          </w:tcPr>
          <w:p>
            <w:pPr>
              <w:jc w:val="right"/>
              <w:ind w:right="62"/>
              <w:spacing w:after="0"/>
              <w:rPr>
                <w:sz w:val="20"/>
                <w:szCs w:val="20"/>
                <w:color w:val="auto"/>
              </w:rPr>
            </w:pPr>
            <w:r>
              <w:rPr>
                <w:rFonts w:ascii="Verdana" w:cs="Verdana" w:eastAsia="Verdana" w:hAnsi="Verdana"/>
                <w:sz w:val="16"/>
                <w:szCs w:val="16"/>
                <w:color w:val="131313"/>
              </w:rPr>
              <w:t>292,364</w:t>
            </w:r>
          </w:p>
        </w:tc>
        <w:tc>
          <w:tcPr>
            <w:tcW w:w="920" w:type="dxa"/>
            <w:vAlign w:val="bottom"/>
            <w:gridSpan w:val="2"/>
          </w:tcPr>
          <w:p>
            <w:pPr>
              <w:jc w:val="right"/>
              <w:ind w:right="22"/>
              <w:spacing w:after="0"/>
              <w:rPr>
                <w:sz w:val="20"/>
                <w:szCs w:val="20"/>
                <w:color w:val="auto"/>
              </w:rPr>
            </w:pPr>
            <w:r>
              <w:rPr>
                <w:rFonts w:ascii="Verdana" w:cs="Verdana" w:eastAsia="Verdana" w:hAnsi="Verdana"/>
                <w:sz w:val="16"/>
                <w:szCs w:val="16"/>
                <w:color w:val="131313"/>
              </w:rPr>
              <w:t>186,026</w:t>
            </w:r>
          </w:p>
        </w:tc>
      </w:tr>
      <w:tr>
        <w:trPr>
          <w:trHeight w:val="256"/>
        </w:trPr>
        <w:tc>
          <w:tcPr>
            <w:tcW w:w="616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Net income attributable to non-controlling interest in subsidiaries</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214E93"/>
              </w:rPr>
              <w:t>(101,548)</w:t>
            </w: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131313"/>
                <w:w w:val="98"/>
              </w:rPr>
              <w:t>(86,021)</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131313"/>
                <w:w w:val="98"/>
              </w:rPr>
              <w:t>(64,285)</w:t>
            </w:r>
          </w:p>
        </w:tc>
      </w:tr>
      <w:tr>
        <w:trPr>
          <w:trHeight w:val="223"/>
        </w:trPr>
        <w:tc>
          <w:tcPr>
            <w:tcW w:w="6160" w:type="dxa"/>
            <w:vAlign w:val="bottom"/>
          </w:tcPr>
          <w:p>
            <w:pPr>
              <w:ind w:left="40"/>
              <w:spacing w:after="0"/>
              <w:rPr>
                <w:sz w:val="20"/>
                <w:szCs w:val="20"/>
                <w:color w:val="auto"/>
              </w:rPr>
            </w:pPr>
            <w:r>
              <w:rPr>
                <w:rFonts w:ascii="Verdana" w:cs="Verdana" w:eastAsia="Verdana" w:hAnsi="Verdana"/>
                <w:sz w:val="16"/>
                <w:szCs w:val="16"/>
                <w:color w:val="auto"/>
              </w:rPr>
              <w:t>Net income attributable to Matador Resources Company shareholders</w:t>
            </w:r>
          </w:p>
        </w:tc>
        <w:tc>
          <w:tcPr>
            <w:tcW w:w="240" w:type="dxa"/>
            <w:vAlign w:val="bottom"/>
          </w:tcPr>
          <w:p>
            <w:pPr>
              <w:jc w:val="right"/>
              <w:ind w:right="1"/>
              <w:spacing w:after="0"/>
              <w:rPr>
                <w:sz w:val="20"/>
                <w:szCs w:val="20"/>
                <w:color w:val="auto"/>
              </w:rPr>
            </w:pPr>
            <w:r>
              <w:rPr>
                <w:rFonts w:ascii="Verdana" w:cs="Verdana" w:eastAsia="Verdana" w:hAnsi="Verdana"/>
                <w:sz w:val="16"/>
                <w:szCs w:val="16"/>
                <w:color w:val="214E93"/>
              </w:rPr>
              <w:t>$</w:t>
            </w:r>
          </w:p>
        </w:tc>
        <w:tc>
          <w:tcPr>
            <w:tcW w:w="1040" w:type="dxa"/>
            <w:vAlign w:val="bottom"/>
          </w:tcPr>
          <w:p>
            <w:pPr>
              <w:jc w:val="right"/>
              <w:ind w:right="62"/>
              <w:spacing w:after="0"/>
              <w:rPr>
                <w:sz w:val="20"/>
                <w:szCs w:val="20"/>
                <w:color w:val="auto"/>
              </w:rPr>
            </w:pPr>
            <w:r>
              <w:rPr>
                <w:rFonts w:ascii="Verdana" w:cs="Verdana" w:eastAsia="Verdana" w:hAnsi="Verdana"/>
                <w:sz w:val="16"/>
                <w:szCs w:val="16"/>
                <w:color w:val="214E93"/>
              </w:rPr>
              <w:t>759,221</w:t>
            </w:r>
          </w:p>
        </w:tc>
        <w:tc>
          <w:tcPr>
            <w:tcW w:w="960" w:type="dxa"/>
            <w:vAlign w:val="bottom"/>
            <w:gridSpan w:val="2"/>
          </w:tcPr>
          <w:p>
            <w:pPr>
              <w:ind w:left="80"/>
              <w:spacing w:after="0"/>
              <w:rPr>
                <w:sz w:val="20"/>
                <w:szCs w:val="20"/>
                <w:color w:val="auto"/>
              </w:rPr>
            </w:pPr>
            <w:r>
              <w:rPr>
                <w:rFonts w:ascii="Verdana" w:cs="Verdana" w:eastAsia="Verdana" w:hAnsi="Verdana"/>
                <w:sz w:val="16"/>
                <w:szCs w:val="16"/>
                <w:color w:val="131313"/>
              </w:rPr>
              <w:t>$885,322</w:t>
            </w:r>
          </w:p>
        </w:tc>
        <w:tc>
          <w:tcPr>
            <w:tcW w:w="920" w:type="dxa"/>
            <w:vAlign w:val="bottom"/>
            <w:gridSpan w:val="2"/>
          </w:tcPr>
          <w:p>
            <w:pPr>
              <w:ind w:left="80"/>
              <w:spacing w:after="0"/>
              <w:rPr>
                <w:sz w:val="20"/>
                <w:szCs w:val="20"/>
                <w:color w:val="auto"/>
              </w:rPr>
            </w:pPr>
            <w:r>
              <w:rPr>
                <w:rFonts w:ascii="Verdana" w:cs="Verdana" w:eastAsia="Verdana" w:hAnsi="Verdana"/>
                <w:sz w:val="16"/>
                <w:szCs w:val="16"/>
                <w:color w:val="131313"/>
              </w:rPr>
              <w:t>$846,074</w:t>
            </w:r>
          </w:p>
        </w:tc>
      </w:tr>
      <w:tr>
        <w:trPr>
          <w:trHeight w:val="214"/>
        </w:trPr>
        <w:tc>
          <w:tcPr>
            <w:tcW w:w="6160" w:type="dxa"/>
            <w:vAlign w:val="bottom"/>
          </w:tcPr>
          <w:p>
            <w:pPr>
              <w:ind w:left="40"/>
              <w:spacing w:after="0" w:line="214" w:lineRule="exact"/>
              <w:rPr>
                <w:sz w:val="20"/>
                <w:szCs w:val="20"/>
                <w:color w:val="auto"/>
              </w:rPr>
            </w:pPr>
            <w:r>
              <w:rPr>
                <w:rFonts w:ascii="Calibri" w:cs="Calibri" w:eastAsia="Calibri" w:hAnsi="Calibri"/>
                <w:sz w:val="19"/>
                <w:szCs w:val="19"/>
                <w:b w:val="1"/>
                <w:bCs w:val="1"/>
                <w:color w:val="214E93"/>
              </w:rPr>
              <w:t>Expenses per BOE:</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60"/>
        </w:trPr>
        <w:tc>
          <w:tcPr>
            <w:tcW w:w="6160" w:type="dxa"/>
            <w:vAlign w:val="bottom"/>
          </w:tcPr>
          <w:p>
            <w:pPr>
              <w:ind w:left="160"/>
              <w:spacing w:after="0"/>
              <w:rPr>
                <w:sz w:val="20"/>
                <w:szCs w:val="20"/>
                <w:color w:val="auto"/>
              </w:rPr>
            </w:pPr>
            <w:r>
              <w:rPr>
                <w:rFonts w:ascii="Verdana" w:cs="Verdana" w:eastAsia="Verdana" w:hAnsi="Verdana"/>
                <w:sz w:val="16"/>
                <w:szCs w:val="16"/>
                <w:color w:val="auto"/>
              </w:rPr>
              <w:t>Lease operating</w:t>
            </w:r>
          </w:p>
        </w:tc>
        <w:tc>
          <w:tcPr>
            <w:tcW w:w="240" w:type="dxa"/>
            <w:vAlign w:val="bottom"/>
          </w:tcPr>
          <w:p>
            <w:pPr>
              <w:jc w:val="right"/>
              <w:ind w:right="1"/>
              <w:spacing w:after="0"/>
              <w:rPr>
                <w:sz w:val="20"/>
                <w:szCs w:val="20"/>
                <w:color w:val="auto"/>
              </w:rPr>
            </w:pPr>
            <w:r>
              <w:rPr>
                <w:rFonts w:ascii="Verdana" w:cs="Verdana" w:eastAsia="Verdana" w:hAnsi="Verdana"/>
                <w:sz w:val="16"/>
                <w:szCs w:val="16"/>
                <w:color w:val="214E93"/>
              </w:rPr>
              <w:t>$</w:t>
            </w:r>
          </w:p>
        </w:tc>
        <w:tc>
          <w:tcPr>
            <w:tcW w:w="1040" w:type="dxa"/>
            <w:vAlign w:val="bottom"/>
          </w:tcPr>
          <w:p>
            <w:pPr>
              <w:jc w:val="right"/>
              <w:ind w:right="62"/>
              <w:spacing w:after="0"/>
              <w:rPr>
                <w:sz w:val="20"/>
                <w:szCs w:val="20"/>
                <w:color w:val="auto"/>
              </w:rPr>
            </w:pPr>
            <w:r>
              <w:rPr>
                <w:rFonts w:ascii="Verdana" w:cs="Verdana" w:eastAsia="Verdana" w:hAnsi="Verdana"/>
                <w:sz w:val="16"/>
                <w:szCs w:val="16"/>
                <w:color w:val="214E93"/>
              </w:rPr>
              <w:t>5.50</w:t>
            </w:r>
          </w:p>
        </w:tc>
        <w:tc>
          <w:tcPr>
            <w:tcW w:w="180" w:type="dxa"/>
            <w:vAlign w:val="bottom"/>
          </w:tcPr>
          <w:p>
            <w:pPr>
              <w:ind w:left="80"/>
              <w:spacing w:after="0"/>
              <w:rPr>
                <w:sz w:val="20"/>
                <w:szCs w:val="20"/>
                <w:color w:val="auto"/>
              </w:rPr>
            </w:pPr>
            <w:r>
              <w:rPr>
                <w:rFonts w:ascii="Verdana" w:cs="Verdana" w:eastAsia="Verdana" w:hAnsi="Verdana"/>
                <w:sz w:val="16"/>
                <w:szCs w:val="16"/>
                <w:color w:val="131313"/>
                <w:w w:val="77"/>
              </w:rPr>
              <w:t>$</w:t>
            </w:r>
          </w:p>
        </w:tc>
        <w:tc>
          <w:tcPr>
            <w:tcW w:w="780" w:type="dxa"/>
            <w:vAlign w:val="bottom"/>
          </w:tcPr>
          <w:p>
            <w:pPr>
              <w:jc w:val="right"/>
              <w:ind w:right="62"/>
              <w:spacing w:after="0"/>
              <w:rPr>
                <w:sz w:val="20"/>
                <w:szCs w:val="20"/>
                <w:color w:val="auto"/>
              </w:rPr>
            </w:pPr>
            <w:r>
              <w:rPr>
                <w:rFonts w:ascii="Verdana" w:cs="Verdana" w:eastAsia="Verdana" w:hAnsi="Verdana"/>
                <w:sz w:val="16"/>
                <w:szCs w:val="16"/>
                <w:color w:val="131313"/>
              </w:rPr>
              <w:t>5.20</w:t>
            </w:r>
          </w:p>
        </w:tc>
        <w:tc>
          <w:tcPr>
            <w:tcW w:w="180" w:type="dxa"/>
            <w:vAlign w:val="bottom"/>
          </w:tcPr>
          <w:p>
            <w:pPr>
              <w:ind w:left="80"/>
              <w:spacing w:after="0"/>
              <w:rPr>
                <w:sz w:val="20"/>
                <w:szCs w:val="20"/>
                <w:color w:val="auto"/>
              </w:rPr>
            </w:pPr>
            <w:r>
              <w:rPr>
                <w:rFonts w:ascii="Verdana" w:cs="Verdana" w:eastAsia="Verdana" w:hAnsi="Verdana"/>
                <w:sz w:val="16"/>
                <w:szCs w:val="16"/>
                <w:color w:val="131313"/>
                <w:w w:val="77"/>
              </w:rPr>
              <w:t>$</w:t>
            </w:r>
          </w:p>
        </w:tc>
        <w:tc>
          <w:tcPr>
            <w:tcW w:w="740" w:type="dxa"/>
            <w:vAlign w:val="bottom"/>
          </w:tcPr>
          <w:p>
            <w:pPr>
              <w:jc w:val="right"/>
              <w:ind w:right="22"/>
              <w:spacing w:after="0"/>
              <w:rPr>
                <w:sz w:val="20"/>
                <w:szCs w:val="20"/>
                <w:color w:val="auto"/>
              </w:rPr>
            </w:pPr>
            <w:r>
              <w:rPr>
                <w:rFonts w:ascii="Verdana" w:cs="Verdana" w:eastAsia="Verdana" w:hAnsi="Verdana"/>
                <w:sz w:val="16"/>
                <w:szCs w:val="16"/>
                <w:color w:val="131313"/>
              </w:rPr>
              <w:t>4.83</w:t>
            </w:r>
          </w:p>
        </w:tc>
      </w:tr>
      <w:tr>
        <w:trPr>
          <w:trHeight w:val="236"/>
        </w:trPr>
        <w:tc>
          <w:tcPr>
            <w:tcW w:w="6160" w:type="dxa"/>
            <w:vAlign w:val="bottom"/>
          </w:tcPr>
          <w:p>
            <w:pPr>
              <w:ind w:left="160"/>
              <w:spacing w:after="0"/>
              <w:rPr>
                <w:sz w:val="20"/>
                <w:szCs w:val="20"/>
                <w:color w:val="auto"/>
              </w:rPr>
            </w:pPr>
            <w:r>
              <w:rPr>
                <w:rFonts w:ascii="Verdana" w:cs="Verdana" w:eastAsia="Verdana" w:hAnsi="Verdana"/>
                <w:sz w:val="16"/>
                <w:szCs w:val="16"/>
                <w:color w:val="auto"/>
              </w:rPr>
              <w:t>Transportation and processing</w:t>
            </w:r>
          </w:p>
        </w:tc>
        <w:tc>
          <w:tcPr>
            <w:tcW w:w="240" w:type="dxa"/>
            <w:vAlign w:val="bottom"/>
          </w:tcPr>
          <w:p>
            <w:pPr>
              <w:jc w:val="right"/>
              <w:ind w:right="1"/>
              <w:spacing w:after="0"/>
              <w:rPr>
                <w:sz w:val="20"/>
                <w:szCs w:val="20"/>
                <w:color w:val="auto"/>
              </w:rPr>
            </w:pPr>
            <w:r>
              <w:rPr>
                <w:rFonts w:ascii="Verdana" w:cs="Verdana" w:eastAsia="Verdana" w:hAnsi="Verdana"/>
                <w:sz w:val="16"/>
                <w:szCs w:val="16"/>
                <w:color w:val="214E93"/>
              </w:rPr>
              <w:t>$</w:t>
            </w:r>
          </w:p>
        </w:tc>
        <w:tc>
          <w:tcPr>
            <w:tcW w:w="1040" w:type="dxa"/>
            <w:vAlign w:val="bottom"/>
          </w:tcPr>
          <w:p>
            <w:pPr>
              <w:jc w:val="right"/>
              <w:ind w:right="62"/>
              <w:spacing w:after="0"/>
              <w:rPr>
                <w:sz w:val="20"/>
                <w:szCs w:val="20"/>
                <w:color w:val="auto"/>
              </w:rPr>
            </w:pPr>
            <w:r>
              <w:rPr>
                <w:rFonts w:ascii="Verdana" w:cs="Verdana" w:eastAsia="Verdana" w:hAnsi="Verdana"/>
                <w:sz w:val="16"/>
                <w:szCs w:val="16"/>
                <w:color w:val="214E93"/>
              </w:rPr>
              <w:t>0.88</w:t>
            </w:r>
          </w:p>
        </w:tc>
        <w:tc>
          <w:tcPr>
            <w:tcW w:w="180" w:type="dxa"/>
            <w:vAlign w:val="bottom"/>
          </w:tcPr>
          <w:p>
            <w:pPr>
              <w:ind w:left="80"/>
              <w:spacing w:after="0"/>
              <w:rPr>
                <w:sz w:val="20"/>
                <w:szCs w:val="20"/>
                <w:color w:val="auto"/>
              </w:rPr>
            </w:pPr>
            <w:r>
              <w:rPr>
                <w:rFonts w:ascii="Verdana" w:cs="Verdana" w:eastAsia="Verdana" w:hAnsi="Verdana"/>
                <w:sz w:val="16"/>
                <w:szCs w:val="16"/>
                <w:color w:val="131313"/>
                <w:w w:val="77"/>
              </w:rPr>
              <w:t>$</w:t>
            </w:r>
          </w:p>
        </w:tc>
        <w:tc>
          <w:tcPr>
            <w:tcW w:w="780" w:type="dxa"/>
            <w:vAlign w:val="bottom"/>
          </w:tcPr>
          <w:p>
            <w:pPr>
              <w:jc w:val="right"/>
              <w:ind w:right="62"/>
              <w:spacing w:after="0"/>
              <w:rPr>
                <w:sz w:val="20"/>
                <w:szCs w:val="20"/>
                <w:color w:val="auto"/>
              </w:rPr>
            </w:pPr>
            <w:r>
              <w:rPr>
                <w:rFonts w:ascii="Verdana" w:cs="Verdana" w:eastAsia="Verdana" w:hAnsi="Verdana"/>
                <w:sz w:val="16"/>
                <w:szCs w:val="16"/>
                <w:color w:val="131313"/>
              </w:rPr>
              <w:t>0.94</w:t>
            </w:r>
          </w:p>
        </w:tc>
        <w:tc>
          <w:tcPr>
            <w:tcW w:w="180" w:type="dxa"/>
            <w:vAlign w:val="bottom"/>
          </w:tcPr>
          <w:p>
            <w:pPr>
              <w:ind w:left="80"/>
              <w:spacing w:after="0"/>
              <w:rPr>
                <w:sz w:val="20"/>
                <w:szCs w:val="20"/>
                <w:color w:val="auto"/>
              </w:rPr>
            </w:pPr>
            <w:r>
              <w:rPr>
                <w:rFonts w:ascii="Verdana" w:cs="Verdana" w:eastAsia="Verdana" w:hAnsi="Verdana"/>
                <w:sz w:val="16"/>
                <w:szCs w:val="16"/>
                <w:color w:val="131313"/>
                <w:w w:val="77"/>
              </w:rPr>
              <w:t>$</w:t>
            </w:r>
          </w:p>
        </w:tc>
        <w:tc>
          <w:tcPr>
            <w:tcW w:w="740" w:type="dxa"/>
            <w:vAlign w:val="bottom"/>
          </w:tcPr>
          <w:p>
            <w:pPr>
              <w:jc w:val="right"/>
              <w:ind w:right="22"/>
              <w:spacing w:after="0"/>
              <w:rPr>
                <w:sz w:val="20"/>
                <w:szCs w:val="20"/>
                <w:color w:val="auto"/>
              </w:rPr>
            </w:pPr>
            <w:r>
              <w:rPr>
                <w:rFonts w:ascii="Verdana" w:cs="Verdana" w:eastAsia="Verdana" w:hAnsi="Verdana"/>
                <w:sz w:val="16"/>
                <w:szCs w:val="16"/>
                <w:color w:val="131313"/>
              </w:rPr>
              <w:t>1.25</w:t>
            </w:r>
          </w:p>
        </w:tc>
      </w:tr>
      <w:tr>
        <w:trPr>
          <w:trHeight w:val="236"/>
        </w:trPr>
        <w:tc>
          <w:tcPr>
            <w:tcW w:w="6160" w:type="dxa"/>
            <w:vAlign w:val="bottom"/>
          </w:tcPr>
          <w:p>
            <w:pPr>
              <w:ind w:left="160"/>
              <w:spacing w:after="0"/>
              <w:rPr>
                <w:sz w:val="20"/>
                <w:szCs w:val="20"/>
                <w:color w:val="auto"/>
              </w:rPr>
            </w:pPr>
            <w:r>
              <w:rPr>
                <w:rFonts w:ascii="Verdana" w:cs="Verdana" w:eastAsia="Verdana" w:hAnsi="Verdana"/>
                <w:sz w:val="16"/>
                <w:szCs w:val="16"/>
                <w:color w:val="auto"/>
              </w:rPr>
              <w:t>Midstream operating</w:t>
            </w:r>
          </w:p>
        </w:tc>
        <w:tc>
          <w:tcPr>
            <w:tcW w:w="240" w:type="dxa"/>
            <w:vAlign w:val="bottom"/>
          </w:tcPr>
          <w:p>
            <w:pPr>
              <w:jc w:val="right"/>
              <w:ind w:right="1"/>
              <w:spacing w:after="0"/>
              <w:rPr>
                <w:sz w:val="20"/>
                <w:szCs w:val="20"/>
                <w:color w:val="auto"/>
              </w:rPr>
            </w:pPr>
            <w:r>
              <w:rPr>
                <w:rFonts w:ascii="Verdana" w:cs="Verdana" w:eastAsia="Verdana" w:hAnsi="Verdana"/>
                <w:sz w:val="16"/>
                <w:szCs w:val="16"/>
                <w:color w:val="214E93"/>
              </w:rPr>
              <w:t>$</w:t>
            </w:r>
          </w:p>
        </w:tc>
        <w:tc>
          <w:tcPr>
            <w:tcW w:w="1040" w:type="dxa"/>
            <w:vAlign w:val="bottom"/>
          </w:tcPr>
          <w:p>
            <w:pPr>
              <w:jc w:val="right"/>
              <w:ind w:right="62"/>
              <w:spacing w:after="0"/>
              <w:rPr>
                <w:sz w:val="20"/>
                <w:szCs w:val="20"/>
                <w:color w:val="auto"/>
              </w:rPr>
            </w:pPr>
            <w:r>
              <w:rPr>
                <w:rFonts w:ascii="Verdana" w:cs="Verdana" w:eastAsia="Verdana" w:hAnsi="Verdana"/>
                <w:sz w:val="16"/>
                <w:szCs w:val="16"/>
                <w:color w:val="214E93"/>
              </w:rPr>
              <w:t>2.75</w:t>
            </w:r>
          </w:p>
        </w:tc>
        <w:tc>
          <w:tcPr>
            <w:tcW w:w="180" w:type="dxa"/>
            <w:vAlign w:val="bottom"/>
          </w:tcPr>
          <w:p>
            <w:pPr>
              <w:ind w:left="80"/>
              <w:spacing w:after="0"/>
              <w:rPr>
                <w:sz w:val="20"/>
                <w:szCs w:val="20"/>
                <w:color w:val="auto"/>
              </w:rPr>
            </w:pPr>
            <w:r>
              <w:rPr>
                <w:rFonts w:ascii="Verdana" w:cs="Verdana" w:eastAsia="Verdana" w:hAnsi="Verdana"/>
                <w:sz w:val="16"/>
                <w:szCs w:val="16"/>
                <w:color w:val="131313"/>
                <w:w w:val="77"/>
              </w:rPr>
              <w:t>$</w:t>
            </w:r>
          </w:p>
        </w:tc>
        <w:tc>
          <w:tcPr>
            <w:tcW w:w="780" w:type="dxa"/>
            <w:vAlign w:val="bottom"/>
          </w:tcPr>
          <w:p>
            <w:pPr>
              <w:jc w:val="right"/>
              <w:ind w:right="62"/>
              <w:spacing w:after="0"/>
              <w:rPr>
                <w:sz w:val="20"/>
                <w:szCs w:val="20"/>
                <w:color w:val="auto"/>
              </w:rPr>
            </w:pPr>
            <w:r>
              <w:rPr>
                <w:rFonts w:ascii="Verdana" w:cs="Verdana" w:eastAsia="Verdana" w:hAnsi="Verdana"/>
                <w:sz w:val="16"/>
                <w:szCs w:val="16"/>
                <w:color w:val="131313"/>
              </w:rPr>
              <w:t>2.68</w:t>
            </w:r>
          </w:p>
        </w:tc>
        <w:tc>
          <w:tcPr>
            <w:tcW w:w="180" w:type="dxa"/>
            <w:vAlign w:val="bottom"/>
          </w:tcPr>
          <w:p>
            <w:pPr>
              <w:ind w:left="80"/>
              <w:spacing w:after="0"/>
              <w:rPr>
                <w:sz w:val="20"/>
                <w:szCs w:val="20"/>
                <w:color w:val="auto"/>
              </w:rPr>
            </w:pPr>
            <w:r>
              <w:rPr>
                <w:rFonts w:ascii="Verdana" w:cs="Verdana" w:eastAsia="Verdana" w:hAnsi="Verdana"/>
                <w:sz w:val="16"/>
                <w:szCs w:val="16"/>
                <w:color w:val="131313"/>
                <w:w w:val="77"/>
              </w:rPr>
              <w:t>$</w:t>
            </w:r>
          </w:p>
        </w:tc>
        <w:tc>
          <w:tcPr>
            <w:tcW w:w="740" w:type="dxa"/>
            <w:vAlign w:val="bottom"/>
          </w:tcPr>
          <w:p>
            <w:pPr>
              <w:jc w:val="right"/>
              <w:ind w:right="22"/>
              <w:spacing w:after="0"/>
              <w:rPr>
                <w:sz w:val="20"/>
                <w:szCs w:val="20"/>
                <w:color w:val="auto"/>
              </w:rPr>
            </w:pPr>
            <w:r>
              <w:rPr>
                <w:rFonts w:ascii="Verdana" w:cs="Verdana" w:eastAsia="Verdana" w:hAnsi="Verdana"/>
                <w:sz w:val="16"/>
                <w:szCs w:val="16"/>
                <w:color w:val="131313"/>
              </w:rPr>
              <w:t>2.58</w:t>
            </w:r>
          </w:p>
        </w:tc>
      </w:tr>
      <w:tr>
        <w:trPr>
          <w:trHeight w:val="236"/>
        </w:trPr>
        <w:tc>
          <w:tcPr>
            <w:tcW w:w="6160" w:type="dxa"/>
            <w:vAlign w:val="bottom"/>
          </w:tcPr>
          <w:p>
            <w:pPr>
              <w:ind w:left="160"/>
              <w:spacing w:after="0"/>
              <w:rPr>
                <w:sz w:val="20"/>
                <w:szCs w:val="20"/>
                <w:color w:val="auto"/>
              </w:rPr>
            </w:pPr>
            <w:r>
              <w:rPr>
                <w:rFonts w:ascii="Verdana" w:cs="Verdana" w:eastAsia="Verdana" w:hAnsi="Verdana"/>
                <w:sz w:val="16"/>
                <w:szCs w:val="16"/>
                <w:color w:val="auto"/>
              </w:rPr>
              <w:t>Depletion, depreciation and amortization</w:t>
            </w:r>
          </w:p>
        </w:tc>
        <w:tc>
          <w:tcPr>
            <w:tcW w:w="240" w:type="dxa"/>
            <w:vAlign w:val="bottom"/>
          </w:tcPr>
          <w:p>
            <w:pPr>
              <w:jc w:val="right"/>
              <w:ind w:right="1"/>
              <w:spacing w:after="0"/>
              <w:rPr>
                <w:sz w:val="20"/>
                <w:szCs w:val="20"/>
                <w:color w:val="auto"/>
              </w:rPr>
            </w:pPr>
            <w:r>
              <w:rPr>
                <w:rFonts w:ascii="Verdana" w:cs="Verdana" w:eastAsia="Verdana" w:hAnsi="Verdana"/>
                <w:sz w:val="16"/>
                <w:szCs w:val="16"/>
                <w:color w:val="214E93"/>
              </w:rPr>
              <w:t>$</w:t>
            </w:r>
          </w:p>
        </w:tc>
        <w:tc>
          <w:tcPr>
            <w:tcW w:w="1040" w:type="dxa"/>
            <w:vAlign w:val="bottom"/>
          </w:tcPr>
          <w:p>
            <w:pPr>
              <w:jc w:val="right"/>
              <w:ind w:right="62"/>
              <w:spacing w:after="0"/>
              <w:rPr>
                <w:sz w:val="20"/>
                <w:szCs w:val="20"/>
                <w:color w:val="auto"/>
              </w:rPr>
            </w:pPr>
            <w:r>
              <w:rPr>
                <w:rFonts w:ascii="Verdana" w:cs="Verdana" w:eastAsia="Verdana" w:hAnsi="Verdana"/>
                <w:sz w:val="16"/>
                <w:szCs w:val="16"/>
                <w:color w:val="214E93"/>
              </w:rPr>
              <w:t>15.82</w:t>
            </w:r>
          </w:p>
        </w:tc>
        <w:tc>
          <w:tcPr>
            <w:tcW w:w="180" w:type="dxa"/>
            <w:vAlign w:val="bottom"/>
          </w:tcPr>
          <w:p>
            <w:pPr>
              <w:ind w:left="80"/>
              <w:spacing w:after="0"/>
              <w:rPr>
                <w:sz w:val="20"/>
                <w:szCs w:val="20"/>
                <w:color w:val="auto"/>
              </w:rPr>
            </w:pPr>
            <w:r>
              <w:rPr>
                <w:rFonts w:ascii="Verdana" w:cs="Verdana" w:eastAsia="Verdana" w:hAnsi="Verdana"/>
                <w:sz w:val="16"/>
                <w:szCs w:val="16"/>
                <w:color w:val="131313"/>
                <w:w w:val="77"/>
              </w:rPr>
              <w:t>$</w:t>
            </w:r>
          </w:p>
        </w:tc>
        <w:tc>
          <w:tcPr>
            <w:tcW w:w="780" w:type="dxa"/>
            <w:vAlign w:val="bottom"/>
          </w:tcPr>
          <w:p>
            <w:pPr>
              <w:jc w:val="right"/>
              <w:ind w:right="62"/>
              <w:spacing w:after="0"/>
              <w:rPr>
                <w:sz w:val="20"/>
                <w:szCs w:val="20"/>
                <w:color w:val="auto"/>
              </w:rPr>
            </w:pPr>
            <w:r>
              <w:rPr>
                <w:rFonts w:ascii="Verdana" w:cs="Verdana" w:eastAsia="Verdana" w:hAnsi="Verdana"/>
                <w:sz w:val="16"/>
                <w:szCs w:val="16"/>
                <w:color w:val="131313"/>
              </w:rPr>
              <w:t>15.59</w:t>
            </w:r>
          </w:p>
        </w:tc>
        <w:tc>
          <w:tcPr>
            <w:tcW w:w="180" w:type="dxa"/>
            <w:vAlign w:val="bottom"/>
          </w:tcPr>
          <w:p>
            <w:pPr>
              <w:ind w:left="80"/>
              <w:spacing w:after="0"/>
              <w:rPr>
                <w:sz w:val="20"/>
                <w:szCs w:val="20"/>
                <w:color w:val="auto"/>
              </w:rPr>
            </w:pPr>
            <w:r>
              <w:rPr>
                <w:rFonts w:ascii="Verdana" w:cs="Verdana" w:eastAsia="Verdana" w:hAnsi="Verdana"/>
                <w:sz w:val="16"/>
                <w:szCs w:val="16"/>
                <w:color w:val="131313"/>
                <w:w w:val="77"/>
              </w:rPr>
              <w:t>$</w:t>
            </w:r>
          </w:p>
        </w:tc>
        <w:tc>
          <w:tcPr>
            <w:tcW w:w="740" w:type="dxa"/>
            <w:vAlign w:val="bottom"/>
          </w:tcPr>
          <w:p>
            <w:pPr>
              <w:jc w:val="right"/>
              <w:ind w:right="22"/>
              <w:spacing w:after="0"/>
              <w:rPr>
                <w:sz w:val="20"/>
                <w:szCs w:val="20"/>
                <w:color w:val="auto"/>
              </w:rPr>
            </w:pPr>
            <w:r>
              <w:rPr>
                <w:rFonts w:ascii="Verdana" w:cs="Verdana" w:eastAsia="Verdana" w:hAnsi="Verdana"/>
                <w:sz w:val="16"/>
                <w:szCs w:val="16"/>
                <w:color w:val="131313"/>
              </w:rPr>
              <w:t>14.90</w:t>
            </w:r>
          </w:p>
        </w:tc>
      </w:tr>
      <w:tr>
        <w:trPr>
          <w:trHeight w:val="236"/>
        </w:trPr>
        <w:tc>
          <w:tcPr>
            <w:tcW w:w="6160" w:type="dxa"/>
            <w:vAlign w:val="bottom"/>
          </w:tcPr>
          <w:p>
            <w:pPr>
              <w:ind w:left="160"/>
              <w:spacing w:after="0"/>
              <w:rPr>
                <w:sz w:val="20"/>
                <w:szCs w:val="20"/>
                <w:color w:val="auto"/>
              </w:rPr>
            </w:pPr>
            <w:r>
              <w:rPr>
                <w:rFonts w:ascii="Verdana" w:cs="Verdana" w:eastAsia="Verdana" w:hAnsi="Verdana"/>
                <w:sz w:val="16"/>
                <w:szCs w:val="16"/>
                <w:color w:val="auto"/>
              </w:rPr>
              <w:t>Taxes other than income</w:t>
            </w:r>
          </w:p>
        </w:tc>
        <w:tc>
          <w:tcPr>
            <w:tcW w:w="240" w:type="dxa"/>
            <w:vAlign w:val="bottom"/>
          </w:tcPr>
          <w:p>
            <w:pPr>
              <w:jc w:val="right"/>
              <w:ind w:right="1"/>
              <w:spacing w:after="0"/>
              <w:rPr>
                <w:sz w:val="20"/>
                <w:szCs w:val="20"/>
                <w:color w:val="auto"/>
              </w:rPr>
            </w:pPr>
            <w:r>
              <w:rPr>
                <w:rFonts w:ascii="Verdana" w:cs="Verdana" w:eastAsia="Verdana" w:hAnsi="Verdana"/>
                <w:sz w:val="16"/>
                <w:szCs w:val="16"/>
                <w:color w:val="214E93"/>
              </w:rPr>
              <w:t>$</w:t>
            </w:r>
          </w:p>
        </w:tc>
        <w:tc>
          <w:tcPr>
            <w:tcW w:w="1040" w:type="dxa"/>
            <w:vAlign w:val="bottom"/>
          </w:tcPr>
          <w:p>
            <w:pPr>
              <w:jc w:val="right"/>
              <w:ind w:right="62"/>
              <w:spacing w:after="0"/>
              <w:rPr>
                <w:sz w:val="20"/>
                <w:szCs w:val="20"/>
                <w:color w:val="auto"/>
              </w:rPr>
            </w:pPr>
            <w:r>
              <w:rPr>
                <w:rFonts w:ascii="Verdana" w:cs="Verdana" w:eastAsia="Verdana" w:hAnsi="Verdana"/>
                <w:sz w:val="16"/>
                <w:szCs w:val="16"/>
                <w:color w:val="214E93"/>
              </w:rPr>
              <w:t>3.65</w:t>
            </w:r>
          </w:p>
        </w:tc>
        <w:tc>
          <w:tcPr>
            <w:tcW w:w="180" w:type="dxa"/>
            <w:vAlign w:val="bottom"/>
          </w:tcPr>
          <w:p>
            <w:pPr>
              <w:ind w:left="80"/>
              <w:spacing w:after="0"/>
              <w:rPr>
                <w:sz w:val="20"/>
                <w:szCs w:val="20"/>
                <w:color w:val="auto"/>
              </w:rPr>
            </w:pPr>
            <w:r>
              <w:rPr>
                <w:rFonts w:ascii="Verdana" w:cs="Verdana" w:eastAsia="Verdana" w:hAnsi="Verdana"/>
                <w:sz w:val="16"/>
                <w:szCs w:val="16"/>
                <w:color w:val="131313"/>
                <w:w w:val="77"/>
              </w:rPr>
              <w:t>$</w:t>
            </w:r>
          </w:p>
        </w:tc>
        <w:tc>
          <w:tcPr>
            <w:tcW w:w="780" w:type="dxa"/>
            <w:vAlign w:val="bottom"/>
          </w:tcPr>
          <w:p>
            <w:pPr>
              <w:jc w:val="right"/>
              <w:ind w:right="62"/>
              <w:spacing w:after="0"/>
              <w:rPr>
                <w:sz w:val="20"/>
                <w:szCs w:val="20"/>
                <w:color w:val="auto"/>
              </w:rPr>
            </w:pPr>
            <w:r>
              <w:rPr>
                <w:rFonts w:ascii="Verdana" w:cs="Verdana" w:eastAsia="Verdana" w:hAnsi="Verdana"/>
                <w:sz w:val="16"/>
                <w:szCs w:val="16"/>
                <w:color w:val="131313"/>
              </w:rPr>
              <w:t>4.30</w:t>
            </w:r>
          </w:p>
        </w:tc>
        <w:tc>
          <w:tcPr>
            <w:tcW w:w="180" w:type="dxa"/>
            <w:vAlign w:val="bottom"/>
          </w:tcPr>
          <w:p>
            <w:pPr>
              <w:ind w:left="80"/>
              <w:spacing w:after="0"/>
              <w:rPr>
                <w:sz w:val="20"/>
                <w:szCs w:val="20"/>
                <w:color w:val="auto"/>
              </w:rPr>
            </w:pPr>
            <w:r>
              <w:rPr>
                <w:rFonts w:ascii="Verdana" w:cs="Verdana" w:eastAsia="Verdana" w:hAnsi="Verdana"/>
                <w:sz w:val="16"/>
                <w:szCs w:val="16"/>
                <w:color w:val="131313"/>
                <w:w w:val="77"/>
              </w:rPr>
              <w:t>$</w:t>
            </w:r>
          </w:p>
        </w:tc>
        <w:tc>
          <w:tcPr>
            <w:tcW w:w="740" w:type="dxa"/>
            <w:vAlign w:val="bottom"/>
          </w:tcPr>
          <w:p>
            <w:pPr>
              <w:jc w:val="right"/>
              <w:ind w:right="22"/>
              <w:spacing w:after="0"/>
              <w:rPr>
                <w:sz w:val="20"/>
                <w:szCs w:val="20"/>
                <w:color w:val="auto"/>
              </w:rPr>
            </w:pPr>
            <w:r>
              <w:rPr>
                <w:rFonts w:ascii="Verdana" w:cs="Verdana" w:eastAsia="Verdana" w:hAnsi="Verdana"/>
                <w:sz w:val="16"/>
                <w:szCs w:val="16"/>
                <w:color w:val="131313"/>
              </w:rPr>
              <w:t>4.59</w:t>
            </w:r>
          </w:p>
        </w:tc>
      </w:tr>
      <w:tr>
        <w:trPr>
          <w:trHeight w:val="236"/>
        </w:trPr>
        <w:tc>
          <w:tcPr>
            <w:tcW w:w="6160" w:type="dxa"/>
            <w:vAlign w:val="bottom"/>
          </w:tcPr>
          <w:p>
            <w:pPr>
              <w:ind w:left="160"/>
              <w:spacing w:after="0"/>
              <w:rPr>
                <w:sz w:val="20"/>
                <w:szCs w:val="20"/>
                <w:color w:val="auto"/>
              </w:rPr>
            </w:pPr>
            <w:r>
              <w:rPr>
                <w:rFonts w:ascii="Verdana" w:cs="Verdana" w:eastAsia="Verdana" w:hAnsi="Verdana"/>
                <w:sz w:val="16"/>
                <w:szCs w:val="16"/>
                <w:color w:val="auto"/>
              </w:rPr>
              <w:t>General and administrative</w:t>
            </w:r>
          </w:p>
        </w:tc>
        <w:tc>
          <w:tcPr>
            <w:tcW w:w="240" w:type="dxa"/>
            <w:vAlign w:val="bottom"/>
          </w:tcPr>
          <w:p>
            <w:pPr>
              <w:jc w:val="right"/>
              <w:ind w:right="1"/>
              <w:spacing w:after="0"/>
              <w:rPr>
                <w:sz w:val="20"/>
                <w:szCs w:val="20"/>
                <w:color w:val="auto"/>
              </w:rPr>
            </w:pPr>
            <w:r>
              <w:rPr>
                <w:rFonts w:ascii="Verdana" w:cs="Verdana" w:eastAsia="Verdana" w:hAnsi="Verdana"/>
                <w:sz w:val="16"/>
                <w:szCs w:val="16"/>
                <w:color w:val="214E93"/>
              </w:rPr>
              <w:t>$</w:t>
            </w:r>
          </w:p>
        </w:tc>
        <w:tc>
          <w:tcPr>
            <w:tcW w:w="1040" w:type="dxa"/>
            <w:vAlign w:val="bottom"/>
          </w:tcPr>
          <w:p>
            <w:pPr>
              <w:jc w:val="right"/>
              <w:ind w:right="62"/>
              <w:spacing w:after="0"/>
              <w:rPr>
                <w:sz w:val="20"/>
                <w:szCs w:val="20"/>
                <w:color w:val="auto"/>
              </w:rPr>
            </w:pPr>
            <w:r>
              <w:rPr>
                <w:rFonts w:ascii="Verdana" w:cs="Verdana" w:eastAsia="Verdana" w:hAnsi="Verdana"/>
                <w:sz w:val="16"/>
                <w:szCs w:val="16"/>
                <w:color w:val="214E93"/>
              </w:rPr>
              <w:t>1.81</w:t>
            </w:r>
          </w:p>
        </w:tc>
        <w:tc>
          <w:tcPr>
            <w:tcW w:w="180" w:type="dxa"/>
            <w:vAlign w:val="bottom"/>
          </w:tcPr>
          <w:p>
            <w:pPr>
              <w:ind w:left="80"/>
              <w:spacing w:after="0"/>
              <w:rPr>
                <w:sz w:val="20"/>
                <w:szCs w:val="20"/>
                <w:color w:val="auto"/>
              </w:rPr>
            </w:pPr>
            <w:r>
              <w:rPr>
                <w:rFonts w:ascii="Verdana" w:cs="Verdana" w:eastAsia="Verdana" w:hAnsi="Verdana"/>
                <w:sz w:val="16"/>
                <w:szCs w:val="16"/>
                <w:color w:val="131313"/>
                <w:w w:val="77"/>
              </w:rPr>
              <w:t>$</w:t>
            </w:r>
          </w:p>
        </w:tc>
        <w:tc>
          <w:tcPr>
            <w:tcW w:w="780" w:type="dxa"/>
            <w:vAlign w:val="bottom"/>
          </w:tcPr>
          <w:p>
            <w:pPr>
              <w:jc w:val="right"/>
              <w:ind w:right="62"/>
              <w:spacing w:after="0"/>
              <w:rPr>
                <w:sz w:val="20"/>
                <w:szCs w:val="20"/>
                <w:color w:val="auto"/>
              </w:rPr>
            </w:pPr>
            <w:r>
              <w:rPr>
                <w:rFonts w:ascii="Verdana" w:cs="Verdana" w:eastAsia="Verdana" w:hAnsi="Verdana"/>
                <w:sz w:val="16"/>
                <w:szCs w:val="16"/>
                <w:color w:val="131313"/>
              </w:rPr>
              <w:t>2.04</w:t>
            </w:r>
          </w:p>
        </w:tc>
        <w:tc>
          <w:tcPr>
            <w:tcW w:w="180" w:type="dxa"/>
            <w:vAlign w:val="bottom"/>
          </w:tcPr>
          <w:p>
            <w:pPr>
              <w:ind w:left="80"/>
              <w:spacing w:after="0"/>
              <w:rPr>
                <w:sz w:val="20"/>
                <w:szCs w:val="20"/>
                <w:color w:val="auto"/>
              </w:rPr>
            </w:pPr>
            <w:r>
              <w:rPr>
                <w:rFonts w:ascii="Verdana" w:cs="Verdana" w:eastAsia="Verdana" w:hAnsi="Verdana"/>
                <w:sz w:val="16"/>
                <w:szCs w:val="16"/>
                <w:color w:val="131313"/>
                <w:w w:val="77"/>
              </w:rPr>
              <w:t>$</w:t>
            </w:r>
          </w:p>
        </w:tc>
        <w:tc>
          <w:tcPr>
            <w:tcW w:w="740" w:type="dxa"/>
            <w:vAlign w:val="bottom"/>
          </w:tcPr>
          <w:p>
            <w:pPr>
              <w:jc w:val="right"/>
              <w:ind w:right="22"/>
              <w:spacing w:after="0"/>
              <w:rPr>
                <w:sz w:val="20"/>
                <w:szCs w:val="20"/>
                <w:color w:val="auto"/>
              </w:rPr>
            </w:pPr>
            <w:r>
              <w:rPr>
                <w:rFonts w:ascii="Verdana" w:cs="Verdana" w:eastAsia="Verdana" w:hAnsi="Verdana"/>
                <w:sz w:val="16"/>
                <w:szCs w:val="16"/>
                <w:color w:val="131313"/>
              </w:rPr>
              <w:t>2.29</w:t>
            </w:r>
          </w:p>
        </w:tc>
      </w:tr>
    </w:tbl>
    <w:p>
      <w:pPr>
        <w:spacing w:after="0" w:line="2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Year Ended December 31, 2025 as Compared to Year Ended December 31, 2024</w:t>
      </w:r>
    </w:p>
    <w:p>
      <w:pPr>
        <w:spacing w:after="0" w:line="212" w:lineRule="exact"/>
        <w:rPr>
          <w:sz w:val="20"/>
          <w:szCs w:val="20"/>
          <w:color w:val="auto"/>
        </w:rPr>
      </w:pPr>
    </w:p>
    <w:p>
      <w:pPr>
        <w:ind w:right="860"/>
        <w:spacing w:after="0" w:line="272" w:lineRule="auto"/>
        <w:rPr>
          <w:sz w:val="20"/>
          <w:szCs w:val="20"/>
          <w:color w:val="auto"/>
        </w:rPr>
      </w:pPr>
      <w:r>
        <w:rPr>
          <w:rFonts w:ascii="Calibri" w:cs="Calibri" w:eastAsia="Calibri" w:hAnsi="Calibri"/>
          <w:sz w:val="18"/>
          <w:szCs w:val="18"/>
          <w:color w:val="214E93"/>
        </w:rPr>
        <w:t xml:space="preserve">Lease operating expenses. </w:t>
      </w:r>
      <w:r>
        <w:rPr>
          <w:rFonts w:ascii="Calibri" w:cs="Calibri" w:eastAsia="Calibri" w:hAnsi="Calibri"/>
          <w:sz w:val="18"/>
          <w:szCs w:val="18"/>
          <w:color w:val="000000"/>
        </w:rPr>
        <w:t>Our lease operating expenses increased $90.7 million, or 28%, to $415.8 million for the year ended</w:t>
      </w:r>
      <w:r>
        <w:rPr>
          <w:rFonts w:ascii="Calibri" w:cs="Calibri" w:eastAsia="Calibri" w:hAnsi="Calibri"/>
          <w:sz w:val="18"/>
          <w:szCs w:val="18"/>
          <w:color w:val="214E93"/>
        </w:rPr>
        <w:t xml:space="preserve"> </w:t>
      </w:r>
      <w:r>
        <w:rPr>
          <w:rFonts w:ascii="Calibri" w:cs="Calibri" w:eastAsia="Calibri" w:hAnsi="Calibri"/>
          <w:sz w:val="18"/>
          <w:szCs w:val="18"/>
          <w:color w:val="000000"/>
        </w:rPr>
        <w:t>December 31, 2025, as compared to $325.1 million for the year ended December 31, 2024. On a unit-of-production basis, our lease operating expenses increased 6% to $5.50 per BOE for the year ended December 31, 2025, as compared to $5.20 per BOE for the year ended December 31, 2024. These increases were primarily attributable to the increased number of wells being operated by us and other operators (where we own a working interest) for the year ended December 31, 2025, as compared to the year ended December 31, 2024.</w:t>
      </w:r>
    </w:p>
    <w:p>
      <w:pPr>
        <w:spacing w:after="0" w:line="213" w:lineRule="exact"/>
        <w:rPr>
          <w:sz w:val="20"/>
          <w:szCs w:val="20"/>
          <w:color w:val="auto"/>
        </w:rPr>
      </w:pPr>
    </w:p>
    <w:p>
      <w:pPr>
        <w:ind w:right="760"/>
        <w:spacing w:after="0" w:line="267" w:lineRule="auto"/>
        <w:rPr>
          <w:sz w:val="20"/>
          <w:szCs w:val="20"/>
          <w:color w:val="auto"/>
        </w:rPr>
      </w:pPr>
      <w:r>
        <w:rPr>
          <w:rFonts w:ascii="Calibri" w:cs="Calibri" w:eastAsia="Calibri" w:hAnsi="Calibri"/>
          <w:sz w:val="18"/>
          <w:szCs w:val="18"/>
          <w:color w:val="214E93"/>
        </w:rPr>
        <w:t xml:space="preserve">Transportation and processing. </w:t>
      </w:r>
      <w:r>
        <w:rPr>
          <w:rFonts w:ascii="Calibri" w:cs="Calibri" w:eastAsia="Calibri" w:hAnsi="Calibri"/>
          <w:sz w:val="18"/>
          <w:szCs w:val="18"/>
          <w:color w:val="000000"/>
        </w:rPr>
        <w:t>Our transportation and processing expenses increased $8.2 million, or 14%, to $66.8 million for the</w:t>
      </w:r>
      <w:r>
        <w:rPr>
          <w:rFonts w:ascii="Calibri" w:cs="Calibri" w:eastAsia="Calibri" w:hAnsi="Calibri"/>
          <w:sz w:val="18"/>
          <w:szCs w:val="18"/>
          <w:color w:val="214E93"/>
        </w:rPr>
        <w:t xml:space="preserve"> </w:t>
      </w:r>
      <w:r>
        <w:rPr>
          <w:rFonts w:ascii="Calibri" w:cs="Calibri" w:eastAsia="Calibri" w:hAnsi="Calibri"/>
          <w:sz w:val="18"/>
          <w:szCs w:val="18"/>
          <w:color w:val="000000"/>
        </w:rPr>
        <w:t>year ended December 31, 2025, as compared to $58.6 million for the year ended December 31, 2024. This increase in transportation and processing expenses is primarily due to the 21% increase in our total oil equivalent production between the two periods. On a unit-of-production basis, our transportation and processing expenses decreased 6% to $0.88 per BOE for the year ended December 31, 2025, as compared to $0.94 per BOE for the year ended December 31, 2024. This decrease per BOE primarily resulted from the mix of revenue contracts, including from San Mateo, between the two periods.</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880"/>
        <w:spacing w:after="0"/>
        <w:rPr>
          <w:sz w:val="20"/>
          <w:szCs w:val="20"/>
          <w:color w:val="auto"/>
        </w:rPr>
      </w:pPr>
      <w:r>
        <w:rPr>
          <w:rFonts w:ascii="Calibri" w:cs="Calibri" w:eastAsia="Calibri" w:hAnsi="Calibri"/>
          <w:sz w:val="17"/>
          <w:szCs w:val="17"/>
          <w:color w:val="auto"/>
        </w:rPr>
        <w:t>FORM 10-K PART II</w:t>
      </w:r>
    </w:p>
    <w:p>
      <w:pPr>
        <w:sectPr>
          <w:pgSz w:w="11880" w:h="15480" w:orient="portrait"/>
          <w:cols w:equalWidth="0" w:num="1">
            <w:col w:w="10280"/>
          </w:cols>
          <w:pgMar w:left="1160" w:top="498" w:right="440" w:bottom="0" w:gutter="0" w:footer="0" w:header="0"/>
          <w:type w:val="continuous"/>
        </w:sectPr>
      </w:pPr>
    </w:p>
    <w:bookmarkStart w:id="101" w:name="page102"/>
    <w:bookmarkEnd w:id="101"/>
    <w:p>
      <w:pPr>
        <w:spacing w:after="0"/>
        <w:tabs>
          <w:tab w:leader="none" w:pos="740" w:val="left"/>
        </w:tabs>
        <w:rPr>
          <w:sz w:val="20"/>
          <w:szCs w:val="20"/>
          <w:color w:val="auto"/>
        </w:rPr>
      </w:pPr>
      <w:r>
        <w:rPr>
          <w:rFonts w:ascii="Calibri" w:cs="Calibri" w:eastAsia="Calibri" w:hAnsi="Calibri"/>
          <w:sz w:val="18"/>
          <w:szCs w:val="18"/>
          <w:color w:val="auto"/>
        </w:rPr>
        <w:t>88</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20" w:right="160"/>
        <w:spacing w:after="0" w:line="268" w:lineRule="auto"/>
        <w:rPr>
          <w:sz w:val="20"/>
          <w:szCs w:val="20"/>
          <w:color w:val="auto"/>
        </w:rPr>
      </w:pPr>
      <w:r>
        <w:rPr>
          <w:rFonts w:ascii="Calibri" w:cs="Calibri" w:eastAsia="Calibri" w:hAnsi="Calibri"/>
          <w:sz w:val="18"/>
          <w:szCs w:val="18"/>
          <w:color w:val="214E93"/>
        </w:rPr>
        <w:t xml:space="preserve">Midstream operating. </w:t>
      </w:r>
      <w:r>
        <w:rPr>
          <w:rFonts w:ascii="Calibri" w:cs="Calibri" w:eastAsia="Calibri" w:hAnsi="Calibri"/>
          <w:sz w:val="18"/>
          <w:szCs w:val="18"/>
          <w:color w:val="000000"/>
        </w:rPr>
        <w:t>Our midstream operating expenses increased $40.7 million, or 24%, to $208.1 million for the year ended</w:t>
      </w:r>
      <w:r>
        <w:rPr>
          <w:rFonts w:ascii="Calibri" w:cs="Calibri" w:eastAsia="Calibri" w:hAnsi="Calibri"/>
          <w:sz w:val="18"/>
          <w:szCs w:val="18"/>
          <w:color w:val="214E93"/>
        </w:rPr>
        <w:t xml:space="preserve"> </w:t>
      </w:r>
      <w:r>
        <w:rPr>
          <w:rFonts w:ascii="Calibri" w:cs="Calibri" w:eastAsia="Calibri" w:hAnsi="Calibri"/>
          <w:sz w:val="18"/>
          <w:szCs w:val="18"/>
          <w:color w:val="000000"/>
        </w:rPr>
        <w:t>December 31, 2025, as compared to $167.4 million for the year ended December 31, 2024. This increase was primarily attributable to the expansion of the Marlan Processing Plant and increased throughput volumes from Matador’s wholly-owned midstream assets, which resulted in (i) increased expenses associated with our expanded pipeline operations of $100.9 million for the year ended December 31, 2025, as compared to $73.9 million for the year ended December 31, 2024 and (ii) increased expenses associated with plant processing of $52.7 million for the year ended December 31, 2025, as compared to $34.6 million for the year ended December 31, 2024, which was partially offset by (iii) decreased expenses associated with our commercial produced water disposal operations of $59.5 million for the year ended December 31, 2025, as compared to $63.0 million for the year ended December 31, 2024.</w:t>
      </w:r>
    </w:p>
    <w:p>
      <w:pPr>
        <w:spacing w:after="0" w:line="223" w:lineRule="exact"/>
        <w:rPr>
          <w:sz w:val="20"/>
          <w:szCs w:val="20"/>
          <w:color w:val="auto"/>
        </w:rPr>
      </w:pPr>
    </w:p>
    <w:p>
      <w:pPr>
        <w:ind w:left="720" w:right="100"/>
        <w:spacing w:after="0" w:line="272" w:lineRule="auto"/>
        <w:rPr>
          <w:sz w:val="20"/>
          <w:szCs w:val="20"/>
          <w:color w:val="auto"/>
        </w:rPr>
      </w:pPr>
      <w:r>
        <w:rPr>
          <w:rFonts w:ascii="Calibri" w:cs="Calibri" w:eastAsia="Calibri" w:hAnsi="Calibri"/>
          <w:sz w:val="18"/>
          <w:szCs w:val="18"/>
          <w:color w:val="214E93"/>
        </w:rPr>
        <w:t xml:space="preserve">Depletion, depreciation and amortization. </w:t>
      </w:r>
      <w:r>
        <w:rPr>
          <w:rFonts w:ascii="Calibri" w:cs="Calibri" w:eastAsia="Calibri" w:hAnsi="Calibri"/>
          <w:sz w:val="18"/>
          <w:szCs w:val="18"/>
          <w:color w:val="000000"/>
        </w:rPr>
        <w:t>Our depletion, depreciation and amortization expenses increased $221.1 million, or 23%,</w:t>
      </w:r>
      <w:r>
        <w:rPr>
          <w:rFonts w:ascii="Calibri" w:cs="Calibri" w:eastAsia="Calibri" w:hAnsi="Calibri"/>
          <w:sz w:val="18"/>
          <w:szCs w:val="18"/>
          <w:color w:val="214E93"/>
        </w:rPr>
        <w:t xml:space="preserve"> </w:t>
      </w:r>
      <w:r>
        <w:rPr>
          <w:rFonts w:ascii="Calibri" w:cs="Calibri" w:eastAsia="Calibri" w:hAnsi="Calibri"/>
          <w:sz w:val="18"/>
          <w:szCs w:val="18"/>
          <w:color w:val="000000"/>
        </w:rPr>
        <w:t>to $1.20 billion for the year ended December 31, 2025, as compared to $974.3 million for the year ended December 31, 2024, primarily as a result of the 21% increase in our total oil equivalent production between the respective periods. On a unit-of-production basis, our depletion, depreciation and amortization expenses increased 1% to $15.82 per BOE for the year ended December 31, 2025, as compared to $15.59 per BOE for the year ended December 31, 2024.</w:t>
      </w:r>
    </w:p>
    <w:p>
      <w:pPr>
        <w:spacing w:after="0" w:line="218" w:lineRule="exact"/>
        <w:rPr>
          <w:sz w:val="20"/>
          <w:szCs w:val="20"/>
          <w:color w:val="auto"/>
        </w:rPr>
      </w:pPr>
    </w:p>
    <w:p>
      <w:pPr>
        <w:ind w:left="720" w:right="40"/>
        <w:spacing w:after="0" w:line="272" w:lineRule="auto"/>
        <w:rPr>
          <w:sz w:val="20"/>
          <w:szCs w:val="20"/>
          <w:color w:val="auto"/>
        </w:rPr>
      </w:pPr>
      <w:r>
        <w:rPr>
          <w:rFonts w:ascii="Calibri" w:cs="Calibri" w:eastAsia="Calibri" w:hAnsi="Calibri"/>
          <w:sz w:val="18"/>
          <w:szCs w:val="18"/>
          <w:color w:val="214E93"/>
        </w:rPr>
        <w:t xml:space="preserve">Taxes other than income. </w:t>
      </w:r>
      <w:r>
        <w:rPr>
          <w:rFonts w:ascii="Calibri" w:cs="Calibri" w:eastAsia="Calibri" w:hAnsi="Calibri"/>
          <w:sz w:val="18"/>
          <w:szCs w:val="18"/>
          <w:color w:val="000000"/>
        </w:rPr>
        <w:t>Our taxes other than income increased $7.0 million, or 3%, to $275.6 million for the year ended December</w:t>
      </w:r>
      <w:r>
        <w:rPr>
          <w:rFonts w:ascii="Calibri" w:cs="Calibri" w:eastAsia="Calibri" w:hAnsi="Calibri"/>
          <w:sz w:val="18"/>
          <w:szCs w:val="18"/>
          <w:color w:val="214E93"/>
        </w:rPr>
        <w:t xml:space="preserve"> </w:t>
      </w:r>
      <w:r>
        <w:rPr>
          <w:rFonts w:ascii="Calibri" w:cs="Calibri" w:eastAsia="Calibri" w:hAnsi="Calibri"/>
          <w:sz w:val="18"/>
          <w:szCs w:val="18"/>
          <w:color w:val="000000"/>
        </w:rPr>
        <w:t>31, 2025, as compared to $268.6 million for the year ended December 31, 2024. This increase in taxes other than income is primarily due to the increase in oil and natural gas revenues between the two periods. On a unit-of-production basis, our taxes other than income decreased 15% to $3.65 per BOE for the year ended December 31, 2025, as compared to $4.30 per BOE for the year ended December 31, 2024. This decrease per BOE was primarily attributable to a 14% decrease in realized oil prices between the two periods.</w:t>
      </w:r>
    </w:p>
    <w:p>
      <w:pPr>
        <w:spacing w:after="0" w:line="200" w:lineRule="exact"/>
        <w:rPr>
          <w:sz w:val="20"/>
          <w:szCs w:val="20"/>
          <w:color w:val="auto"/>
        </w:rPr>
      </w:pPr>
    </w:p>
    <w:p>
      <w:pPr>
        <w:ind w:left="720"/>
        <w:spacing w:after="0"/>
        <w:rPr>
          <w:sz w:val="20"/>
          <w:szCs w:val="20"/>
          <w:color w:val="auto"/>
        </w:rPr>
      </w:pPr>
      <w:r>
        <w:rPr>
          <w:rFonts w:ascii="Calibri" w:cs="Calibri" w:eastAsia="Calibri" w:hAnsi="Calibri"/>
          <w:sz w:val="18"/>
          <w:szCs w:val="18"/>
          <w:color w:val="214E93"/>
        </w:rPr>
        <w:t xml:space="preserve">General and administrative. </w:t>
      </w:r>
      <w:r>
        <w:rPr>
          <w:rFonts w:ascii="Calibri" w:cs="Calibri" w:eastAsia="Calibri" w:hAnsi="Calibri"/>
          <w:sz w:val="18"/>
          <w:szCs w:val="18"/>
          <w:color w:val="000000"/>
        </w:rPr>
        <w:t>Our general and administrative expenses increased $9.6 million, or 8%, to $137.1 million for the year</w:t>
      </w:r>
    </w:p>
    <w:p>
      <w:pPr>
        <w:spacing w:after="0" w:line="64" w:lineRule="exact"/>
        <w:rPr>
          <w:sz w:val="20"/>
          <w:szCs w:val="20"/>
          <w:color w:val="auto"/>
        </w:rPr>
      </w:pPr>
    </w:p>
    <w:p>
      <w:pPr>
        <w:ind w:left="720"/>
        <w:spacing w:after="0"/>
        <w:rPr>
          <w:sz w:val="20"/>
          <w:szCs w:val="20"/>
          <w:color w:val="auto"/>
        </w:rPr>
      </w:pPr>
      <w:r>
        <w:rPr>
          <w:rFonts w:ascii="Calibri" w:cs="Calibri" w:eastAsia="Calibri" w:hAnsi="Calibri"/>
          <w:sz w:val="17"/>
          <w:szCs w:val="17"/>
          <w:color w:val="auto"/>
        </w:rPr>
        <w:t>ended December 31, 2025, as compared to $127.5 million for the year ended December 31, 2024, primarily due to increased payroll</w:t>
      </w:r>
    </w:p>
    <w:p>
      <w:pPr>
        <w:spacing w:after="0" w:line="40" w:lineRule="exact"/>
        <w:rPr>
          <w:sz w:val="20"/>
          <w:szCs w:val="20"/>
          <w:color w:val="auto"/>
        </w:rPr>
      </w:pPr>
    </w:p>
    <w:p>
      <w:pPr>
        <w:ind w:left="720"/>
        <w:spacing w:after="0"/>
        <w:rPr>
          <w:sz w:val="20"/>
          <w:szCs w:val="20"/>
          <w:color w:val="auto"/>
        </w:rPr>
      </w:pPr>
      <w:r>
        <w:rPr>
          <w:rFonts w:ascii="Calibri" w:cs="Calibri" w:eastAsia="Calibri" w:hAnsi="Calibri"/>
          <w:sz w:val="17"/>
          <w:szCs w:val="17"/>
          <w:color w:val="auto"/>
        </w:rPr>
        <w:t>for our existing employees as well as with additional employees joining Matador to support our increased land, geoscience, drilling,</w:t>
      </w:r>
    </w:p>
    <w:p>
      <w:pPr>
        <w:spacing w:after="0" w:line="40" w:lineRule="exact"/>
        <w:rPr>
          <w:sz w:val="20"/>
          <w:szCs w:val="20"/>
          <w:color w:val="auto"/>
        </w:rPr>
      </w:pPr>
    </w:p>
    <w:p>
      <w:pPr>
        <w:ind w:left="720"/>
        <w:spacing w:after="0"/>
        <w:rPr>
          <w:sz w:val="20"/>
          <w:szCs w:val="20"/>
          <w:color w:val="auto"/>
        </w:rPr>
      </w:pPr>
      <w:r>
        <w:rPr>
          <w:rFonts w:ascii="Calibri" w:cs="Calibri" w:eastAsia="Calibri" w:hAnsi="Calibri"/>
          <w:sz w:val="17"/>
          <w:szCs w:val="17"/>
          <w:color w:val="auto"/>
        </w:rPr>
        <w:t>completion, production, midstream and administration functions as a result of our continued growth. Our general and administrative</w:t>
      </w:r>
    </w:p>
    <w:p>
      <w:pPr>
        <w:spacing w:after="0" w:line="28" w:lineRule="exact"/>
        <w:rPr>
          <w:sz w:val="20"/>
          <w:szCs w:val="20"/>
          <w:color w:val="auto"/>
        </w:rPr>
      </w:pPr>
    </w:p>
    <w:p>
      <w:pPr>
        <w:ind w:left="720"/>
        <w:spacing w:after="0"/>
        <w:rPr>
          <w:sz w:val="20"/>
          <w:szCs w:val="20"/>
          <w:color w:val="auto"/>
        </w:rPr>
      </w:pPr>
      <w:r>
        <w:rPr>
          <w:rFonts w:ascii="Calibri" w:cs="Calibri" w:eastAsia="Calibri" w:hAnsi="Calibri"/>
          <w:sz w:val="18"/>
          <w:szCs w:val="18"/>
          <w:color w:val="auto"/>
        </w:rPr>
        <w:t>expenses on a unit-of-production basis decreased 11% to $1.81 per BOE for the year ended December 31, 2025, as compared to</w:t>
      </w:r>
    </w:p>
    <w:p>
      <w:pPr>
        <w:spacing w:after="0" w:line="40" w:lineRule="exact"/>
        <w:rPr>
          <w:sz w:val="20"/>
          <w:szCs w:val="20"/>
          <w:color w:val="auto"/>
        </w:rPr>
      </w:pPr>
    </w:p>
    <w:p>
      <w:pPr>
        <w:ind w:left="720"/>
        <w:spacing w:after="0"/>
        <w:rPr>
          <w:sz w:val="20"/>
          <w:szCs w:val="20"/>
          <w:color w:val="auto"/>
        </w:rPr>
      </w:pPr>
      <w:r>
        <w:rPr>
          <w:rFonts w:ascii="Calibri" w:cs="Calibri" w:eastAsia="Calibri" w:hAnsi="Calibri"/>
          <w:sz w:val="17"/>
          <w:szCs w:val="17"/>
          <w:color w:val="auto"/>
        </w:rPr>
        <w:t>$2.04 per BOE for the year ended December 31, 2024, primarily as a result of the 21% increase in our total oil equivalent production</w:t>
      </w:r>
    </w:p>
    <w:p>
      <w:pPr>
        <w:spacing w:after="0" w:line="28" w:lineRule="exact"/>
        <w:rPr>
          <w:sz w:val="20"/>
          <w:szCs w:val="20"/>
          <w:color w:val="auto"/>
        </w:rPr>
      </w:pPr>
    </w:p>
    <w:p>
      <w:pPr>
        <w:ind w:left="720"/>
        <w:spacing w:after="0"/>
        <w:rPr>
          <w:sz w:val="20"/>
          <w:szCs w:val="20"/>
          <w:color w:val="auto"/>
        </w:rPr>
      </w:pPr>
      <w:r>
        <w:rPr>
          <w:rFonts w:ascii="Calibri" w:cs="Calibri" w:eastAsia="Calibri" w:hAnsi="Calibri"/>
          <w:sz w:val="18"/>
          <w:szCs w:val="18"/>
          <w:color w:val="auto"/>
        </w:rPr>
        <w:t>between the two periods.</w:t>
      </w:r>
    </w:p>
    <w:p>
      <w:pPr>
        <w:spacing w:after="0" w:line="245" w:lineRule="exact"/>
        <w:rPr>
          <w:sz w:val="20"/>
          <w:szCs w:val="20"/>
          <w:color w:val="auto"/>
        </w:rPr>
      </w:pPr>
    </w:p>
    <w:p>
      <w:pPr>
        <w:ind w:left="720" w:right="80"/>
        <w:spacing w:after="0" w:line="272" w:lineRule="auto"/>
        <w:rPr>
          <w:sz w:val="20"/>
          <w:szCs w:val="20"/>
          <w:color w:val="auto"/>
        </w:rPr>
      </w:pPr>
      <w:r>
        <w:rPr>
          <w:rFonts w:ascii="Calibri" w:cs="Calibri" w:eastAsia="Calibri" w:hAnsi="Calibri"/>
          <w:sz w:val="18"/>
          <w:szCs w:val="18"/>
          <w:color w:val="214E93"/>
        </w:rPr>
        <w:t xml:space="preserve">Interest expense. </w:t>
      </w:r>
      <w:r>
        <w:rPr>
          <w:rFonts w:ascii="Calibri" w:cs="Calibri" w:eastAsia="Calibri" w:hAnsi="Calibri"/>
          <w:sz w:val="18"/>
          <w:szCs w:val="18"/>
          <w:color w:val="000000"/>
        </w:rPr>
        <w:t>For the year ended December 31, 2025, we incurred total interest expense of approximately $237.3 million. We</w:t>
      </w:r>
      <w:r>
        <w:rPr>
          <w:rFonts w:ascii="Calibri" w:cs="Calibri" w:eastAsia="Calibri" w:hAnsi="Calibri"/>
          <w:sz w:val="18"/>
          <w:szCs w:val="18"/>
          <w:color w:val="214E93"/>
        </w:rPr>
        <w:t xml:space="preserve"> </w:t>
      </w:r>
      <w:r>
        <w:rPr>
          <w:rFonts w:ascii="Calibri" w:cs="Calibri" w:eastAsia="Calibri" w:hAnsi="Calibri"/>
          <w:sz w:val="18"/>
          <w:szCs w:val="18"/>
          <w:color w:val="000000"/>
        </w:rPr>
        <w:t>capitalized approximately $28.8 million of our interest expense on certain qualifying projects for the year ended December 31, 2025 and expensed the remaining $208.5 million to operations. For the year ended December 31, 2024, we incurred total interest expense of approximately $201.5 million. We capitalized approximately $29.8 million of our interest expense on certain qualifying projects for the year ended December 31, 2024 and expensed the remaining $171.7 million to operations. The increase in interest expense for the year ended December 31, 2025 was primarily attributable to a $602.3 million increase in the weighted average of senior notes outstanding between the periods in connection with the Ameredev Acquisition in September 2024.</w:t>
      </w:r>
    </w:p>
    <w:p>
      <w:pPr>
        <w:spacing w:after="0" w:line="195" w:lineRule="exact"/>
        <w:rPr>
          <w:sz w:val="20"/>
          <w:szCs w:val="20"/>
          <w:color w:val="auto"/>
        </w:rPr>
      </w:pPr>
    </w:p>
    <w:p>
      <w:pPr>
        <w:ind w:left="720"/>
        <w:spacing w:after="0"/>
        <w:rPr>
          <w:sz w:val="20"/>
          <w:szCs w:val="20"/>
          <w:color w:val="auto"/>
        </w:rPr>
      </w:pPr>
      <w:r>
        <w:rPr>
          <w:rFonts w:ascii="Calibri" w:cs="Calibri" w:eastAsia="Calibri" w:hAnsi="Calibri"/>
          <w:sz w:val="18"/>
          <w:szCs w:val="18"/>
          <w:color w:val="214E93"/>
        </w:rPr>
        <w:t xml:space="preserve">Total income tax provision. </w:t>
      </w:r>
      <w:r>
        <w:rPr>
          <w:rFonts w:ascii="Calibri" w:cs="Calibri" w:eastAsia="Calibri" w:hAnsi="Calibri"/>
          <w:sz w:val="18"/>
          <w:szCs w:val="18"/>
          <w:color w:val="000000"/>
        </w:rPr>
        <w:t>We recorded a current income tax provision of $7.1 million and a deferred income tax provision of</w:t>
      </w:r>
    </w:p>
    <w:p>
      <w:pPr>
        <w:spacing w:after="0" w:line="45" w:lineRule="exact"/>
        <w:rPr>
          <w:sz w:val="20"/>
          <w:szCs w:val="20"/>
          <w:color w:val="auto"/>
        </w:rPr>
      </w:pPr>
    </w:p>
    <w:p>
      <w:pPr>
        <w:ind w:left="720" w:right="20"/>
        <w:spacing w:after="0" w:line="268" w:lineRule="auto"/>
        <w:rPr>
          <w:sz w:val="20"/>
          <w:szCs w:val="20"/>
          <w:color w:val="auto"/>
        </w:rPr>
      </w:pPr>
      <w:r>
        <w:rPr>
          <w:rFonts w:ascii="Calibri" w:cs="Calibri" w:eastAsia="Calibri" w:hAnsi="Calibri"/>
          <w:sz w:val="18"/>
          <w:szCs w:val="18"/>
          <w:color w:val="auto"/>
        </w:rPr>
        <w:t>$165.6 million for the year ended December 31, 2025. We recorded a current income tax provision of $27.1 million and a deferred income tax provision of $265.3 million for the year ended December 31, 2024. The decrease in the current income tax provision between the periods was primarily the result of the OBBBA, which made permanent, extended or modified certain provisions under the 2017 Tax Cuts and Jobs Act, among other things. The provisions of the OBBBA that are expected to most significantly impact us include (i) a permanent extension of 100% bonus depreciation for certain capital expenditures, (ii) an immediate deduction of domestic research and experimental expenditures, (iii) an acceleration of deductions for unamortized domestic research or development expenditures and (iv) an elimination of the deduction for depreciation, amortization and depletion from the definition of “adjusted taxable income” for the purpose of calculating limitations on interest expense deductions. The effective income tax rate and the total income tax provision for the year ended December 31, 2025 were not materially impacted by the enactment of the OBBBA.</w:t>
      </w:r>
    </w:p>
    <w:p>
      <w:pPr>
        <w:spacing w:after="0" w:line="222" w:lineRule="exact"/>
        <w:rPr>
          <w:sz w:val="20"/>
          <w:szCs w:val="20"/>
          <w:color w:val="auto"/>
        </w:rPr>
      </w:pPr>
    </w:p>
    <w:p>
      <w:pPr>
        <w:ind w:left="720" w:right="360" w:firstLine="241"/>
        <w:spacing w:after="0" w:line="281" w:lineRule="auto"/>
        <w:rPr>
          <w:sz w:val="20"/>
          <w:szCs w:val="20"/>
          <w:color w:val="auto"/>
        </w:rPr>
      </w:pPr>
      <w:r>
        <w:rPr>
          <w:rFonts w:ascii="Calibri" w:cs="Calibri" w:eastAsia="Calibri" w:hAnsi="Calibri"/>
          <w:sz w:val="17"/>
          <w:szCs w:val="17"/>
          <w:color w:val="auto"/>
        </w:rPr>
        <w:t>Our effective income tax rate of 19% for the year ended December 31, 2025 differed from the U.S. federal statutory rate due primarily to a benefit recognized as a result of the remeasurement of deferred income taxes associated with changes in state</w:t>
      </w:r>
    </w:p>
    <w:p>
      <w:pPr>
        <w:sectPr>
          <w:pgSz w:w="11880" w:h="15480" w:orient="portrait"/>
          <w:cols w:equalWidth="0" w:num="1">
            <w:col w:w="10280"/>
          </w:cols>
          <w:pgMar w:left="44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II</w:t>
      </w:r>
    </w:p>
    <w:p>
      <w:pPr>
        <w:sectPr>
          <w:pgSz w:w="11880" w:h="15480" w:orient="portrait"/>
          <w:cols w:equalWidth="0" w:num="1">
            <w:col w:w="10280"/>
          </w:cols>
          <w:pgMar w:left="440" w:top="498" w:right="1160" w:bottom="0" w:gutter="0" w:footer="0" w:header="0"/>
          <w:type w:val="continuous"/>
        </w:sectPr>
      </w:pPr>
    </w:p>
    <w:bookmarkStart w:id="102" w:name="page103"/>
    <w:bookmarkEnd w:id="102"/>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89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4" o:spid="_x0000_s12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05" o:spid="_x0000_s12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760"/>
        <w:spacing w:after="0" w:line="266" w:lineRule="auto"/>
        <w:rPr>
          <w:sz w:val="20"/>
          <w:szCs w:val="20"/>
          <w:color w:val="auto"/>
        </w:rPr>
      </w:pPr>
      <w:r>
        <w:rPr>
          <w:rFonts w:ascii="Calibri" w:cs="Calibri" w:eastAsia="Calibri" w:hAnsi="Calibri"/>
          <w:sz w:val="18"/>
          <w:szCs w:val="18"/>
          <w:color w:val="auto"/>
        </w:rPr>
        <w:t>apportionment rates following the Company’s filings of its 2024 tax returns, partially offset by state taxes in New Mexico. Our effective income tax rate of 25% for the year ended December 31, 2024 differed from the U.S. federal statutory rate due primarily to state taxes in New Mexico. Our effective income tax rate excluding the effect of net income attributable to non-controlling interest in subsidiaries was 17% and 23% for the years ended December 31, 2025 and 2024, respectively, as disclosed in Note 8 to the consolidated financial statements.</w:t>
      </w:r>
    </w:p>
    <w:p>
      <w:pPr>
        <w:spacing w:after="0" w:line="216" w:lineRule="exact"/>
        <w:rPr>
          <w:sz w:val="20"/>
          <w:szCs w:val="20"/>
          <w:color w:val="auto"/>
        </w:rPr>
      </w:pPr>
    </w:p>
    <w:p>
      <w:pPr>
        <w:spacing w:after="0"/>
        <w:rPr>
          <w:sz w:val="20"/>
          <w:szCs w:val="20"/>
          <w:color w:val="auto"/>
        </w:rPr>
      </w:pPr>
      <w:r>
        <w:rPr>
          <w:rFonts w:ascii="Verdana" w:cs="Verdana" w:eastAsia="Verdana" w:hAnsi="Verdana"/>
          <w:sz w:val="20"/>
          <w:szCs w:val="20"/>
          <w:color w:val="214E93"/>
        </w:rPr>
        <w:t>LIQUIDITY AND CAPITAL RESOURCES</w:t>
      </w:r>
    </w:p>
    <w:p>
      <w:pPr>
        <w:spacing w:after="0" w:line="209" w:lineRule="exact"/>
        <w:rPr>
          <w:sz w:val="20"/>
          <w:szCs w:val="20"/>
          <w:color w:val="auto"/>
        </w:rPr>
      </w:pPr>
    </w:p>
    <w:p>
      <w:pPr>
        <w:ind w:right="800" w:firstLine="241"/>
        <w:spacing w:after="0" w:line="268" w:lineRule="auto"/>
        <w:rPr>
          <w:sz w:val="20"/>
          <w:szCs w:val="20"/>
          <w:color w:val="auto"/>
        </w:rPr>
      </w:pPr>
      <w:r>
        <w:rPr>
          <w:rFonts w:ascii="Calibri" w:cs="Calibri" w:eastAsia="Calibri" w:hAnsi="Calibri"/>
          <w:sz w:val="18"/>
          <w:szCs w:val="18"/>
          <w:color w:val="auto"/>
        </w:rPr>
        <w:t>Our primary use of capital has been, and we expect will continue during 2026 and for the foreseeable future to be, for the acquisition, exploration and development of oil and natural gas properties and for midstream investments. We expect to fund our 2026 capital expenditures through a combination of cash on hand, operating cash flows and performance incentives paid to us by Five Point in connection with San Mateo. If capital expenditures were to exceed our operating cash flows in 2026, we expect to fund any excess capital expenditures, including for significant acquisitions, through borrowings under the Credit Agreement or the San Mateo Credit Facility (assuming availability under such facilities) or through other capital sources, including borrowings under expanded or additional credit arrangements, the sale or joint venture of midstream assets, oil and natural gas producing assets, leasehold interests or mineral interests and potential issuances of equity, debt or convertible securities, none of which may be available on satisfactory terms or at all. Our future success in growing proved reserves and production will be highly dependent on our ability to generate operating cash flows and access outside sources of capital.</w:t>
      </w:r>
    </w:p>
    <w:p>
      <w:pPr>
        <w:spacing w:after="0" w:line="222" w:lineRule="exact"/>
        <w:rPr>
          <w:sz w:val="20"/>
          <w:szCs w:val="20"/>
          <w:color w:val="auto"/>
        </w:rPr>
      </w:pPr>
    </w:p>
    <w:p>
      <w:pPr>
        <w:ind w:right="800" w:firstLine="241"/>
        <w:spacing w:after="0" w:line="264" w:lineRule="auto"/>
        <w:rPr>
          <w:sz w:val="20"/>
          <w:szCs w:val="20"/>
          <w:color w:val="auto"/>
        </w:rPr>
      </w:pPr>
      <w:r>
        <w:rPr>
          <w:rFonts w:ascii="Calibri" w:cs="Calibri" w:eastAsia="Calibri" w:hAnsi="Calibri"/>
          <w:sz w:val="18"/>
          <w:szCs w:val="18"/>
          <w:color w:val="auto"/>
        </w:rPr>
        <w:t>At December 31, 2025, we had cash totaling $15.3 million and restricted cash totaling $64.2 million, which was primarily associated with San Mateo. By contractual agreement, the cash in the accounts held by our less-than-wholly-owned subsidiaries is not to be commingled with our other cash and is to be used only to fund the capital expenditures and operations of these less-than-wholly-owned subsidiaries.</w:t>
      </w:r>
    </w:p>
    <w:p>
      <w:pPr>
        <w:spacing w:after="0" w:line="221" w:lineRule="exact"/>
        <w:rPr>
          <w:sz w:val="20"/>
          <w:szCs w:val="20"/>
          <w:color w:val="auto"/>
        </w:rPr>
      </w:pPr>
    </w:p>
    <w:p>
      <w:pPr>
        <w:ind w:right="820" w:firstLine="241"/>
        <w:spacing w:after="0" w:line="264" w:lineRule="auto"/>
        <w:rPr>
          <w:sz w:val="20"/>
          <w:szCs w:val="20"/>
          <w:color w:val="auto"/>
        </w:rPr>
      </w:pPr>
      <w:r>
        <w:rPr>
          <w:rFonts w:ascii="Calibri" w:cs="Calibri" w:eastAsia="Calibri" w:hAnsi="Calibri"/>
          <w:sz w:val="18"/>
          <w:szCs w:val="18"/>
          <w:color w:val="auto"/>
        </w:rPr>
        <w:t>At December 31, 2025, we had (i) $500.0 million of outstanding 6.875% senior notes due 2028 (the “2028 Notes”), (ii) $900.0 million of outstanding 6.500% senior notes due 2032 (the “2032 Notes”), (iii) $750.0 million of outstanding 6.250% senior notes due 2033 (the “2033 Notes”), (iv) $398.0 million of borrowings outstanding under the Credit Agreement and (v) approximately $53.8 million in outstanding letters of credit issued pursuant to the Credit Agreement.</w:t>
      </w:r>
    </w:p>
    <w:p>
      <w:pPr>
        <w:spacing w:after="0" w:line="221" w:lineRule="exact"/>
        <w:rPr>
          <w:sz w:val="20"/>
          <w:szCs w:val="20"/>
          <w:color w:val="auto"/>
        </w:rPr>
      </w:pPr>
    </w:p>
    <w:p>
      <w:pPr>
        <w:ind w:right="720" w:firstLine="241"/>
        <w:spacing w:after="0" w:line="267" w:lineRule="auto"/>
        <w:rPr>
          <w:sz w:val="20"/>
          <w:szCs w:val="20"/>
          <w:color w:val="auto"/>
        </w:rPr>
      </w:pPr>
      <w:r>
        <w:rPr>
          <w:rFonts w:ascii="Calibri" w:cs="Calibri" w:eastAsia="Calibri" w:hAnsi="Calibri"/>
          <w:sz w:val="18"/>
          <w:szCs w:val="18"/>
          <w:color w:val="auto"/>
        </w:rPr>
        <w:t>The Credit Agreement requires us to maintain (i) a current ratio, which is defined as (x) total consolidated current assets plus the unused availability under the Credit Agreement divided by (y) total consolidated current liabilities less current maturities of debt, of not less than 1.0 at the end of each fiscal quarter and (ii) a debt to EBITDA ratio, which is defined as debt outstanding (net of up to the greater of $150 million or 10% of the elected borrowing commitments of unrestricted cash and cash equivalents) divided by a rolling four quarter EBITDA calculation, of 3.50 or less at the end of each fiscal quarter. We were in compliance with the terms of the Credit Agreement at December 31, 2025.</w:t>
      </w:r>
    </w:p>
    <w:p>
      <w:pPr>
        <w:spacing w:after="0" w:line="217" w:lineRule="exact"/>
        <w:rPr>
          <w:sz w:val="20"/>
          <w:szCs w:val="20"/>
          <w:color w:val="auto"/>
        </w:rPr>
      </w:pPr>
    </w:p>
    <w:p>
      <w:pPr>
        <w:ind w:right="800" w:firstLine="241"/>
        <w:spacing w:after="0" w:line="266" w:lineRule="auto"/>
        <w:rPr>
          <w:sz w:val="20"/>
          <w:szCs w:val="20"/>
          <w:color w:val="auto"/>
        </w:rPr>
      </w:pPr>
      <w:r>
        <w:rPr>
          <w:rFonts w:ascii="Calibri" w:cs="Calibri" w:eastAsia="Calibri" w:hAnsi="Calibri"/>
          <w:sz w:val="18"/>
          <w:szCs w:val="18"/>
          <w:color w:val="auto"/>
        </w:rPr>
        <w:t>At December 31, 2025, San Mateo had $883.0 million in borrowings outstanding under the San Mateo Credit Facility and approximately $15.4 million in outstanding letters of credit issued pursuant to the San Mateo Credit Facility. In December 2025, San Mateo and certain of its lenders amended the San Mateo Credit Facility to (i) increase the lender commitments from $850.0 million to $1.10 billion, (ii) reduce the borrowing rate and (iii) add one new bank to San Mateo’s lending group. The San Mateo Credit Facility includes an accordion feature, which provides for potential increases in lender commitments of up to $1.35 billion.</w:t>
      </w:r>
    </w:p>
    <w:p>
      <w:pPr>
        <w:spacing w:after="0" w:line="218" w:lineRule="exact"/>
        <w:rPr>
          <w:sz w:val="20"/>
          <w:szCs w:val="20"/>
          <w:color w:val="auto"/>
        </w:rPr>
      </w:pPr>
    </w:p>
    <w:p>
      <w:pPr>
        <w:ind w:right="720" w:firstLine="241"/>
        <w:spacing w:after="0" w:line="268" w:lineRule="auto"/>
        <w:rPr>
          <w:sz w:val="20"/>
          <w:szCs w:val="20"/>
          <w:color w:val="auto"/>
        </w:rPr>
      </w:pPr>
      <w:r>
        <w:rPr>
          <w:rFonts w:ascii="Calibri" w:cs="Calibri" w:eastAsia="Calibri" w:hAnsi="Calibri"/>
          <w:sz w:val="18"/>
          <w:szCs w:val="18"/>
          <w:color w:val="auto"/>
        </w:rPr>
        <w:t>The San Mateo Credit Facility is non-recourse with respect to Matador and its other subsidiaries, but is guaranteed by San Mateo’s subsidiaries and secured by substantially all of San Mateo’s assets, including real property. The San Mateo Credit Facility requires San Mateo to maintain a debt to EBITDA ratio, which is defined as total consolidated funded indebtedness outstanding (as defined in the San Mateo Credit Facility) divided by a rolling four quarter EBITDA calculation, of 5.00 or less, subject to certain exceptions. The San Mateo Credit Facility also requires San Mateo to maintain an interest coverage ratio, which is defined as a rolling four quarter EBITDA calculation divided by San Mateo’s consolidated interest expense for such period, of 2.50 or more. The San Mateo Credit Facility also restricts the ability of San Mateo to distribute cash to its members if San Mateo’s debt to EBITDA ratio is greater than 4.50 or San Mateo’s liquidity is less than 10% of the lender commitments under the San Mateo Credit Facility. San Mateo was in compliance with the terms of the San Mateo Credit Facility at December 31, 2025.</w:t>
      </w:r>
    </w:p>
    <w:p>
      <w:pPr>
        <w:spacing w:after="0" w:line="219" w:lineRule="exact"/>
        <w:rPr>
          <w:sz w:val="20"/>
          <w:szCs w:val="20"/>
          <w:color w:val="auto"/>
        </w:rPr>
      </w:pPr>
    </w:p>
    <w:p>
      <w:pPr>
        <w:ind w:right="860" w:firstLine="241"/>
        <w:spacing w:after="0" w:line="281" w:lineRule="auto"/>
        <w:rPr>
          <w:sz w:val="20"/>
          <w:szCs w:val="20"/>
          <w:color w:val="auto"/>
        </w:rPr>
      </w:pPr>
      <w:r>
        <w:rPr>
          <w:rFonts w:ascii="Calibri" w:cs="Calibri" w:eastAsia="Calibri" w:hAnsi="Calibri"/>
          <w:sz w:val="17"/>
          <w:szCs w:val="17"/>
          <w:color w:val="auto"/>
        </w:rPr>
        <w:t>In February 2025, April 2025 and July 2025, our Board declared quarterly cash dividends of $0.3125 per share of common stock. In October 2025, the Board amended our dividend policy to increase the quarterly dividend to $0.375 per share of common stock</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375" w:lineRule="exact"/>
        <w:rPr>
          <w:sz w:val="20"/>
          <w:szCs w:val="20"/>
          <w:color w:val="auto"/>
        </w:rPr>
      </w:pPr>
    </w:p>
    <w:p>
      <w:pPr>
        <w:ind w:left="8880"/>
        <w:spacing w:after="0"/>
        <w:rPr>
          <w:sz w:val="20"/>
          <w:szCs w:val="20"/>
          <w:color w:val="auto"/>
        </w:rPr>
      </w:pPr>
      <w:r>
        <w:rPr>
          <w:rFonts w:ascii="Calibri" w:cs="Calibri" w:eastAsia="Calibri" w:hAnsi="Calibri"/>
          <w:sz w:val="17"/>
          <w:szCs w:val="17"/>
          <w:color w:val="auto"/>
        </w:rPr>
        <w:t>FORM 10-K PART II</w:t>
      </w:r>
    </w:p>
    <w:p>
      <w:pPr>
        <w:sectPr>
          <w:pgSz w:w="11880" w:h="15480" w:orient="portrait"/>
          <w:cols w:equalWidth="0" w:num="1">
            <w:col w:w="10280"/>
          </w:cols>
          <w:pgMar w:left="1160" w:top="498" w:right="440" w:bottom="0" w:gutter="0" w:footer="0" w:header="0"/>
          <w:type w:val="continuous"/>
        </w:sectPr>
      </w:pPr>
    </w:p>
    <w:bookmarkStart w:id="103" w:name="page104"/>
    <w:bookmarkEnd w:id="103"/>
    <w:p>
      <w:pPr>
        <w:spacing w:after="0"/>
        <w:tabs>
          <w:tab w:leader="none" w:pos="740" w:val="left"/>
        </w:tabs>
        <w:rPr>
          <w:sz w:val="20"/>
          <w:szCs w:val="20"/>
          <w:color w:val="auto"/>
        </w:rPr>
      </w:pPr>
      <w:r>
        <w:rPr>
          <w:rFonts w:ascii="Calibri" w:cs="Calibri" w:eastAsia="Calibri" w:hAnsi="Calibri"/>
          <w:sz w:val="18"/>
          <w:szCs w:val="18"/>
          <w:color w:val="auto"/>
        </w:rPr>
        <w:t>90</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20" w:right="140"/>
        <w:spacing w:after="0" w:line="281" w:lineRule="auto"/>
        <w:rPr>
          <w:sz w:val="20"/>
          <w:szCs w:val="20"/>
          <w:color w:val="auto"/>
        </w:rPr>
      </w:pPr>
      <w:r>
        <w:rPr>
          <w:rFonts w:ascii="Calibri" w:cs="Calibri" w:eastAsia="Calibri" w:hAnsi="Calibri"/>
          <w:sz w:val="17"/>
          <w:szCs w:val="17"/>
          <w:color w:val="auto"/>
        </w:rPr>
        <w:t>and also declared a quarterly cash dividend of $0.375 per share of common stock. In February 2026, the Board declared a quarterly cash dividend of $0.375 per share of common stock payable on March 10, 2026 to shareholders of record as of February 27, 2026.</w:t>
      </w:r>
    </w:p>
    <w:p>
      <w:pPr>
        <w:spacing w:after="0" w:line="206" w:lineRule="exact"/>
        <w:rPr>
          <w:sz w:val="20"/>
          <w:szCs w:val="20"/>
          <w:color w:val="auto"/>
        </w:rPr>
      </w:pPr>
    </w:p>
    <w:p>
      <w:pPr>
        <w:ind w:left="720" w:firstLine="241"/>
        <w:spacing w:after="0" w:line="268" w:lineRule="auto"/>
        <w:rPr>
          <w:sz w:val="20"/>
          <w:szCs w:val="20"/>
          <w:color w:val="auto"/>
        </w:rPr>
      </w:pPr>
      <w:r>
        <w:rPr>
          <w:rFonts w:ascii="Calibri" w:cs="Calibri" w:eastAsia="Calibri" w:hAnsi="Calibri"/>
          <w:sz w:val="18"/>
          <w:szCs w:val="18"/>
          <w:color w:val="auto"/>
        </w:rPr>
        <w:t>In April 2025, the Board approved the Share Repurchase Program authorizing the repurchase of up to $400.0 million of common stock. These repurchases may be conducted through a variety of methods including open market purchases, 10b5-1 trading plans, privately negotiated transactions or other means. The timing and number of shares that we may repurchase under the Share Repurchase Program is subject to a variety of factors, including our stock price, market conditions, trading volume and other uses for our free cash flow. There can be no assurance regarding the exact number of shares to be repurchased by us, if any. Depending on market conditions and other factors, these repurchases may be commenced or suspended at any time periodically without prior notice, and the Share Repurchase Program does not obligate us to acquire any amount of common stock. During the year ended December 31, 2025, we repurchased 1,351,328 shares of common stock under the Share Repurchase Program at a weighted average price of $41.31 per common share for a total cost of $55.8 million.</w:t>
      </w:r>
    </w:p>
    <w:p>
      <w:pPr>
        <w:spacing w:after="0" w:line="219" w:lineRule="exact"/>
        <w:rPr>
          <w:sz w:val="20"/>
          <w:szCs w:val="20"/>
          <w:color w:val="auto"/>
        </w:rPr>
      </w:pPr>
    </w:p>
    <w:p>
      <w:pPr>
        <w:ind w:left="720" w:right="20" w:firstLine="241"/>
        <w:spacing w:after="0" w:line="268" w:lineRule="auto"/>
        <w:rPr>
          <w:sz w:val="20"/>
          <w:szCs w:val="20"/>
          <w:color w:val="auto"/>
        </w:rPr>
      </w:pPr>
      <w:r>
        <w:rPr>
          <w:rFonts w:ascii="Calibri" w:cs="Calibri" w:eastAsia="Calibri" w:hAnsi="Calibri"/>
          <w:sz w:val="18"/>
          <w:szCs w:val="18"/>
          <w:color w:val="auto"/>
        </w:rPr>
        <w:t>We expect that development of our Delaware Basin assets will be the primary focus of our operations and capital expenditures in 2026. We have built significant optionality into our drilling program, which should generally allow us to decrease or increase the number of rigs we operate as necessary based on changing commodity prices and other factors. Our 2026 estimated capital expenditure budget consists of $1.35 to $1.44 billion for D/C/E capital expenditures and $100.0 to $110.0 million for midstream capital expenditures, which reflects our proportionate share of San Mateo’s estimated 2026 capital expenditures as well as the estimated 2026 capital expenditures for other wholly-owned midstream projects. Substantially all of these 2026 estimated capital expenditures are expected to be allocated to (i) the further delineation and development of our leasehold position, (ii) the construction, installation and maintenance of midstream assets and (iii) our participation in certain non-operated well opportunities. Our 2026 Delaware Basin operated drilling program is expected to focus on the continued development of our various asset areas, with a continued emphasis on drilling and completing a high percentage of longer horizontal wells.</w:t>
      </w:r>
    </w:p>
    <w:p>
      <w:pPr>
        <w:spacing w:after="0" w:line="222" w:lineRule="exact"/>
        <w:rPr>
          <w:sz w:val="20"/>
          <w:szCs w:val="20"/>
          <w:color w:val="auto"/>
        </w:rPr>
      </w:pPr>
    </w:p>
    <w:p>
      <w:pPr>
        <w:ind w:left="720" w:right="20" w:firstLine="241"/>
        <w:spacing w:after="0" w:line="266" w:lineRule="auto"/>
        <w:rPr>
          <w:sz w:val="20"/>
          <w:szCs w:val="20"/>
          <w:color w:val="auto"/>
        </w:rPr>
      </w:pPr>
      <w:r>
        <w:rPr>
          <w:rFonts w:ascii="Calibri" w:cs="Calibri" w:eastAsia="Calibri" w:hAnsi="Calibri"/>
          <w:sz w:val="18"/>
          <w:szCs w:val="18"/>
          <w:color w:val="auto"/>
        </w:rPr>
        <w:t>We intend to continue evaluating the opportunistic acquisition of producing properties, acreage and mineral interests and midstream assets, principally in the Delaware Basin. Purchase price multiples and per-acre prices can vary significantly based on the asset or prospect. As a result, it is difficult to estimate these capital expenditures with any degree of certainty; therefore, we have not provided estimated capital expenditures related to acquiring producing properties, acreage and mineral interests and midstream assets for 2026.</w:t>
      </w:r>
    </w:p>
    <w:p>
      <w:pPr>
        <w:spacing w:after="0" w:line="218" w:lineRule="exact"/>
        <w:rPr>
          <w:sz w:val="20"/>
          <w:szCs w:val="20"/>
          <w:color w:val="auto"/>
        </w:rPr>
      </w:pPr>
    </w:p>
    <w:p>
      <w:pPr>
        <w:ind w:left="720" w:right="40" w:firstLine="241"/>
        <w:spacing w:after="0" w:line="264" w:lineRule="auto"/>
        <w:rPr>
          <w:sz w:val="20"/>
          <w:szCs w:val="20"/>
          <w:color w:val="auto"/>
        </w:rPr>
      </w:pPr>
      <w:r>
        <w:rPr>
          <w:rFonts w:ascii="Calibri" w:cs="Calibri" w:eastAsia="Calibri" w:hAnsi="Calibri"/>
          <w:sz w:val="18"/>
          <w:szCs w:val="18"/>
          <w:color w:val="auto"/>
        </w:rPr>
        <w:t>As we have done in recent years, we may divest portions of our non-core assets as well as consider monetizing other assets, such as certain midstream assets and mineral and royalty interests, as value-creating opportunities arise. Divestitures and other types of monetizations are difficult to estimate with any degree of certainty. Therefore, we have not provided estimated proceeds related to divestitures or monetizations for 2026.</w:t>
      </w:r>
    </w:p>
    <w:p>
      <w:pPr>
        <w:spacing w:after="0" w:line="221" w:lineRule="exact"/>
        <w:rPr>
          <w:sz w:val="20"/>
          <w:szCs w:val="20"/>
          <w:color w:val="auto"/>
        </w:rPr>
      </w:pPr>
    </w:p>
    <w:p>
      <w:pPr>
        <w:ind w:left="720" w:firstLine="241"/>
        <w:spacing w:after="0" w:line="269" w:lineRule="auto"/>
        <w:rPr>
          <w:sz w:val="20"/>
          <w:szCs w:val="20"/>
          <w:color w:val="auto"/>
        </w:rPr>
      </w:pPr>
      <w:r>
        <w:rPr>
          <w:rFonts w:ascii="Calibri" w:cs="Calibri" w:eastAsia="Calibri" w:hAnsi="Calibri"/>
          <w:sz w:val="18"/>
          <w:szCs w:val="18"/>
          <w:color w:val="auto"/>
        </w:rPr>
        <w:t>Our 2026 capital expenditures may be adjusted as business conditions warrant and the amount, timing and allocation of such expenditures is largely discretionary and within our control. The aggregate amount of capital we will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 When oil or natural gas prices decline, or costs increase significantly, we have the flexibility to defer a significant portion of our capital expenditures until later periods to conserve cash or to focus on projects that we believe have the highest expected returns and potential to generate near-term cash flows. We routinely monitor and adjust our capital expenditures in response to changes in prices, availability of financing, drilling, completion and acquisition costs, industry conditions, the timing of regulatory approvals, the availability of rigs, success or lack of success in our exploration and development activities, contractual obligations, drilling plans for properties we do not operate and other factors both within and outside our control.</w:t>
      </w:r>
    </w:p>
    <w:p>
      <w:pPr>
        <w:spacing w:after="0" w:line="214" w:lineRule="exact"/>
        <w:rPr>
          <w:sz w:val="20"/>
          <w:szCs w:val="20"/>
          <w:color w:val="auto"/>
        </w:rPr>
      </w:pPr>
    </w:p>
    <w:p>
      <w:pPr>
        <w:ind w:left="720" w:right="60" w:firstLine="241"/>
        <w:spacing w:after="0" w:line="285" w:lineRule="auto"/>
        <w:rPr>
          <w:sz w:val="20"/>
          <w:szCs w:val="20"/>
          <w:color w:val="auto"/>
        </w:rPr>
      </w:pPr>
      <w:r>
        <w:rPr>
          <w:rFonts w:ascii="Calibri" w:cs="Calibri" w:eastAsia="Calibri" w:hAnsi="Calibri"/>
          <w:sz w:val="17"/>
          <w:szCs w:val="17"/>
          <w:color w:val="auto"/>
        </w:rPr>
        <w:t>Exploration and development activities are subject to a number of risks and uncertainties, which could cause these activities to be less successful than we anticipate. A significant portion of our anticipated cash flows from operations for 2026 is expected to come from producing wells and development activities on currently proved properties in the Wolfcamp and Bone Spring plays in the Delaware Basin. Our existing operated and non-operated wells may not produce at the levels we are forecasting or may be temporarily shut in or restricted due to low commodity prices, and our exploration and development activities in these areas may not be as successful as we anticipate. Additionally, our anticipated cash flows from operations are based upon current expectations</w:t>
      </w:r>
    </w:p>
    <w:p>
      <w:pPr>
        <w:sectPr>
          <w:pgSz w:w="11880" w:h="15480" w:orient="portrait"/>
          <w:cols w:equalWidth="0" w:num="1">
            <w:col w:w="10280"/>
          </w:cols>
          <w:pgMar w:left="44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II</w:t>
      </w:r>
    </w:p>
    <w:p>
      <w:pPr>
        <w:sectPr>
          <w:pgSz w:w="11880" w:h="15480" w:orient="portrait"/>
          <w:cols w:equalWidth="0" w:num="1">
            <w:col w:w="10280"/>
          </w:cols>
          <w:pgMar w:left="440" w:top="498" w:right="1160" w:bottom="0" w:gutter="0" w:footer="0" w:header="0"/>
          <w:type w:val="continuous"/>
        </w:sectPr>
      </w:pPr>
    </w:p>
    <w:bookmarkStart w:id="104" w:name="page105"/>
    <w:bookmarkEnd w:id="104"/>
    <w:tbl>
      <w:tblPr>
        <w:tblLayout w:type="fixed"/>
        <w:tblInd w:w="7883"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91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-734695</wp:posOffset>
                </wp:positionH>
                <wp:positionV relativeFrom="paragraph">
                  <wp:posOffset>320675</wp:posOffset>
                </wp:positionV>
                <wp:extent cx="6811645" cy="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8" o:spid="_x0000_s12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8499pt,25.25pt" to="478.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-734695</wp:posOffset>
                </wp:positionH>
                <wp:positionV relativeFrom="paragraph">
                  <wp:posOffset>320675</wp:posOffset>
                </wp:positionV>
                <wp:extent cx="6811645"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8499pt,25.25pt" to="478.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 w:right="840"/>
        <w:spacing w:after="0" w:line="286" w:lineRule="auto"/>
        <w:rPr>
          <w:sz w:val="20"/>
          <w:szCs w:val="20"/>
          <w:color w:val="auto"/>
        </w:rPr>
      </w:pPr>
      <w:r>
        <w:rPr>
          <w:rFonts w:ascii="Calibri" w:cs="Calibri" w:eastAsia="Calibri" w:hAnsi="Calibri"/>
          <w:sz w:val="17"/>
          <w:szCs w:val="17"/>
          <w:color w:val="auto"/>
        </w:rPr>
        <w:t>of oil and natural gas prices for 2026 and the hedges we currently have in place. For a discussion of our expectations of such commodity prices, see “—General Outlook and Trends” below. At times, we use commodity derivative financial instruments to mitigate our exposure to fluctuations in oil, natural gas and NGL prices and to partially offset reductions in our cash flows from operations resulting from declines in commodity prices. See Note 12 to the consolidated financial statements in this Annual Report for a summary of our open derivative financial instruments at December 31, 2025. See “Risk Factors—Risks Related to our Financial Condition—Our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 “Risk Factors—Risks Related to our Operations—Drilling for and producing oil, natural gas and NGLs is highly speculative and involves a high degree of operational and financial risk, with many uncertainties that could adversely affect our business,” “Risk Factors—Risks Related to our Operations—Our identified drilling locations are scheduled over several years, making them susceptible to uncertainties that could materially alter the occurrence or timing of their drilling” and “Risk Factors—Risks Related to Laws and Regulations—Approximately 33% of our leasehold and mineral acres in the Delaware Basin is located on federal lands, which are subject to administrative permitting requirements and potential federal legislation, regulation and orders that may limit or restrict oil and natural gas operations on federal lands.”</w:t>
      </w:r>
    </w:p>
    <w:p>
      <w:pPr>
        <w:spacing w:after="0" w:line="188" w:lineRule="exact"/>
        <w:rPr>
          <w:sz w:val="20"/>
          <w:szCs w:val="20"/>
          <w:color w:val="auto"/>
        </w:rPr>
      </w:pPr>
    </w:p>
    <w:p>
      <w:pPr>
        <w:ind w:left="243"/>
        <w:spacing w:after="0"/>
        <w:rPr>
          <w:sz w:val="20"/>
          <w:szCs w:val="20"/>
          <w:color w:val="auto"/>
        </w:rPr>
      </w:pPr>
      <w:r>
        <w:rPr>
          <w:rFonts w:ascii="Calibri" w:cs="Calibri" w:eastAsia="Calibri" w:hAnsi="Calibri"/>
          <w:sz w:val="18"/>
          <w:szCs w:val="18"/>
          <w:color w:val="auto"/>
        </w:rPr>
        <w:t>Our cash flows for the years ended December 31, 2025, 2024 and 2023 are presented below.</w:t>
      </w:r>
    </w:p>
    <w:p>
      <w:pPr>
        <w:spacing w:after="0" w:line="200" w:lineRule="exact"/>
        <w:rPr>
          <w:sz w:val="20"/>
          <w:szCs w:val="20"/>
          <w:color w:val="auto"/>
        </w:rPr>
      </w:pPr>
    </w:p>
    <w:p>
      <w:pPr>
        <w:spacing w:after="0" w:line="270" w:lineRule="exact"/>
        <w:rPr>
          <w:sz w:val="20"/>
          <w:szCs w:val="20"/>
          <w:color w:val="auto"/>
        </w:rPr>
      </w:pPr>
    </w:p>
    <w:tbl>
      <w:tblPr>
        <w:tblLayout w:type="fixed"/>
        <w:tblInd w:w="3" w:type="dxa"/>
        <w:tblCellMar>
          <w:top w:w="0" w:type="dxa"/>
          <w:left w:w="0" w:type="dxa"/>
          <w:bottom w:w="0" w:type="dxa"/>
          <w:right w:w="0" w:type="dxa"/>
        </w:tblCellMar>
      </w:tblPr>
      <w:tr>
        <w:trPr>
          <w:trHeight w:val="193"/>
        </w:trPr>
        <w:tc>
          <w:tcPr>
            <w:tcW w:w="6220" w:type="dxa"/>
            <w:vAlign w:val="bottom"/>
          </w:tcPr>
          <w:p>
            <w:pPr>
              <w:spacing w:after="0"/>
              <w:rPr>
                <w:sz w:val="16"/>
                <w:szCs w:val="16"/>
                <w:color w:val="auto"/>
              </w:rPr>
            </w:pPr>
          </w:p>
        </w:tc>
        <w:tc>
          <w:tcPr>
            <w:tcW w:w="3340" w:type="dxa"/>
            <w:vAlign w:val="bottom"/>
            <w:tcBorders>
              <w:bottom w:val="single" w:sz="8" w:color="214E93"/>
            </w:tcBorders>
            <w:gridSpan w:val="3"/>
          </w:tcPr>
          <w:p>
            <w:pPr>
              <w:jc w:val="right"/>
              <w:ind w:right="683"/>
              <w:spacing w:after="0"/>
              <w:rPr>
                <w:sz w:val="20"/>
                <w:szCs w:val="20"/>
                <w:color w:val="auto"/>
              </w:rPr>
            </w:pPr>
            <w:r>
              <w:rPr>
                <w:rFonts w:ascii="Verdana" w:cs="Verdana" w:eastAsia="Verdana" w:hAnsi="Verdana"/>
                <w:sz w:val="14"/>
                <w:szCs w:val="14"/>
                <w:color w:val="auto"/>
              </w:rPr>
              <w:t>Year Ended December 31,</w:t>
            </w:r>
          </w:p>
        </w:tc>
      </w:tr>
      <w:tr>
        <w:trPr>
          <w:trHeight w:val="260"/>
        </w:trPr>
        <w:tc>
          <w:tcPr>
            <w:tcW w:w="6220" w:type="dxa"/>
            <w:vAlign w:val="bottom"/>
            <w:tcBorders>
              <w:bottom w:val="single" w:sz="8" w:color="214E93"/>
            </w:tcBorders>
          </w:tcPr>
          <w:p>
            <w:pPr>
              <w:spacing w:after="0"/>
              <w:rPr>
                <w:sz w:val="22"/>
                <w:szCs w:val="22"/>
                <w:color w:val="auto"/>
              </w:rPr>
            </w:pPr>
          </w:p>
        </w:tc>
        <w:tc>
          <w:tcPr>
            <w:tcW w:w="1120" w:type="dxa"/>
            <w:vAlign w:val="bottom"/>
            <w:tcBorders>
              <w:bottom w:val="single" w:sz="8" w:color="214E93"/>
            </w:tcBorders>
          </w:tcPr>
          <w:p>
            <w:pPr>
              <w:jc w:val="right"/>
              <w:ind w:right="324"/>
              <w:spacing w:after="0"/>
              <w:rPr>
                <w:sz w:val="20"/>
                <w:szCs w:val="20"/>
                <w:color w:val="auto"/>
              </w:rPr>
            </w:pPr>
            <w:r>
              <w:rPr>
                <w:rFonts w:ascii="Verdana" w:cs="Verdana" w:eastAsia="Verdana" w:hAnsi="Verdana"/>
                <w:sz w:val="14"/>
                <w:szCs w:val="14"/>
                <w:color w:val="214E93"/>
              </w:rPr>
              <w:t>2025</w:t>
            </w:r>
          </w:p>
        </w:tc>
        <w:tc>
          <w:tcPr>
            <w:tcW w:w="1140" w:type="dxa"/>
            <w:vAlign w:val="bottom"/>
            <w:tcBorders>
              <w:bottom w:val="single" w:sz="8" w:color="214E93"/>
            </w:tcBorders>
          </w:tcPr>
          <w:p>
            <w:pPr>
              <w:jc w:val="right"/>
              <w:ind w:right="323"/>
              <w:spacing w:after="0"/>
              <w:rPr>
                <w:sz w:val="20"/>
                <w:szCs w:val="20"/>
                <w:color w:val="auto"/>
              </w:rPr>
            </w:pPr>
            <w:r>
              <w:rPr>
                <w:rFonts w:ascii="Verdana" w:cs="Verdana" w:eastAsia="Verdana" w:hAnsi="Verdana"/>
                <w:sz w:val="14"/>
                <w:szCs w:val="14"/>
                <w:color w:val="auto"/>
              </w:rPr>
              <w:t>2024</w:t>
            </w:r>
          </w:p>
        </w:tc>
        <w:tc>
          <w:tcPr>
            <w:tcW w:w="1080" w:type="dxa"/>
            <w:vAlign w:val="bottom"/>
            <w:tcBorders>
              <w:bottom w:val="single" w:sz="8" w:color="214E93"/>
            </w:tcBorders>
          </w:tcPr>
          <w:p>
            <w:pPr>
              <w:jc w:val="right"/>
              <w:ind w:right="283"/>
              <w:spacing w:after="0"/>
              <w:rPr>
                <w:sz w:val="20"/>
                <w:szCs w:val="20"/>
                <w:color w:val="auto"/>
              </w:rPr>
            </w:pPr>
            <w:r>
              <w:rPr>
                <w:rFonts w:ascii="Verdana" w:cs="Verdana" w:eastAsia="Verdana" w:hAnsi="Verdana"/>
                <w:sz w:val="14"/>
                <w:szCs w:val="14"/>
                <w:color w:val="auto"/>
              </w:rPr>
              <w:t>2023</w:t>
            </w:r>
          </w:p>
        </w:tc>
      </w:tr>
      <w:tr>
        <w:trPr>
          <w:trHeight w:val="253"/>
        </w:trPr>
        <w:tc>
          <w:tcPr>
            <w:tcW w:w="6220" w:type="dxa"/>
            <w:vAlign w:val="bottom"/>
          </w:tcPr>
          <w:p>
            <w:pPr>
              <w:ind w:left="40"/>
              <w:spacing w:after="0"/>
              <w:rPr>
                <w:sz w:val="20"/>
                <w:szCs w:val="20"/>
                <w:color w:val="auto"/>
              </w:rPr>
            </w:pPr>
            <w:r>
              <w:rPr>
                <w:rFonts w:ascii="Verdana" w:cs="Verdana" w:eastAsia="Verdana" w:hAnsi="Verdana"/>
                <w:sz w:val="14"/>
                <w:szCs w:val="14"/>
                <w:i w:val="1"/>
                <w:iCs w:val="1"/>
                <w:color w:val="auto"/>
              </w:rPr>
              <w:t>(In thousands)</w:t>
            </w:r>
          </w:p>
        </w:tc>
        <w:tc>
          <w:tcPr>
            <w:tcW w:w="1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38"/>
        </w:trPr>
        <w:tc>
          <w:tcPr>
            <w:tcW w:w="6220" w:type="dxa"/>
            <w:vAlign w:val="bottom"/>
          </w:tcPr>
          <w:p>
            <w:pPr>
              <w:ind w:left="40"/>
              <w:spacing w:after="0"/>
              <w:rPr>
                <w:sz w:val="20"/>
                <w:szCs w:val="20"/>
                <w:color w:val="auto"/>
              </w:rPr>
            </w:pPr>
            <w:r>
              <w:rPr>
                <w:rFonts w:ascii="Verdana" w:cs="Verdana" w:eastAsia="Verdana" w:hAnsi="Verdana"/>
                <w:sz w:val="16"/>
                <w:szCs w:val="16"/>
                <w:color w:val="auto"/>
              </w:rPr>
              <w:t>Net cash provided by operating activities</w:t>
            </w:r>
          </w:p>
        </w:tc>
        <w:tc>
          <w:tcPr>
            <w:tcW w:w="1120" w:type="dxa"/>
            <w:vAlign w:val="bottom"/>
          </w:tcPr>
          <w:p>
            <w:pPr>
              <w:jc w:val="right"/>
              <w:ind w:right="64"/>
              <w:spacing w:after="0"/>
              <w:rPr>
                <w:sz w:val="20"/>
                <w:szCs w:val="20"/>
                <w:color w:val="auto"/>
              </w:rPr>
            </w:pPr>
            <w:r>
              <w:rPr>
                <w:rFonts w:ascii="Verdana" w:cs="Verdana" w:eastAsia="Verdana" w:hAnsi="Verdana"/>
                <w:sz w:val="16"/>
                <w:szCs w:val="16"/>
                <w:color w:val="214E93"/>
              </w:rPr>
              <w:t>$2,425,015</w:t>
            </w:r>
          </w:p>
        </w:tc>
        <w:tc>
          <w:tcPr>
            <w:tcW w:w="1140" w:type="dxa"/>
            <w:vAlign w:val="bottom"/>
          </w:tcPr>
          <w:p>
            <w:pPr>
              <w:jc w:val="right"/>
              <w:ind w:right="63"/>
              <w:spacing w:after="0"/>
              <w:rPr>
                <w:sz w:val="20"/>
                <w:szCs w:val="20"/>
                <w:color w:val="auto"/>
              </w:rPr>
            </w:pPr>
            <w:r>
              <w:rPr>
                <w:rFonts w:ascii="Verdana" w:cs="Verdana" w:eastAsia="Verdana" w:hAnsi="Verdana"/>
                <w:sz w:val="16"/>
                <w:szCs w:val="16"/>
                <w:color w:val="auto"/>
              </w:rPr>
              <w:t>$2,246,885</w:t>
            </w:r>
          </w:p>
        </w:tc>
        <w:tc>
          <w:tcPr>
            <w:tcW w:w="1080" w:type="dxa"/>
            <w:vAlign w:val="bottom"/>
          </w:tcPr>
          <w:p>
            <w:pPr>
              <w:jc w:val="right"/>
              <w:ind w:right="3"/>
              <w:spacing w:after="0"/>
              <w:rPr>
                <w:sz w:val="20"/>
                <w:szCs w:val="20"/>
                <w:color w:val="auto"/>
              </w:rPr>
            </w:pPr>
            <w:r>
              <w:rPr>
                <w:rFonts w:ascii="Verdana" w:cs="Verdana" w:eastAsia="Verdana" w:hAnsi="Verdana"/>
                <w:sz w:val="16"/>
                <w:szCs w:val="16"/>
                <w:color w:val="auto"/>
              </w:rPr>
              <w:t>$1,867,828</w:t>
            </w:r>
          </w:p>
        </w:tc>
      </w:tr>
      <w:tr>
        <w:trPr>
          <w:trHeight w:val="236"/>
        </w:trPr>
        <w:tc>
          <w:tcPr>
            <w:tcW w:w="6220" w:type="dxa"/>
            <w:vAlign w:val="bottom"/>
          </w:tcPr>
          <w:p>
            <w:pPr>
              <w:ind w:left="40"/>
              <w:spacing w:after="0"/>
              <w:rPr>
                <w:sz w:val="20"/>
                <w:szCs w:val="20"/>
                <w:color w:val="auto"/>
              </w:rPr>
            </w:pPr>
            <w:r>
              <w:rPr>
                <w:rFonts w:ascii="Verdana" w:cs="Verdana" w:eastAsia="Verdana" w:hAnsi="Verdana"/>
                <w:sz w:val="16"/>
                <w:szCs w:val="16"/>
                <w:color w:val="auto"/>
              </w:rPr>
              <w:t>Net cash used in investing activities</w:t>
            </w:r>
          </w:p>
        </w:tc>
        <w:tc>
          <w:tcPr>
            <w:tcW w:w="1120" w:type="dxa"/>
            <w:vAlign w:val="bottom"/>
          </w:tcPr>
          <w:p>
            <w:pPr>
              <w:jc w:val="right"/>
              <w:spacing w:after="0"/>
              <w:rPr>
                <w:sz w:val="20"/>
                <w:szCs w:val="20"/>
                <w:color w:val="auto"/>
              </w:rPr>
            </w:pPr>
            <w:r>
              <w:rPr>
                <w:rFonts w:ascii="Verdana" w:cs="Verdana" w:eastAsia="Verdana" w:hAnsi="Verdana"/>
                <w:sz w:val="16"/>
                <w:szCs w:val="16"/>
                <w:color w:val="214E93"/>
              </w:rPr>
              <w:t>(2,157,682)</w:t>
            </w:r>
          </w:p>
        </w:tc>
        <w:tc>
          <w:tcPr>
            <w:tcW w:w="1140" w:type="dxa"/>
            <w:vAlign w:val="bottom"/>
          </w:tcPr>
          <w:p>
            <w:pPr>
              <w:jc w:val="right"/>
              <w:spacing w:after="0"/>
              <w:rPr>
                <w:sz w:val="20"/>
                <w:szCs w:val="20"/>
                <w:color w:val="auto"/>
              </w:rPr>
            </w:pPr>
            <w:r>
              <w:rPr>
                <w:rFonts w:ascii="Verdana" w:cs="Verdana" w:eastAsia="Verdana" w:hAnsi="Verdana"/>
                <w:sz w:val="16"/>
                <w:szCs w:val="16"/>
                <w:color w:val="auto"/>
              </w:rPr>
              <w:t>(3,672,114)</w:t>
            </w:r>
          </w:p>
        </w:tc>
        <w:tc>
          <w:tcPr>
            <w:tcW w:w="1080" w:type="dxa"/>
            <w:vAlign w:val="bottom"/>
          </w:tcPr>
          <w:p>
            <w:pPr>
              <w:jc w:val="right"/>
              <w:spacing w:after="0"/>
              <w:rPr>
                <w:sz w:val="20"/>
                <w:szCs w:val="20"/>
                <w:color w:val="auto"/>
              </w:rPr>
            </w:pPr>
            <w:r>
              <w:rPr>
                <w:rFonts w:ascii="Verdana" w:cs="Verdana" w:eastAsia="Verdana" w:hAnsi="Verdana"/>
                <w:sz w:val="16"/>
                <w:szCs w:val="16"/>
                <w:color w:val="auto"/>
              </w:rPr>
              <w:t>(3,211,192)</w:t>
            </w:r>
          </w:p>
        </w:tc>
      </w:tr>
      <w:tr>
        <w:trPr>
          <w:trHeight w:val="242"/>
        </w:trPr>
        <w:tc>
          <w:tcPr>
            <w:tcW w:w="622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Net cash (used in) provided by financing activities</w:t>
            </w:r>
          </w:p>
        </w:tc>
        <w:tc>
          <w:tcPr>
            <w:tcW w:w="112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214E93"/>
              </w:rPr>
              <w:t>(282,598)</w:t>
            </w:r>
          </w:p>
        </w:tc>
        <w:tc>
          <w:tcPr>
            <w:tcW w:w="1140" w:type="dxa"/>
            <w:vAlign w:val="bottom"/>
            <w:tcBorders>
              <w:bottom w:val="single" w:sz="8" w:color="auto"/>
            </w:tcBorders>
          </w:tcPr>
          <w:p>
            <w:pPr>
              <w:jc w:val="right"/>
              <w:ind w:right="63"/>
              <w:spacing w:after="0"/>
              <w:rPr>
                <w:sz w:val="20"/>
                <w:szCs w:val="20"/>
                <w:color w:val="auto"/>
              </w:rPr>
            </w:pPr>
            <w:r>
              <w:rPr>
                <w:rFonts w:ascii="Verdana" w:cs="Verdana" w:eastAsia="Verdana" w:hAnsi="Verdana"/>
                <w:sz w:val="16"/>
                <w:szCs w:val="16"/>
                <w:color w:val="auto"/>
              </w:rPr>
              <w:t>1,413,673</w:t>
            </w:r>
          </w:p>
        </w:tc>
        <w:tc>
          <w:tcPr>
            <w:tcW w:w="1080" w:type="dxa"/>
            <w:vAlign w:val="bottom"/>
            <w:tcBorders>
              <w:bottom w:val="single" w:sz="8" w:color="auto"/>
            </w:tcBorders>
          </w:tcPr>
          <w:p>
            <w:pPr>
              <w:jc w:val="right"/>
              <w:ind w:right="3"/>
              <w:spacing w:after="0"/>
              <w:rPr>
                <w:sz w:val="20"/>
                <w:szCs w:val="20"/>
                <w:color w:val="auto"/>
              </w:rPr>
            </w:pPr>
            <w:r>
              <w:rPr>
                <w:rFonts w:ascii="Verdana" w:cs="Verdana" w:eastAsia="Verdana" w:hAnsi="Verdana"/>
                <w:sz w:val="16"/>
                <w:szCs w:val="16"/>
                <w:color w:val="auto"/>
              </w:rPr>
              <w:t>902,332</w:t>
            </w:r>
          </w:p>
        </w:tc>
      </w:tr>
      <w:tr>
        <w:trPr>
          <w:trHeight w:val="217"/>
        </w:trPr>
        <w:tc>
          <w:tcPr>
            <w:tcW w:w="6220" w:type="dxa"/>
            <w:vAlign w:val="bottom"/>
            <w:tcBorders>
              <w:bottom w:val="single" w:sz="8" w:color="214E93"/>
            </w:tcBorders>
          </w:tcPr>
          <w:p>
            <w:pPr>
              <w:ind w:left="40"/>
              <w:spacing w:after="0"/>
              <w:rPr>
                <w:sz w:val="20"/>
                <w:szCs w:val="20"/>
                <w:color w:val="auto"/>
              </w:rPr>
            </w:pPr>
            <w:r>
              <w:rPr>
                <w:rFonts w:ascii="Verdana" w:cs="Verdana" w:eastAsia="Verdana" w:hAnsi="Verdana"/>
                <w:sz w:val="16"/>
                <w:szCs w:val="16"/>
                <w:color w:val="auto"/>
              </w:rPr>
              <w:t>Net change in cash</w:t>
            </w:r>
          </w:p>
        </w:tc>
        <w:tc>
          <w:tcPr>
            <w:tcW w:w="112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  (15,265)</w:t>
            </w:r>
          </w:p>
        </w:tc>
        <w:tc>
          <w:tcPr>
            <w:tcW w:w="114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  (11,556)</w:t>
            </w:r>
          </w:p>
        </w:tc>
        <w:tc>
          <w:tcPr>
            <w:tcW w:w="108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 (441,032)</w:t>
            </w:r>
          </w:p>
        </w:tc>
      </w:tr>
      <w:tr>
        <w:trPr>
          <w:trHeight w:val="185"/>
        </w:trPr>
        <w:tc>
          <w:tcPr>
            <w:tcW w:w="6220" w:type="dxa"/>
            <w:vAlign w:val="bottom"/>
          </w:tcPr>
          <w:p>
            <w:pPr>
              <w:ind w:left="40"/>
              <w:spacing w:after="0" w:line="185" w:lineRule="exact"/>
              <w:rPr>
                <w:sz w:val="20"/>
                <w:szCs w:val="20"/>
                <w:color w:val="auto"/>
              </w:rPr>
            </w:pPr>
            <w:r>
              <w:rPr>
                <w:rFonts w:ascii="Verdana" w:cs="Verdana" w:eastAsia="Verdana" w:hAnsi="Verdana"/>
                <w:sz w:val="16"/>
                <w:szCs w:val="16"/>
                <w:color w:val="auto"/>
              </w:rPr>
              <w:t>Adjusted EBITDA attributable to Matador Resources Company</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01"/>
        </w:trPr>
        <w:tc>
          <w:tcPr>
            <w:tcW w:w="6220" w:type="dxa"/>
            <w:vAlign w:val="bottom"/>
          </w:tcPr>
          <w:p>
            <w:pPr>
              <w:ind w:left="40"/>
              <w:spacing w:after="0"/>
              <w:rPr>
                <w:sz w:val="20"/>
                <w:szCs w:val="20"/>
                <w:color w:val="auto"/>
              </w:rPr>
            </w:pPr>
            <w:r>
              <w:rPr>
                <w:rFonts w:ascii="Verdana" w:cs="Verdana" w:eastAsia="Verdana" w:hAnsi="Verdana"/>
                <w:sz w:val="16"/>
                <w:szCs w:val="16"/>
                <w:color w:val="auto"/>
              </w:rPr>
              <w:t>shareholders</w:t>
            </w:r>
            <w:r>
              <w:rPr>
                <w:rFonts w:ascii="Verdana" w:cs="Verdana" w:eastAsia="Verdana" w:hAnsi="Verdana"/>
                <w:sz w:val="20"/>
                <w:szCs w:val="20"/>
                <w:color w:val="auto"/>
                <w:vertAlign w:val="superscript"/>
              </w:rPr>
              <w:t>(1)</w:t>
            </w:r>
          </w:p>
        </w:tc>
        <w:tc>
          <w:tcPr>
            <w:tcW w:w="1120" w:type="dxa"/>
            <w:vAlign w:val="bottom"/>
          </w:tcPr>
          <w:p>
            <w:pPr>
              <w:jc w:val="right"/>
              <w:ind w:right="64"/>
              <w:spacing w:after="0"/>
              <w:rPr>
                <w:sz w:val="20"/>
                <w:szCs w:val="20"/>
                <w:color w:val="auto"/>
              </w:rPr>
            </w:pPr>
            <w:r>
              <w:rPr>
                <w:rFonts w:ascii="Verdana" w:cs="Verdana" w:eastAsia="Verdana" w:hAnsi="Verdana"/>
                <w:sz w:val="16"/>
                <w:szCs w:val="16"/>
                <w:color w:val="214E93"/>
              </w:rPr>
              <w:t>$2,294,551</w:t>
            </w:r>
          </w:p>
        </w:tc>
        <w:tc>
          <w:tcPr>
            <w:tcW w:w="1140" w:type="dxa"/>
            <w:vAlign w:val="bottom"/>
          </w:tcPr>
          <w:p>
            <w:pPr>
              <w:jc w:val="right"/>
              <w:ind w:right="63"/>
              <w:spacing w:after="0"/>
              <w:rPr>
                <w:sz w:val="20"/>
                <w:szCs w:val="20"/>
                <w:color w:val="auto"/>
              </w:rPr>
            </w:pPr>
            <w:r>
              <w:rPr>
                <w:rFonts w:ascii="Verdana" w:cs="Verdana" w:eastAsia="Verdana" w:hAnsi="Verdana"/>
                <w:sz w:val="16"/>
                <w:szCs w:val="16"/>
                <w:color w:val="auto"/>
              </w:rPr>
              <w:t>$2,298,777</w:t>
            </w:r>
          </w:p>
        </w:tc>
        <w:tc>
          <w:tcPr>
            <w:tcW w:w="1080" w:type="dxa"/>
            <w:vAlign w:val="bottom"/>
          </w:tcPr>
          <w:p>
            <w:pPr>
              <w:jc w:val="right"/>
              <w:ind w:right="3"/>
              <w:spacing w:after="0"/>
              <w:rPr>
                <w:sz w:val="20"/>
                <w:szCs w:val="20"/>
                <w:color w:val="auto"/>
              </w:rPr>
            </w:pPr>
            <w:r>
              <w:rPr>
                <w:rFonts w:ascii="Verdana" w:cs="Verdana" w:eastAsia="Verdana" w:hAnsi="Verdana"/>
                <w:sz w:val="16"/>
                <w:szCs w:val="16"/>
                <w:color w:val="auto"/>
              </w:rPr>
              <w:t>$1,849,547</w:t>
            </w:r>
          </w:p>
        </w:tc>
      </w:tr>
    </w:tbl>
    <w:p>
      <w:pPr>
        <w:spacing w:after="0" w:line="20" w:lineRule="exact"/>
        <w:rPr>
          <w:sz w:val="20"/>
          <w:szCs w:val="20"/>
          <w:color w:val="auto"/>
        </w:rPr>
      </w:pPr>
    </w:p>
    <w:p>
      <w:pPr>
        <w:spacing w:after="0" w:line="60" w:lineRule="exact"/>
        <w:rPr>
          <w:sz w:val="20"/>
          <w:szCs w:val="20"/>
          <w:color w:val="auto"/>
        </w:rPr>
      </w:pPr>
    </w:p>
    <w:p>
      <w:pPr>
        <w:ind w:left="483" w:right="960" w:hanging="350"/>
        <w:spacing w:after="0" w:line="226" w:lineRule="auto"/>
        <w:tabs>
          <w:tab w:leader="none" w:pos="483" w:val="left"/>
        </w:tabs>
        <w:numPr>
          <w:ilvl w:val="0"/>
          <w:numId w:val="66"/>
        </w:numPr>
        <w:rPr>
          <w:rFonts w:ascii="Calibri" w:cs="Calibri" w:eastAsia="Calibri" w:hAnsi="Calibri"/>
          <w:sz w:val="14"/>
          <w:szCs w:val="14"/>
          <w:color w:val="auto"/>
        </w:rPr>
      </w:pPr>
      <w:r>
        <w:rPr>
          <w:rFonts w:ascii="Calibri" w:cs="Calibri" w:eastAsia="Calibri" w:hAnsi="Calibri"/>
          <w:sz w:val="14"/>
          <w:szCs w:val="14"/>
          <w:color w:val="auto"/>
        </w:rPr>
        <w:t>Adjusted EBITDA is a non-GAAP financial measure. For a definition of Adjusted EBITDA and a reconciliation of Adjusted EBITDA to our net income and net cash provided by operating activities, see “—Non-GAAP Financial Measures” below.</w:t>
      </w:r>
    </w:p>
    <w:p>
      <w:pPr>
        <w:spacing w:after="0" w:line="183" w:lineRule="exact"/>
        <w:rPr>
          <w:sz w:val="20"/>
          <w:szCs w:val="20"/>
          <w:color w:val="auto"/>
        </w:rPr>
      </w:pPr>
    </w:p>
    <w:p>
      <w:pPr>
        <w:ind w:left="3"/>
        <w:spacing w:after="0"/>
        <w:rPr>
          <w:sz w:val="20"/>
          <w:szCs w:val="20"/>
          <w:color w:val="auto"/>
        </w:rPr>
      </w:pPr>
      <w:r>
        <w:rPr>
          <w:rFonts w:ascii="Calibri" w:cs="Calibri" w:eastAsia="Calibri" w:hAnsi="Calibri"/>
          <w:sz w:val="19"/>
          <w:szCs w:val="19"/>
          <w:i w:val="1"/>
          <w:iCs w:val="1"/>
          <w:color w:val="214E93"/>
        </w:rPr>
        <w:t>Net Cash Provided by Operating Activities</w:t>
      </w:r>
    </w:p>
    <w:p>
      <w:pPr>
        <w:spacing w:after="0" w:line="208" w:lineRule="exact"/>
        <w:rPr>
          <w:sz w:val="20"/>
          <w:szCs w:val="20"/>
          <w:color w:val="auto"/>
        </w:rPr>
      </w:pPr>
    </w:p>
    <w:p>
      <w:pPr>
        <w:ind w:left="3" w:right="760" w:firstLine="241"/>
        <w:spacing w:after="0" w:line="267" w:lineRule="auto"/>
        <w:rPr>
          <w:sz w:val="20"/>
          <w:szCs w:val="20"/>
          <w:color w:val="auto"/>
        </w:rPr>
      </w:pPr>
      <w:r>
        <w:rPr>
          <w:rFonts w:ascii="Calibri" w:cs="Calibri" w:eastAsia="Calibri" w:hAnsi="Calibri"/>
          <w:sz w:val="18"/>
          <w:szCs w:val="18"/>
          <w:color w:val="auto"/>
        </w:rPr>
        <w:t>Net cash provided by operating activities increased by $178.1 million to $2.43 billion for the year ended December 31, 2025 from $2.25 billion for the year ended December 31, 2024. Excluding changes in operating assets and liabilities, net cash provided by operating activities increased by $15.0 million to $2.25 billion for the year ended December 31, 2025 from $2.23 billion for the year ended December 31, 2024. This increase was primarily attributable to a 21% increase in total oil equivalent production during 2025, as compared to 2024, partially offset by lower realized oil and natural gas prices. Changes in our operating assets and liabilities between the periods resulted in a $163.1 million increase in net cash provided by operating activities for the year ended December 31, 2025, as compared to the year ended December 31, 2024.</w:t>
      </w:r>
    </w:p>
    <w:p>
      <w:pPr>
        <w:spacing w:after="0" w:line="220" w:lineRule="exact"/>
        <w:rPr>
          <w:sz w:val="20"/>
          <w:szCs w:val="20"/>
          <w:color w:val="auto"/>
        </w:rPr>
      </w:pPr>
    </w:p>
    <w:p>
      <w:pPr>
        <w:ind w:left="3" w:right="720" w:firstLine="241"/>
        <w:spacing w:after="0" w:line="285" w:lineRule="auto"/>
        <w:rPr>
          <w:sz w:val="20"/>
          <w:szCs w:val="20"/>
          <w:color w:val="auto"/>
        </w:rPr>
      </w:pPr>
      <w:r>
        <w:rPr>
          <w:rFonts w:ascii="Calibri" w:cs="Calibri" w:eastAsia="Calibri" w:hAnsi="Calibri"/>
          <w:sz w:val="17"/>
          <w:szCs w:val="17"/>
          <w:color w:val="auto"/>
        </w:rPr>
        <w:t>Our operating cash flows are sensitive to a number of variables that are beyond our control and are difficult to predict. From time to time, we use commodity derivative financial instruments to mitigate our exposure to fluctuations in oil, natural gas and NGL prices. For additional information on the impact of changing prices on our financial condition, see “Quantitative and Qualitative Disclosures About Market Risk.” See also “Risk Factors—Risks Related to Our Financial Condition—Our success is dependent on the prices of oil, natural gas and NGLs. Low oil, natural gas and NGL prices and the continued volatility in these prices may adversely affect our financial condition and our ability to meet our capital expenditure requirements and financial obligations.”</w:t>
      </w:r>
    </w:p>
    <w:p>
      <w:pPr>
        <w:spacing w:after="0" w:line="191" w:lineRule="exact"/>
        <w:rPr>
          <w:sz w:val="20"/>
          <w:szCs w:val="20"/>
          <w:color w:val="auto"/>
        </w:rPr>
      </w:pPr>
    </w:p>
    <w:p>
      <w:pPr>
        <w:ind w:left="3"/>
        <w:spacing w:after="0"/>
        <w:rPr>
          <w:sz w:val="20"/>
          <w:szCs w:val="20"/>
          <w:color w:val="auto"/>
        </w:rPr>
      </w:pPr>
      <w:r>
        <w:rPr>
          <w:rFonts w:ascii="Calibri" w:cs="Calibri" w:eastAsia="Calibri" w:hAnsi="Calibri"/>
          <w:sz w:val="19"/>
          <w:szCs w:val="19"/>
          <w:i w:val="1"/>
          <w:iCs w:val="1"/>
          <w:color w:val="214E93"/>
        </w:rPr>
        <w:t>Net Cash Used in Investing Activities</w:t>
      </w:r>
    </w:p>
    <w:p>
      <w:pPr>
        <w:spacing w:after="0" w:line="208" w:lineRule="exact"/>
        <w:rPr>
          <w:sz w:val="20"/>
          <w:szCs w:val="20"/>
          <w:color w:val="auto"/>
        </w:rPr>
      </w:pPr>
    </w:p>
    <w:p>
      <w:pPr>
        <w:ind w:left="3" w:right="800" w:firstLine="241"/>
        <w:spacing w:after="0" w:line="283" w:lineRule="auto"/>
        <w:rPr>
          <w:sz w:val="20"/>
          <w:szCs w:val="20"/>
          <w:color w:val="auto"/>
        </w:rPr>
      </w:pPr>
      <w:r>
        <w:rPr>
          <w:rFonts w:ascii="Calibri" w:cs="Calibri" w:eastAsia="Calibri" w:hAnsi="Calibri"/>
          <w:sz w:val="17"/>
          <w:szCs w:val="17"/>
          <w:color w:val="auto"/>
        </w:rPr>
        <w:t>Net cash used in investing activities decreased by $1.51 billion to $2.16 billion for the year ended December 31, 2025 from $3.67 billion for the year ended December 31, 2024. This decrease in net cash used in investing activities between the periods was primarily due to (i) a $1.83 billion decrease in expenditures related to the Ameredev Acquisition that occurred in September 2024,</w:t>
      </w:r>
    </w:p>
    <w:p>
      <w:pPr>
        <w:spacing w:after="0" w:line="10" w:lineRule="exact"/>
        <w:rPr>
          <w:sz w:val="20"/>
          <w:szCs w:val="20"/>
          <w:color w:val="auto"/>
        </w:rPr>
      </w:pPr>
    </w:p>
    <w:p>
      <w:pPr>
        <w:ind w:left="3" w:right="800" w:hanging="3"/>
        <w:spacing w:after="0" w:line="281" w:lineRule="auto"/>
        <w:tabs>
          <w:tab w:leader="none" w:pos="231" w:val="left"/>
        </w:tabs>
        <w:numPr>
          <w:ilvl w:val="0"/>
          <w:numId w:val="67"/>
        </w:numPr>
        <w:rPr>
          <w:rFonts w:ascii="Calibri" w:cs="Calibri" w:eastAsia="Calibri" w:hAnsi="Calibri"/>
          <w:sz w:val="17"/>
          <w:szCs w:val="17"/>
          <w:color w:val="auto"/>
        </w:rPr>
      </w:pPr>
      <w:r>
        <w:rPr>
          <w:rFonts w:ascii="Calibri" w:cs="Calibri" w:eastAsia="Calibri" w:hAnsi="Calibri"/>
          <w:sz w:val="17"/>
          <w:szCs w:val="17"/>
          <w:color w:val="auto"/>
        </w:rPr>
        <w:t>a $115.3 million decrease in expenditures related to the acquisition of oil and natural gas properties and (iii) a $10.1 million increase in cash provided by proceeds from the sale of assets. The decreases in cash used in investing activities between the periods</w:t>
      </w:r>
    </w:p>
    <w:p>
      <w:pPr>
        <w:sectPr>
          <w:pgSz w:w="11880" w:h="15480" w:orient="portrait"/>
          <w:cols w:equalWidth="0" w:num="1">
            <w:col w:w="10283"/>
          </w:cols>
          <w:pgMar w:left="1157"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883"/>
        <w:spacing w:after="0"/>
        <w:rPr>
          <w:sz w:val="20"/>
          <w:szCs w:val="20"/>
          <w:color w:val="auto"/>
        </w:rPr>
      </w:pPr>
      <w:r>
        <w:rPr>
          <w:rFonts w:ascii="Calibri" w:cs="Calibri" w:eastAsia="Calibri" w:hAnsi="Calibri"/>
          <w:sz w:val="17"/>
          <w:szCs w:val="17"/>
          <w:color w:val="auto"/>
        </w:rPr>
        <w:t>FORM 10-K PART II</w:t>
      </w:r>
    </w:p>
    <w:p>
      <w:pPr>
        <w:sectPr>
          <w:pgSz w:w="11880" w:h="15480" w:orient="portrait"/>
          <w:cols w:equalWidth="0" w:num="1">
            <w:col w:w="10283"/>
          </w:cols>
          <w:pgMar w:left="1157" w:top="498" w:right="440" w:bottom="0" w:gutter="0" w:footer="0" w:header="0"/>
          <w:type w:val="continuous"/>
        </w:sectPr>
      </w:pPr>
    </w:p>
    <w:bookmarkStart w:id="105" w:name="page106"/>
    <w:bookmarkEnd w:id="105"/>
    <w:p>
      <w:pPr>
        <w:spacing w:after="0"/>
        <w:tabs>
          <w:tab w:leader="none" w:pos="740" w:val="left"/>
        </w:tabs>
        <w:rPr>
          <w:sz w:val="20"/>
          <w:szCs w:val="20"/>
          <w:color w:val="auto"/>
        </w:rPr>
      </w:pPr>
      <w:r>
        <w:rPr>
          <w:rFonts w:ascii="Calibri" w:cs="Calibri" w:eastAsia="Calibri" w:hAnsi="Calibri"/>
          <w:sz w:val="18"/>
          <w:szCs w:val="18"/>
          <w:color w:val="auto"/>
        </w:rPr>
        <w:t>92</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10" o:spid="_x0000_s12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11" o:spid="_x0000_s12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20" w:right="100"/>
        <w:spacing w:after="0" w:line="264" w:lineRule="auto"/>
        <w:rPr>
          <w:sz w:val="20"/>
          <w:szCs w:val="20"/>
          <w:color w:val="auto"/>
        </w:rPr>
      </w:pPr>
      <w:r>
        <w:rPr>
          <w:rFonts w:ascii="Calibri" w:cs="Calibri" w:eastAsia="Calibri" w:hAnsi="Calibri"/>
          <w:sz w:val="18"/>
          <w:szCs w:val="18"/>
          <w:color w:val="auto"/>
        </w:rPr>
        <w:t>were partially offset by (i) a $319.4 million increase in D/C/E capital expenditures primarily attributable to our operated and non-operated drilling, completion and equipping activities in the Delaware Basin, (ii) a $110.3 million decrease in proceeds from the sale of an equity method investment in the parent company of Piñon Midstream, LLC, and (iii) a $13.9 million increase in midstream capital expenditures.</w:t>
      </w:r>
    </w:p>
    <w:p>
      <w:pPr>
        <w:spacing w:after="0" w:line="207" w:lineRule="exact"/>
        <w:rPr>
          <w:sz w:val="20"/>
          <w:szCs w:val="20"/>
          <w:color w:val="auto"/>
        </w:rPr>
      </w:pPr>
    </w:p>
    <w:p>
      <w:pPr>
        <w:ind w:left="720"/>
        <w:spacing w:after="0"/>
        <w:rPr>
          <w:sz w:val="20"/>
          <w:szCs w:val="20"/>
          <w:color w:val="auto"/>
        </w:rPr>
      </w:pPr>
      <w:r>
        <w:rPr>
          <w:rFonts w:ascii="Calibri" w:cs="Calibri" w:eastAsia="Calibri" w:hAnsi="Calibri"/>
          <w:sz w:val="19"/>
          <w:szCs w:val="19"/>
          <w:i w:val="1"/>
          <w:iCs w:val="1"/>
          <w:color w:val="214E93"/>
        </w:rPr>
        <w:t>Net Cash (Used in) Provided by Financing Activities</w:t>
      </w:r>
    </w:p>
    <w:p>
      <w:pPr>
        <w:spacing w:after="0" w:line="208" w:lineRule="exact"/>
        <w:rPr>
          <w:sz w:val="20"/>
          <w:szCs w:val="20"/>
          <w:color w:val="auto"/>
        </w:rPr>
      </w:pPr>
    </w:p>
    <w:p>
      <w:pPr>
        <w:ind w:left="720" w:firstLine="241"/>
        <w:spacing w:after="0" w:line="267" w:lineRule="auto"/>
        <w:rPr>
          <w:sz w:val="20"/>
          <w:szCs w:val="20"/>
          <w:color w:val="auto"/>
        </w:rPr>
      </w:pPr>
      <w:r>
        <w:rPr>
          <w:rFonts w:ascii="Calibri" w:cs="Calibri" w:eastAsia="Calibri" w:hAnsi="Calibri"/>
          <w:sz w:val="18"/>
          <w:szCs w:val="18"/>
          <w:color w:val="auto"/>
        </w:rPr>
        <w:t>Net cash used in financing activities increased by $1.70 billion to $282.6 million for the year ended December 31, 2025, from net cash provided by financing activities of $1.41 billion for the year ended December 31, 2024. This increase in net cash used in financing activities between the periods was primarily due to (i) a $1.27 billion decrease in net proceeds from debt and equity offerings in the prior period, (ii) a $293.0 million increase in net repayments under the Credit Agreement, (iii) a $44.7 million increase in net distributions related to San Mateo, (iv) a $58.2 million increase in dividends paid and (v) a $55.8 million increase in repurchases of common stock. These increases in net cash used in financing activities were partially offset by (i) a $175.0 million increase in net borrowings under the San Mateo Credit Facility and (ii) a $31.0 million decrease in costs to amend credit facilities.</w:t>
      </w:r>
    </w:p>
    <w:p>
      <w:pPr>
        <w:spacing w:after="0" w:line="220" w:lineRule="exact"/>
        <w:rPr>
          <w:sz w:val="20"/>
          <w:szCs w:val="20"/>
          <w:color w:val="auto"/>
        </w:rPr>
      </w:pPr>
    </w:p>
    <w:p>
      <w:pPr>
        <w:ind w:left="720" w:right="620" w:firstLine="241"/>
        <w:spacing w:after="0" w:line="252" w:lineRule="auto"/>
        <w:rPr>
          <w:sz w:val="20"/>
          <w:szCs w:val="20"/>
          <w:color w:val="auto"/>
        </w:rPr>
      </w:pPr>
      <w:r>
        <w:rPr>
          <w:rFonts w:ascii="Calibri" w:cs="Calibri" w:eastAsia="Calibri" w:hAnsi="Calibri"/>
          <w:sz w:val="18"/>
          <w:szCs w:val="18"/>
          <w:color w:val="auto"/>
        </w:rPr>
        <w:t>See Note 7 to the consolidated financial statements in this Annual Report for a summary of our debt, including the Credit Agreement, the San Mateo Credit Facility, the 2028 Notes, the 2032 Notes and the 2033 Notes.</w:t>
      </w:r>
    </w:p>
    <w:p>
      <w:pPr>
        <w:spacing w:after="0" w:line="216" w:lineRule="exact"/>
        <w:rPr>
          <w:sz w:val="20"/>
          <w:szCs w:val="20"/>
          <w:color w:val="auto"/>
        </w:rPr>
      </w:pPr>
    </w:p>
    <w:p>
      <w:pPr>
        <w:ind w:left="720"/>
        <w:spacing w:after="0"/>
        <w:rPr>
          <w:sz w:val="20"/>
          <w:szCs w:val="20"/>
          <w:color w:val="auto"/>
        </w:rPr>
      </w:pPr>
      <w:r>
        <w:rPr>
          <w:rFonts w:ascii="Calibri" w:cs="Calibri" w:eastAsia="Calibri" w:hAnsi="Calibri"/>
          <w:sz w:val="19"/>
          <w:szCs w:val="19"/>
          <w:i w:val="1"/>
          <w:iCs w:val="1"/>
          <w:color w:val="214E93"/>
        </w:rPr>
        <w:t>Non-GAAP Financial Measures</w:t>
      </w:r>
    </w:p>
    <w:p>
      <w:pPr>
        <w:spacing w:after="0" w:line="208" w:lineRule="exact"/>
        <w:rPr>
          <w:sz w:val="20"/>
          <w:szCs w:val="20"/>
          <w:color w:val="auto"/>
        </w:rPr>
      </w:pPr>
    </w:p>
    <w:p>
      <w:pPr>
        <w:ind w:left="720" w:firstLine="241"/>
        <w:spacing w:after="0" w:line="267" w:lineRule="auto"/>
        <w:rPr>
          <w:sz w:val="20"/>
          <w:szCs w:val="20"/>
          <w:color w:val="auto"/>
        </w:rPr>
      </w:pPr>
      <w:r>
        <w:rPr>
          <w:rFonts w:ascii="Calibri" w:cs="Calibri" w:eastAsia="Calibri" w:hAnsi="Calibri"/>
          <w:sz w:val="18"/>
          <w:szCs w:val="18"/>
          <w:color w:val="auto"/>
        </w:rPr>
        <w:t>We define Adjusted EBITDA attributable to Matador shareholders (“Adjusted EBITDA”) as earnings before interest expense, income taxes, depletion, depreciation and amortization, accretion of asset retirement obligations, property impairments, unrealized derivative gains and losses, non-recurring transaction costs for certain acquisitions, certain other non-cash items and non-cash stock-based compensation expense and net gain or loss on asset sales and impairment. Adjusted EBITDA is not a measure of net income (loss) or cash flows as determined by GAAP. Adjusted EBITDA is a supplemental non-GAAP financial measure that is used by management and external users of our consolidated financial statements, such as industry analysts, investors, lenders and rating agencies.</w:t>
      </w:r>
    </w:p>
    <w:p>
      <w:pPr>
        <w:spacing w:after="0" w:line="220" w:lineRule="exact"/>
        <w:rPr>
          <w:sz w:val="20"/>
          <w:szCs w:val="20"/>
          <w:color w:val="auto"/>
        </w:rPr>
      </w:pPr>
    </w:p>
    <w:p>
      <w:pPr>
        <w:ind w:left="720" w:firstLine="241"/>
        <w:spacing w:after="0" w:line="266" w:lineRule="auto"/>
        <w:rPr>
          <w:sz w:val="20"/>
          <w:szCs w:val="20"/>
          <w:color w:val="auto"/>
        </w:rPr>
      </w:pPr>
      <w:r>
        <w:rPr>
          <w:rFonts w:ascii="Calibri" w:cs="Calibri" w:eastAsia="Calibri" w:hAnsi="Calibri"/>
          <w:sz w:val="18"/>
          <w:szCs w:val="18"/>
          <w:color w:val="auto"/>
        </w:rPr>
        <w:t>Management believes Adjusted EBITDA is necessary because it allows us to evaluate our operating performance and compare the results of operations from period to period without regard to our financing methods or capital structure. We exclude the items listed above from net income (loss) in calculating Adjusted EBITDA because these amounts can vary substantially from company to company within our industry depending upon accounting methods and book values of assets, capital structures and the method by which certain assets were acquired.</w:t>
      </w:r>
    </w:p>
    <w:p>
      <w:pPr>
        <w:spacing w:after="0" w:line="218" w:lineRule="exact"/>
        <w:rPr>
          <w:sz w:val="20"/>
          <w:szCs w:val="20"/>
          <w:color w:val="auto"/>
        </w:rPr>
      </w:pPr>
    </w:p>
    <w:p>
      <w:pPr>
        <w:ind w:left="720" w:right="80" w:firstLine="241"/>
        <w:spacing w:after="0" w:line="266" w:lineRule="auto"/>
        <w:rPr>
          <w:sz w:val="20"/>
          <w:szCs w:val="20"/>
          <w:color w:val="auto"/>
        </w:rPr>
      </w:pPr>
      <w:r>
        <w:rPr>
          <w:rFonts w:ascii="Calibri" w:cs="Calibri" w:eastAsia="Calibri" w:hAnsi="Calibri"/>
          <w:sz w:val="18"/>
          <w:szCs w:val="18"/>
          <w:color w:val="auto"/>
        </w:rPr>
        <w:t>Adjusted EBITDA should not be considered an alternative to, or more meaningful than, net income (loss) or net cash provided by operating activities as determined in accordance with GAAP or as a primary indicator of our operating performance or liquidity. Certain items excluded from Adjusted EBITDA are significant components of understanding and assessing a company’s financial performance, such as a company’s cost of capital and tax structure. Our Adjusted EBITDA may not be comparable to similarly titled measures of another company because all companies may not calculate Adjusted EBITDA in the same manner.</w:t>
      </w:r>
    </w:p>
    <w:p>
      <w:pPr>
        <w:sectPr>
          <w:pgSz w:w="11880" w:h="15480" w:orient="portrait"/>
          <w:cols w:equalWidth="0" w:num="1">
            <w:col w:w="10280"/>
          </w:cols>
          <w:pgMar w:left="44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II</w:t>
      </w:r>
    </w:p>
    <w:p>
      <w:pPr>
        <w:sectPr>
          <w:pgSz w:w="11880" w:h="15480" w:orient="portrait"/>
          <w:cols w:equalWidth="0" w:num="1">
            <w:col w:w="10280"/>
          </w:cols>
          <w:pgMar w:left="440" w:top="498" w:right="1160" w:bottom="0" w:gutter="0" w:footer="0" w:header="0"/>
          <w:type w:val="continuous"/>
        </w:sectPr>
      </w:pPr>
    </w:p>
    <w:bookmarkStart w:id="106" w:name="page107"/>
    <w:bookmarkEnd w:id="106"/>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93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860" w:firstLine="241"/>
        <w:spacing w:after="0" w:line="252" w:lineRule="auto"/>
        <w:rPr>
          <w:sz w:val="20"/>
          <w:szCs w:val="20"/>
          <w:color w:val="auto"/>
        </w:rPr>
      </w:pPr>
      <w:r>
        <w:rPr>
          <w:rFonts w:ascii="Calibri" w:cs="Calibri" w:eastAsia="Calibri" w:hAnsi="Calibri"/>
          <w:sz w:val="18"/>
          <w:szCs w:val="18"/>
          <w:color w:val="auto"/>
        </w:rPr>
        <w:t>The following table presents our calculation of Adjusted EBITDA and the reconciliation of Adjusted EBITDA to the GAAP financial measures of net income and net cash provided by operating activities, respectively.</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40" w:type="dxa"/>
            <w:vAlign w:val="bottom"/>
          </w:tcPr>
          <w:p>
            <w:pPr>
              <w:spacing w:after="0"/>
              <w:rPr>
                <w:sz w:val="16"/>
                <w:szCs w:val="16"/>
                <w:color w:val="auto"/>
              </w:rPr>
            </w:pPr>
          </w:p>
        </w:tc>
        <w:tc>
          <w:tcPr>
            <w:tcW w:w="3120" w:type="dxa"/>
            <w:vAlign w:val="bottom"/>
            <w:tcBorders>
              <w:bottom w:val="single" w:sz="8" w:color="214E93"/>
            </w:tcBorders>
            <w:gridSpan w:val="3"/>
          </w:tcPr>
          <w:p>
            <w:pPr>
              <w:jc w:val="center"/>
              <w:spacing w:after="0"/>
              <w:rPr>
                <w:sz w:val="20"/>
                <w:szCs w:val="20"/>
                <w:color w:val="auto"/>
              </w:rPr>
            </w:pPr>
            <w:r>
              <w:rPr>
                <w:rFonts w:ascii="Verdana" w:cs="Verdana" w:eastAsia="Verdana" w:hAnsi="Verdana"/>
                <w:sz w:val="14"/>
                <w:szCs w:val="14"/>
                <w:color w:val="auto"/>
                <w:w w:val="97"/>
              </w:rPr>
              <w:t>Year Ended December 31,</w:t>
            </w:r>
          </w:p>
        </w:tc>
      </w:tr>
      <w:tr>
        <w:trPr>
          <w:trHeight w:val="201"/>
        </w:trPr>
        <w:tc>
          <w:tcPr>
            <w:tcW w:w="6440" w:type="dxa"/>
            <w:vAlign w:val="bottom"/>
            <w:tcBorders>
              <w:bottom w:val="single" w:sz="8" w:color="214E93"/>
            </w:tcBorders>
          </w:tcPr>
          <w:p>
            <w:pPr>
              <w:spacing w:after="0"/>
              <w:rPr>
                <w:sz w:val="17"/>
                <w:szCs w:val="17"/>
                <w:color w:val="auto"/>
              </w:rPr>
            </w:pPr>
          </w:p>
        </w:tc>
        <w:tc>
          <w:tcPr>
            <w:tcW w:w="1060" w:type="dxa"/>
            <w:vAlign w:val="bottom"/>
            <w:tcBorders>
              <w:bottom w:val="single" w:sz="8" w:color="214E93"/>
            </w:tcBorders>
          </w:tcPr>
          <w:p>
            <w:pPr>
              <w:jc w:val="right"/>
              <w:ind w:right="303"/>
              <w:spacing w:after="0"/>
              <w:rPr>
                <w:sz w:val="20"/>
                <w:szCs w:val="20"/>
                <w:color w:val="auto"/>
              </w:rPr>
            </w:pPr>
            <w:r>
              <w:rPr>
                <w:rFonts w:ascii="Verdana" w:cs="Verdana" w:eastAsia="Verdana" w:hAnsi="Verdana"/>
                <w:sz w:val="14"/>
                <w:szCs w:val="14"/>
                <w:color w:val="214E93"/>
              </w:rPr>
              <w:t>2025</w:t>
            </w:r>
          </w:p>
        </w:tc>
        <w:tc>
          <w:tcPr>
            <w:tcW w:w="106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auto"/>
                <w:w w:val="95"/>
              </w:rPr>
              <w:t>2024</w:t>
            </w:r>
          </w:p>
        </w:tc>
        <w:tc>
          <w:tcPr>
            <w:tcW w:w="100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auto"/>
                <w:w w:val="95"/>
              </w:rPr>
              <w:t>2023</w:t>
            </w:r>
          </w:p>
        </w:tc>
      </w:tr>
      <w:tr>
        <w:trPr>
          <w:trHeight w:val="194"/>
        </w:trPr>
        <w:tc>
          <w:tcPr>
            <w:tcW w:w="6440" w:type="dxa"/>
            <w:vAlign w:val="bottom"/>
          </w:tcPr>
          <w:p>
            <w:pPr>
              <w:ind w:left="40"/>
              <w:spacing w:after="0"/>
              <w:rPr>
                <w:sz w:val="20"/>
                <w:szCs w:val="20"/>
                <w:color w:val="auto"/>
              </w:rPr>
            </w:pPr>
            <w:r>
              <w:rPr>
                <w:rFonts w:ascii="Verdana" w:cs="Verdana" w:eastAsia="Verdana" w:hAnsi="Verdana"/>
                <w:sz w:val="14"/>
                <w:szCs w:val="14"/>
                <w:i w:val="1"/>
                <w:iCs w:val="1"/>
                <w:color w:val="auto"/>
              </w:rPr>
              <w:t>(In thousands)</w:t>
            </w: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6"/>
        </w:trPr>
        <w:tc>
          <w:tcPr>
            <w:tcW w:w="6440" w:type="dxa"/>
            <w:vAlign w:val="bottom"/>
          </w:tcPr>
          <w:p>
            <w:pPr>
              <w:ind w:left="40"/>
              <w:spacing w:after="0"/>
              <w:rPr>
                <w:sz w:val="20"/>
                <w:szCs w:val="20"/>
                <w:color w:val="auto"/>
              </w:rPr>
            </w:pPr>
            <w:r>
              <w:rPr>
                <w:rFonts w:ascii="Calibri" w:cs="Calibri" w:eastAsia="Calibri" w:hAnsi="Calibri"/>
                <w:sz w:val="19"/>
                <w:szCs w:val="19"/>
                <w:b w:val="1"/>
                <w:bCs w:val="1"/>
                <w:color w:val="214E93"/>
              </w:rPr>
              <w:t>Unaudited Adjusted EBITDA Reconciliation to Net Income:</w:t>
            </w: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3"/>
        </w:trPr>
        <w:tc>
          <w:tcPr>
            <w:tcW w:w="6440" w:type="dxa"/>
            <w:vAlign w:val="bottom"/>
          </w:tcPr>
          <w:p>
            <w:pPr>
              <w:ind w:left="40"/>
              <w:spacing w:after="0"/>
              <w:rPr>
                <w:sz w:val="20"/>
                <w:szCs w:val="20"/>
                <w:color w:val="auto"/>
              </w:rPr>
            </w:pPr>
            <w:r>
              <w:rPr>
                <w:rFonts w:ascii="Verdana" w:cs="Verdana" w:eastAsia="Verdana" w:hAnsi="Verdana"/>
                <w:sz w:val="16"/>
                <w:szCs w:val="16"/>
                <w:color w:val="auto"/>
              </w:rPr>
              <w:t>Net income attributable to Matador Resources Company shareholders</w:t>
            </w:r>
          </w:p>
        </w:tc>
        <w:tc>
          <w:tcPr>
            <w:tcW w:w="1060" w:type="dxa"/>
            <w:vAlign w:val="bottom"/>
          </w:tcPr>
          <w:p>
            <w:pPr>
              <w:jc w:val="right"/>
              <w:ind w:right="63"/>
              <w:spacing w:after="0"/>
              <w:rPr>
                <w:sz w:val="20"/>
                <w:szCs w:val="20"/>
                <w:color w:val="auto"/>
              </w:rPr>
            </w:pPr>
            <w:r>
              <w:rPr>
                <w:rFonts w:ascii="Verdana" w:cs="Verdana" w:eastAsia="Verdana" w:hAnsi="Verdana"/>
                <w:sz w:val="16"/>
                <w:szCs w:val="16"/>
                <w:color w:val="214E93"/>
              </w:rPr>
              <w:t>$ 759,221</w:t>
            </w:r>
          </w:p>
        </w:tc>
        <w:tc>
          <w:tcPr>
            <w:tcW w:w="1060" w:type="dxa"/>
            <w:vAlign w:val="bottom"/>
          </w:tcPr>
          <w:p>
            <w:pPr>
              <w:jc w:val="right"/>
              <w:ind w:right="62"/>
              <w:spacing w:after="0"/>
              <w:rPr>
                <w:sz w:val="20"/>
                <w:szCs w:val="20"/>
                <w:color w:val="auto"/>
              </w:rPr>
            </w:pPr>
            <w:r>
              <w:rPr>
                <w:rFonts w:ascii="Verdana" w:cs="Verdana" w:eastAsia="Verdana" w:hAnsi="Verdana"/>
                <w:sz w:val="16"/>
                <w:szCs w:val="16"/>
                <w:color w:val="131313"/>
              </w:rPr>
              <w:t>$ 885,322</w:t>
            </w:r>
          </w:p>
        </w:tc>
        <w:tc>
          <w:tcPr>
            <w:tcW w:w="1000" w:type="dxa"/>
            <w:vAlign w:val="bottom"/>
          </w:tcPr>
          <w:p>
            <w:pPr>
              <w:jc w:val="right"/>
              <w:ind w:right="2"/>
              <w:spacing w:after="0"/>
              <w:rPr>
                <w:sz w:val="20"/>
                <w:szCs w:val="20"/>
                <w:color w:val="auto"/>
              </w:rPr>
            </w:pPr>
            <w:r>
              <w:rPr>
                <w:rFonts w:ascii="Verdana" w:cs="Verdana" w:eastAsia="Verdana" w:hAnsi="Verdana"/>
                <w:sz w:val="16"/>
                <w:szCs w:val="16"/>
                <w:color w:val="131313"/>
              </w:rPr>
              <w:t>$ 846,074</w:t>
            </w:r>
          </w:p>
        </w:tc>
      </w:tr>
      <w:tr>
        <w:trPr>
          <w:trHeight w:val="242"/>
        </w:trPr>
        <w:tc>
          <w:tcPr>
            <w:tcW w:w="644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Net income attributable to non-controlling interest in subsidiaries</w:t>
            </w:r>
          </w:p>
        </w:tc>
        <w:tc>
          <w:tcPr>
            <w:tcW w:w="1060" w:type="dxa"/>
            <w:vAlign w:val="bottom"/>
            <w:tcBorders>
              <w:bottom w:val="single" w:sz="8" w:color="auto"/>
            </w:tcBorders>
          </w:tcPr>
          <w:p>
            <w:pPr>
              <w:jc w:val="right"/>
              <w:ind w:right="63"/>
              <w:spacing w:after="0"/>
              <w:rPr>
                <w:sz w:val="20"/>
                <w:szCs w:val="20"/>
                <w:color w:val="auto"/>
              </w:rPr>
            </w:pPr>
            <w:r>
              <w:rPr>
                <w:rFonts w:ascii="Verdana" w:cs="Verdana" w:eastAsia="Verdana" w:hAnsi="Verdana"/>
                <w:sz w:val="16"/>
                <w:szCs w:val="16"/>
                <w:color w:val="214E93"/>
              </w:rPr>
              <w:t>101,548</w:t>
            </w:r>
          </w:p>
        </w:tc>
        <w:tc>
          <w:tcPr>
            <w:tcW w:w="1060" w:type="dxa"/>
            <w:vAlign w:val="bottom"/>
            <w:tcBorders>
              <w:bottom w:val="single" w:sz="8" w:color="auto"/>
            </w:tcBorders>
          </w:tcPr>
          <w:p>
            <w:pPr>
              <w:jc w:val="right"/>
              <w:ind w:right="62"/>
              <w:spacing w:after="0"/>
              <w:rPr>
                <w:sz w:val="20"/>
                <w:szCs w:val="20"/>
                <w:color w:val="auto"/>
              </w:rPr>
            </w:pPr>
            <w:r>
              <w:rPr>
                <w:rFonts w:ascii="Verdana" w:cs="Verdana" w:eastAsia="Verdana" w:hAnsi="Verdana"/>
                <w:sz w:val="16"/>
                <w:szCs w:val="16"/>
                <w:color w:val="131313"/>
              </w:rPr>
              <w:t>86,021</w:t>
            </w:r>
          </w:p>
        </w:tc>
        <w:tc>
          <w:tcPr>
            <w:tcW w:w="100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131313"/>
              </w:rPr>
              <w:t>64,285</w:t>
            </w:r>
          </w:p>
        </w:tc>
      </w:tr>
      <w:tr>
        <w:trPr>
          <w:trHeight w:val="211"/>
        </w:trPr>
        <w:tc>
          <w:tcPr>
            <w:tcW w:w="6440" w:type="dxa"/>
            <w:vAlign w:val="bottom"/>
          </w:tcPr>
          <w:p>
            <w:pPr>
              <w:ind w:left="160"/>
              <w:spacing w:after="0"/>
              <w:rPr>
                <w:sz w:val="20"/>
                <w:szCs w:val="20"/>
                <w:color w:val="auto"/>
              </w:rPr>
            </w:pPr>
            <w:r>
              <w:rPr>
                <w:rFonts w:ascii="Verdana" w:cs="Verdana" w:eastAsia="Verdana" w:hAnsi="Verdana"/>
                <w:sz w:val="16"/>
                <w:szCs w:val="16"/>
                <w:color w:val="auto"/>
              </w:rPr>
              <w:t>Net income</w:t>
            </w:r>
          </w:p>
        </w:tc>
        <w:tc>
          <w:tcPr>
            <w:tcW w:w="1060" w:type="dxa"/>
            <w:vAlign w:val="bottom"/>
          </w:tcPr>
          <w:p>
            <w:pPr>
              <w:jc w:val="right"/>
              <w:ind w:right="63"/>
              <w:spacing w:after="0"/>
              <w:rPr>
                <w:sz w:val="20"/>
                <w:szCs w:val="20"/>
                <w:color w:val="auto"/>
              </w:rPr>
            </w:pPr>
            <w:r>
              <w:rPr>
                <w:rFonts w:ascii="Verdana" w:cs="Verdana" w:eastAsia="Verdana" w:hAnsi="Verdana"/>
                <w:sz w:val="16"/>
                <w:szCs w:val="16"/>
                <w:color w:val="214E93"/>
              </w:rPr>
              <w:t>860,769</w:t>
            </w:r>
          </w:p>
        </w:tc>
        <w:tc>
          <w:tcPr>
            <w:tcW w:w="1060" w:type="dxa"/>
            <w:vAlign w:val="bottom"/>
          </w:tcPr>
          <w:p>
            <w:pPr>
              <w:jc w:val="right"/>
              <w:ind w:right="62"/>
              <w:spacing w:after="0"/>
              <w:rPr>
                <w:sz w:val="20"/>
                <w:szCs w:val="20"/>
                <w:color w:val="auto"/>
              </w:rPr>
            </w:pPr>
            <w:r>
              <w:rPr>
                <w:rFonts w:ascii="Verdana" w:cs="Verdana" w:eastAsia="Verdana" w:hAnsi="Verdana"/>
                <w:sz w:val="16"/>
                <w:szCs w:val="16"/>
                <w:color w:val="131313"/>
              </w:rPr>
              <w:t>971,343</w:t>
            </w:r>
          </w:p>
        </w:tc>
        <w:tc>
          <w:tcPr>
            <w:tcW w:w="1000" w:type="dxa"/>
            <w:vAlign w:val="bottom"/>
          </w:tcPr>
          <w:p>
            <w:pPr>
              <w:jc w:val="right"/>
              <w:ind w:right="2"/>
              <w:spacing w:after="0"/>
              <w:rPr>
                <w:sz w:val="20"/>
                <w:szCs w:val="20"/>
                <w:color w:val="auto"/>
              </w:rPr>
            </w:pPr>
            <w:r>
              <w:rPr>
                <w:rFonts w:ascii="Verdana" w:cs="Verdana" w:eastAsia="Verdana" w:hAnsi="Verdana"/>
                <w:sz w:val="16"/>
                <w:szCs w:val="16"/>
                <w:color w:val="131313"/>
              </w:rPr>
              <w:t>910,359</w:t>
            </w:r>
          </w:p>
        </w:tc>
      </w:tr>
      <w:tr>
        <w:trPr>
          <w:trHeight w:val="236"/>
        </w:trPr>
        <w:tc>
          <w:tcPr>
            <w:tcW w:w="6440" w:type="dxa"/>
            <w:vAlign w:val="bottom"/>
          </w:tcPr>
          <w:p>
            <w:pPr>
              <w:ind w:left="40"/>
              <w:spacing w:after="0"/>
              <w:rPr>
                <w:sz w:val="20"/>
                <w:szCs w:val="20"/>
                <w:color w:val="auto"/>
              </w:rPr>
            </w:pPr>
            <w:r>
              <w:rPr>
                <w:rFonts w:ascii="Verdana" w:cs="Verdana" w:eastAsia="Verdana" w:hAnsi="Verdana"/>
                <w:sz w:val="16"/>
                <w:szCs w:val="16"/>
                <w:color w:val="auto"/>
              </w:rPr>
              <w:t>Interest expense</w:t>
            </w:r>
          </w:p>
        </w:tc>
        <w:tc>
          <w:tcPr>
            <w:tcW w:w="1060" w:type="dxa"/>
            <w:vAlign w:val="bottom"/>
          </w:tcPr>
          <w:p>
            <w:pPr>
              <w:jc w:val="right"/>
              <w:ind w:right="63"/>
              <w:spacing w:after="0"/>
              <w:rPr>
                <w:sz w:val="20"/>
                <w:szCs w:val="20"/>
                <w:color w:val="auto"/>
              </w:rPr>
            </w:pPr>
            <w:r>
              <w:rPr>
                <w:rFonts w:ascii="Verdana" w:cs="Verdana" w:eastAsia="Verdana" w:hAnsi="Verdana"/>
                <w:sz w:val="16"/>
                <w:szCs w:val="16"/>
                <w:color w:val="214E93"/>
              </w:rPr>
              <w:t>208,520</w:t>
            </w:r>
          </w:p>
        </w:tc>
        <w:tc>
          <w:tcPr>
            <w:tcW w:w="1060" w:type="dxa"/>
            <w:vAlign w:val="bottom"/>
          </w:tcPr>
          <w:p>
            <w:pPr>
              <w:jc w:val="right"/>
              <w:ind w:right="62"/>
              <w:spacing w:after="0"/>
              <w:rPr>
                <w:sz w:val="20"/>
                <w:szCs w:val="20"/>
                <w:color w:val="auto"/>
              </w:rPr>
            </w:pPr>
            <w:r>
              <w:rPr>
                <w:rFonts w:ascii="Verdana" w:cs="Verdana" w:eastAsia="Verdana" w:hAnsi="Verdana"/>
                <w:sz w:val="16"/>
                <w:szCs w:val="16"/>
                <w:color w:val="131313"/>
              </w:rPr>
              <w:t>171,687</w:t>
            </w:r>
          </w:p>
        </w:tc>
        <w:tc>
          <w:tcPr>
            <w:tcW w:w="1000" w:type="dxa"/>
            <w:vAlign w:val="bottom"/>
          </w:tcPr>
          <w:p>
            <w:pPr>
              <w:jc w:val="right"/>
              <w:ind w:right="2"/>
              <w:spacing w:after="0"/>
              <w:rPr>
                <w:sz w:val="20"/>
                <w:szCs w:val="20"/>
                <w:color w:val="auto"/>
              </w:rPr>
            </w:pPr>
            <w:r>
              <w:rPr>
                <w:rFonts w:ascii="Verdana" w:cs="Verdana" w:eastAsia="Verdana" w:hAnsi="Verdana"/>
                <w:sz w:val="16"/>
                <w:szCs w:val="16"/>
                <w:color w:val="131313"/>
              </w:rPr>
              <w:t>121,520</w:t>
            </w:r>
          </w:p>
        </w:tc>
      </w:tr>
      <w:tr>
        <w:trPr>
          <w:trHeight w:val="236"/>
        </w:trPr>
        <w:tc>
          <w:tcPr>
            <w:tcW w:w="6440" w:type="dxa"/>
            <w:vAlign w:val="bottom"/>
          </w:tcPr>
          <w:p>
            <w:pPr>
              <w:ind w:left="40"/>
              <w:spacing w:after="0"/>
              <w:rPr>
                <w:sz w:val="20"/>
                <w:szCs w:val="20"/>
                <w:color w:val="auto"/>
              </w:rPr>
            </w:pPr>
            <w:r>
              <w:rPr>
                <w:rFonts w:ascii="Verdana" w:cs="Verdana" w:eastAsia="Verdana" w:hAnsi="Verdana"/>
                <w:sz w:val="16"/>
                <w:szCs w:val="16"/>
                <w:color w:val="auto"/>
              </w:rPr>
              <w:t>Total income tax provision</w:t>
            </w:r>
          </w:p>
        </w:tc>
        <w:tc>
          <w:tcPr>
            <w:tcW w:w="1060" w:type="dxa"/>
            <w:vAlign w:val="bottom"/>
          </w:tcPr>
          <w:p>
            <w:pPr>
              <w:jc w:val="right"/>
              <w:ind w:right="63"/>
              <w:spacing w:after="0"/>
              <w:rPr>
                <w:sz w:val="20"/>
                <w:szCs w:val="20"/>
                <w:color w:val="auto"/>
              </w:rPr>
            </w:pPr>
            <w:r>
              <w:rPr>
                <w:rFonts w:ascii="Verdana" w:cs="Verdana" w:eastAsia="Verdana" w:hAnsi="Verdana"/>
                <w:sz w:val="16"/>
                <w:szCs w:val="16"/>
                <w:color w:val="214E93"/>
              </w:rPr>
              <w:t>172,675</w:t>
            </w:r>
          </w:p>
        </w:tc>
        <w:tc>
          <w:tcPr>
            <w:tcW w:w="1060" w:type="dxa"/>
            <w:vAlign w:val="bottom"/>
          </w:tcPr>
          <w:p>
            <w:pPr>
              <w:jc w:val="right"/>
              <w:ind w:right="62"/>
              <w:spacing w:after="0"/>
              <w:rPr>
                <w:sz w:val="20"/>
                <w:szCs w:val="20"/>
                <w:color w:val="auto"/>
              </w:rPr>
            </w:pPr>
            <w:r>
              <w:rPr>
                <w:rFonts w:ascii="Verdana" w:cs="Verdana" w:eastAsia="Verdana" w:hAnsi="Verdana"/>
                <w:sz w:val="16"/>
                <w:szCs w:val="16"/>
                <w:color w:val="131313"/>
              </w:rPr>
              <w:t>292,364</w:t>
            </w:r>
          </w:p>
        </w:tc>
        <w:tc>
          <w:tcPr>
            <w:tcW w:w="1000" w:type="dxa"/>
            <w:vAlign w:val="bottom"/>
          </w:tcPr>
          <w:p>
            <w:pPr>
              <w:jc w:val="right"/>
              <w:ind w:right="2"/>
              <w:spacing w:after="0"/>
              <w:rPr>
                <w:sz w:val="20"/>
                <w:szCs w:val="20"/>
                <w:color w:val="auto"/>
              </w:rPr>
            </w:pPr>
            <w:r>
              <w:rPr>
                <w:rFonts w:ascii="Verdana" w:cs="Verdana" w:eastAsia="Verdana" w:hAnsi="Verdana"/>
                <w:sz w:val="16"/>
                <w:szCs w:val="16"/>
                <w:color w:val="131313"/>
              </w:rPr>
              <w:t>186,026</w:t>
            </w:r>
          </w:p>
        </w:tc>
      </w:tr>
      <w:tr>
        <w:trPr>
          <w:trHeight w:val="236"/>
        </w:trPr>
        <w:tc>
          <w:tcPr>
            <w:tcW w:w="6440" w:type="dxa"/>
            <w:vAlign w:val="bottom"/>
          </w:tcPr>
          <w:p>
            <w:pPr>
              <w:ind w:left="40"/>
              <w:spacing w:after="0"/>
              <w:rPr>
                <w:sz w:val="20"/>
                <w:szCs w:val="20"/>
                <w:color w:val="auto"/>
              </w:rPr>
            </w:pPr>
            <w:r>
              <w:rPr>
                <w:rFonts w:ascii="Verdana" w:cs="Verdana" w:eastAsia="Verdana" w:hAnsi="Verdana"/>
                <w:sz w:val="16"/>
                <w:szCs w:val="16"/>
                <w:color w:val="auto"/>
              </w:rPr>
              <w:t>Depletion, depreciation and amortization</w:t>
            </w:r>
          </w:p>
        </w:tc>
        <w:tc>
          <w:tcPr>
            <w:tcW w:w="1060" w:type="dxa"/>
            <w:vAlign w:val="bottom"/>
          </w:tcPr>
          <w:p>
            <w:pPr>
              <w:jc w:val="right"/>
              <w:ind w:right="63"/>
              <w:spacing w:after="0"/>
              <w:rPr>
                <w:sz w:val="20"/>
                <w:szCs w:val="20"/>
                <w:color w:val="auto"/>
              </w:rPr>
            </w:pPr>
            <w:r>
              <w:rPr>
                <w:rFonts w:ascii="Verdana" w:cs="Verdana" w:eastAsia="Verdana" w:hAnsi="Verdana"/>
                <w:sz w:val="16"/>
                <w:szCs w:val="16"/>
                <w:color w:val="214E93"/>
              </w:rPr>
              <w:t>1,195,358</w:t>
            </w:r>
          </w:p>
        </w:tc>
        <w:tc>
          <w:tcPr>
            <w:tcW w:w="1060" w:type="dxa"/>
            <w:vAlign w:val="bottom"/>
          </w:tcPr>
          <w:p>
            <w:pPr>
              <w:jc w:val="right"/>
              <w:ind w:right="62"/>
              <w:spacing w:after="0"/>
              <w:rPr>
                <w:sz w:val="20"/>
                <w:szCs w:val="20"/>
                <w:color w:val="auto"/>
              </w:rPr>
            </w:pPr>
            <w:r>
              <w:rPr>
                <w:rFonts w:ascii="Verdana" w:cs="Verdana" w:eastAsia="Verdana" w:hAnsi="Verdana"/>
                <w:sz w:val="16"/>
                <w:szCs w:val="16"/>
                <w:color w:val="131313"/>
              </w:rPr>
              <w:t>974,300</w:t>
            </w:r>
          </w:p>
        </w:tc>
        <w:tc>
          <w:tcPr>
            <w:tcW w:w="1000" w:type="dxa"/>
            <w:vAlign w:val="bottom"/>
          </w:tcPr>
          <w:p>
            <w:pPr>
              <w:jc w:val="right"/>
              <w:ind w:right="2"/>
              <w:spacing w:after="0"/>
              <w:rPr>
                <w:sz w:val="20"/>
                <w:szCs w:val="20"/>
                <w:color w:val="auto"/>
              </w:rPr>
            </w:pPr>
            <w:r>
              <w:rPr>
                <w:rFonts w:ascii="Verdana" w:cs="Verdana" w:eastAsia="Verdana" w:hAnsi="Verdana"/>
                <w:sz w:val="16"/>
                <w:szCs w:val="16"/>
                <w:color w:val="131313"/>
              </w:rPr>
              <w:t>716,688</w:t>
            </w:r>
          </w:p>
        </w:tc>
      </w:tr>
      <w:tr>
        <w:trPr>
          <w:trHeight w:val="236"/>
        </w:trPr>
        <w:tc>
          <w:tcPr>
            <w:tcW w:w="6440" w:type="dxa"/>
            <w:vAlign w:val="bottom"/>
          </w:tcPr>
          <w:p>
            <w:pPr>
              <w:ind w:left="40"/>
              <w:spacing w:after="0"/>
              <w:rPr>
                <w:sz w:val="20"/>
                <w:szCs w:val="20"/>
                <w:color w:val="auto"/>
              </w:rPr>
            </w:pPr>
            <w:r>
              <w:rPr>
                <w:rFonts w:ascii="Verdana" w:cs="Verdana" w:eastAsia="Verdana" w:hAnsi="Verdana"/>
                <w:sz w:val="16"/>
                <w:szCs w:val="16"/>
                <w:color w:val="auto"/>
              </w:rPr>
              <w:t>Accretion of asset retirement obligations</w:t>
            </w:r>
          </w:p>
        </w:tc>
        <w:tc>
          <w:tcPr>
            <w:tcW w:w="1060" w:type="dxa"/>
            <w:vAlign w:val="bottom"/>
          </w:tcPr>
          <w:p>
            <w:pPr>
              <w:jc w:val="right"/>
              <w:ind w:right="63"/>
              <w:spacing w:after="0"/>
              <w:rPr>
                <w:sz w:val="20"/>
                <w:szCs w:val="20"/>
                <w:color w:val="auto"/>
              </w:rPr>
            </w:pPr>
            <w:r>
              <w:rPr>
                <w:rFonts w:ascii="Verdana" w:cs="Verdana" w:eastAsia="Verdana" w:hAnsi="Verdana"/>
                <w:sz w:val="16"/>
                <w:szCs w:val="16"/>
                <w:color w:val="214E93"/>
              </w:rPr>
              <w:t>7,846</w:t>
            </w:r>
          </w:p>
        </w:tc>
        <w:tc>
          <w:tcPr>
            <w:tcW w:w="1060" w:type="dxa"/>
            <w:vAlign w:val="bottom"/>
          </w:tcPr>
          <w:p>
            <w:pPr>
              <w:jc w:val="right"/>
              <w:ind w:right="62"/>
              <w:spacing w:after="0"/>
              <w:rPr>
                <w:sz w:val="20"/>
                <w:szCs w:val="20"/>
                <w:color w:val="auto"/>
              </w:rPr>
            </w:pPr>
            <w:r>
              <w:rPr>
                <w:rFonts w:ascii="Verdana" w:cs="Verdana" w:eastAsia="Verdana" w:hAnsi="Verdana"/>
                <w:sz w:val="16"/>
                <w:szCs w:val="16"/>
                <w:color w:val="131313"/>
              </w:rPr>
              <w:t>6,027</w:t>
            </w:r>
          </w:p>
        </w:tc>
        <w:tc>
          <w:tcPr>
            <w:tcW w:w="1000" w:type="dxa"/>
            <w:vAlign w:val="bottom"/>
          </w:tcPr>
          <w:p>
            <w:pPr>
              <w:jc w:val="right"/>
              <w:ind w:right="2"/>
              <w:spacing w:after="0"/>
              <w:rPr>
                <w:sz w:val="20"/>
                <w:szCs w:val="20"/>
                <w:color w:val="auto"/>
              </w:rPr>
            </w:pPr>
            <w:r>
              <w:rPr>
                <w:rFonts w:ascii="Verdana" w:cs="Verdana" w:eastAsia="Verdana" w:hAnsi="Verdana"/>
                <w:sz w:val="16"/>
                <w:szCs w:val="16"/>
                <w:color w:val="131313"/>
              </w:rPr>
              <w:t>3,943</w:t>
            </w:r>
          </w:p>
        </w:tc>
      </w:tr>
      <w:tr>
        <w:trPr>
          <w:trHeight w:val="236"/>
        </w:trPr>
        <w:tc>
          <w:tcPr>
            <w:tcW w:w="6440" w:type="dxa"/>
            <w:vAlign w:val="bottom"/>
          </w:tcPr>
          <w:p>
            <w:pPr>
              <w:ind w:left="40"/>
              <w:spacing w:after="0"/>
              <w:rPr>
                <w:sz w:val="20"/>
                <w:szCs w:val="20"/>
                <w:color w:val="auto"/>
              </w:rPr>
            </w:pPr>
            <w:r>
              <w:rPr>
                <w:rFonts w:ascii="Verdana" w:cs="Verdana" w:eastAsia="Verdana" w:hAnsi="Verdana"/>
                <w:sz w:val="16"/>
                <w:szCs w:val="16"/>
                <w:color w:val="auto"/>
              </w:rPr>
              <w:t>Unrealized (gain) loss on derivatives</w:t>
            </w:r>
          </w:p>
        </w:tc>
        <w:tc>
          <w:tcPr>
            <w:tcW w:w="1060" w:type="dxa"/>
            <w:vAlign w:val="bottom"/>
          </w:tcPr>
          <w:p>
            <w:pPr>
              <w:jc w:val="right"/>
              <w:ind w:right="3"/>
              <w:spacing w:after="0"/>
              <w:rPr>
                <w:sz w:val="20"/>
                <w:szCs w:val="20"/>
                <w:color w:val="auto"/>
              </w:rPr>
            </w:pPr>
            <w:r>
              <w:rPr>
                <w:rFonts w:ascii="Verdana" w:cs="Verdana" w:eastAsia="Verdana" w:hAnsi="Verdana"/>
                <w:sz w:val="16"/>
                <w:szCs w:val="16"/>
                <w:color w:val="214E93"/>
              </w:rPr>
              <w:t>(18,084)</w:t>
            </w:r>
          </w:p>
        </w:tc>
        <w:tc>
          <w:tcPr>
            <w:tcW w:w="1060" w:type="dxa"/>
            <w:vAlign w:val="bottom"/>
          </w:tcPr>
          <w:p>
            <w:pPr>
              <w:jc w:val="right"/>
              <w:ind w:right="2"/>
              <w:spacing w:after="0"/>
              <w:rPr>
                <w:sz w:val="20"/>
                <w:szCs w:val="20"/>
                <w:color w:val="auto"/>
              </w:rPr>
            </w:pPr>
            <w:r>
              <w:rPr>
                <w:rFonts w:ascii="Verdana" w:cs="Verdana" w:eastAsia="Verdana" w:hAnsi="Verdana"/>
                <w:sz w:val="16"/>
                <w:szCs w:val="16"/>
                <w:color w:val="131313"/>
              </w:rPr>
              <w:t>(13,299)</w:t>
            </w:r>
          </w:p>
        </w:tc>
        <w:tc>
          <w:tcPr>
            <w:tcW w:w="1000" w:type="dxa"/>
            <w:vAlign w:val="bottom"/>
          </w:tcPr>
          <w:p>
            <w:pPr>
              <w:jc w:val="right"/>
              <w:ind w:right="2"/>
              <w:spacing w:after="0"/>
              <w:rPr>
                <w:sz w:val="20"/>
                <w:szCs w:val="20"/>
                <w:color w:val="auto"/>
              </w:rPr>
            </w:pPr>
            <w:r>
              <w:rPr>
                <w:rFonts w:ascii="Verdana" w:cs="Verdana" w:eastAsia="Verdana" w:hAnsi="Verdana"/>
                <w:sz w:val="16"/>
                <w:szCs w:val="16"/>
                <w:color w:val="131313"/>
              </w:rPr>
              <w:t>1,261</w:t>
            </w:r>
          </w:p>
        </w:tc>
      </w:tr>
      <w:tr>
        <w:trPr>
          <w:trHeight w:val="236"/>
        </w:trPr>
        <w:tc>
          <w:tcPr>
            <w:tcW w:w="6440" w:type="dxa"/>
            <w:vAlign w:val="bottom"/>
          </w:tcPr>
          <w:p>
            <w:pPr>
              <w:ind w:left="40"/>
              <w:spacing w:after="0"/>
              <w:rPr>
                <w:sz w:val="20"/>
                <w:szCs w:val="20"/>
                <w:color w:val="auto"/>
              </w:rPr>
            </w:pPr>
            <w:r>
              <w:rPr>
                <w:rFonts w:ascii="Verdana" w:cs="Verdana" w:eastAsia="Verdana" w:hAnsi="Verdana"/>
                <w:sz w:val="16"/>
                <w:szCs w:val="16"/>
                <w:color w:val="auto"/>
              </w:rPr>
              <w:t>Non-cash stock-based compensation expense</w:t>
            </w:r>
          </w:p>
        </w:tc>
        <w:tc>
          <w:tcPr>
            <w:tcW w:w="1060" w:type="dxa"/>
            <w:vAlign w:val="bottom"/>
          </w:tcPr>
          <w:p>
            <w:pPr>
              <w:jc w:val="right"/>
              <w:ind w:right="63"/>
              <w:spacing w:after="0"/>
              <w:rPr>
                <w:sz w:val="20"/>
                <w:szCs w:val="20"/>
                <w:color w:val="auto"/>
              </w:rPr>
            </w:pPr>
            <w:r>
              <w:rPr>
                <w:rFonts w:ascii="Verdana" w:cs="Verdana" w:eastAsia="Verdana" w:hAnsi="Verdana"/>
                <w:sz w:val="16"/>
                <w:szCs w:val="16"/>
                <w:color w:val="214E93"/>
              </w:rPr>
              <w:t>18,327</w:t>
            </w:r>
          </w:p>
        </w:tc>
        <w:tc>
          <w:tcPr>
            <w:tcW w:w="1060" w:type="dxa"/>
            <w:vAlign w:val="bottom"/>
          </w:tcPr>
          <w:p>
            <w:pPr>
              <w:jc w:val="right"/>
              <w:ind w:right="62"/>
              <w:spacing w:after="0"/>
              <w:rPr>
                <w:sz w:val="20"/>
                <w:szCs w:val="20"/>
                <w:color w:val="auto"/>
              </w:rPr>
            </w:pPr>
            <w:r>
              <w:rPr>
                <w:rFonts w:ascii="Verdana" w:cs="Verdana" w:eastAsia="Verdana" w:hAnsi="Verdana"/>
                <w:sz w:val="16"/>
                <w:szCs w:val="16"/>
                <w:color w:val="131313"/>
              </w:rPr>
              <w:t>14,982</w:t>
            </w:r>
          </w:p>
        </w:tc>
        <w:tc>
          <w:tcPr>
            <w:tcW w:w="1000" w:type="dxa"/>
            <w:vAlign w:val="bottom"/>
          </w:tcPr>
          <w:p>
            <w:pPr>
              <w:jc w:val="right"/>
              <w:ind w:right="2"/>
              <w:spacing w:after="0"/>
              <w:rPr>
                <w:sz w:val="20"/>
                <w:szCs w:val="20"/>
                <w:color w:val="auto"/>
              </w:rPr>
            </w:pPr>
            <w:r>
              <w:rPr>
                <w:rFonts w:ascii="Verdana" w:cs="Verdana" w:eastAsia="Verdana" w:hAnsi="Verdana"/>
                <w:sz w:val="16"/>
                <w:szCs w:val="16"/>
                <w:color w:val="131313"/>
              </w:rPr>
              <w:t>13,661</w:t>
            </w:r>
          </w:p>
        </w:tc>
      </w:tr>
      <w:tr>
        <w:trPr>
          <w:trHeight w:val="236"/>
        </w:trPr>
        <w:tc>
          <w:tcPr>
            <w:tcW w:w="6440" w:type="dxa"/>
            <w:vAlign w:val="bottom"/>
          </w:tcPr>
          <w:p>
            <w:pPr>
              <w:ind w:left="40"/>
              <w:spacing w:after="0"/>
              <w:rPr>
                <w:sz w:val="20"/>
                <w:szCs w:val="20"/>
                <w:color w:val="auto"/>
              </w:rPr>
            </w:pPr>
            <w:r>
              <w:rPr>
                <w:rFonts w:ascii="Verdana" w:cs="Verdana" w:eastAsia="Verdana" w:hAnsi="Verdana"/>
                <w:sz w:val="16"/>
                <w:szCs w:val="16"/>
                <w:color w:val="auto"/>
              </w:rPr>
              <w:t>Net loss on impairment</w:t>
            </w:r>
          </w:p>
        </w:tc>
        <w:tc>
          <w:tcPr>
            <w:tcW w:w="1060" w:type="dxa"/>
            <w:vAlign w:val="bottom"/>
          </w:tcPr>
          <w:p>
            <w:pPr>
              <w:jc w:val="right"/>
              <w:ind w:right="63"/>
              <w:spacing w:after="0"/>
              <w:rPr>
                <w:sz w:val="20"/>
                <w:szCs w:val="20"/>
                <w:color w:val="auto"/>
              </w:rPr>
            </w:pPr>
            <w:r>
              <w:rPr>
                <w:rFonts w:ascii="Verdana" w:cs="Verdana" w:eastAsia="Verdana" w:hAnsi="Verdana"/>
                <w:sz w:val="16"/>
                <w:szCs w:val="16"/>
                <w:color w:val="214E93"/>
              </w:rPr>
              <w:t>589</w:t>
            </w:r>
          </w:p>
        </w:tc>
        <w:tc>
          <w:tcPr>
            <w:tcW w:w="1060" w:type="dxa"/>
            <w:vAlign w:val="bottom"/>
          </w:tcPr>
          <w:p>
            <w:pPr>
              <w:jc w:val="right"/>
              <w:ind w:right="62"/>
              <w:spacing w:after="0"/>
              <w:rPr>
                <w:sz w:val="20"/>
                <w:szCs w:val="20"/>
                <w:color w:val="auto"/>
              </w:rPr>
            </w:pPr>
            <w:r>
              <w:rPr>
                <w:rFonts w:ascii="Verdana" w:cs="Verdana" w:eastAsia="Verdana" w:hAnsi="Verdana"/>
                <w:sz w:val="16"/>
                <w:szCs w:val="16"/>
                <w:color w:val="131313"/>
              </w:rPr>
              <w:t>—</w:t>
            </w:r>
          </w:p>
        </w:tc>
        <w:tc>
          <w:tcPr>
            <w:tcW w:w="1000" w:type="dxa"/>
            <w:vAlign w:val="bottom"/>
          </w:tcPr>
          <w:p>
            <w:pPr>
              <w:jc w:val="right"/>
              <w:ind w:right="2"/>
              <w:spacing w:after="0"/>
              <w:rPr>
                <w:sz w:val="20"/>
                <w:szCs w:val="20"/>
                <w:color w:val="auto"/>
              </w:rPr>
            </w:pPr>
            <w:r>
              <w:rPr>
                <w:rFonts w:ascii="Verdana" w:cs="Verdana" w:eastAsia="Verdana" w:hAnsi="Verdana"/>
                <w:sz w:val="16"/>
                <w:szCs w:val="16"/>
                <w:color w:val="131313"/>
              </w:rPr>
              <w:t>202</w:t>
            </w:r>
          </w:p>
        </w:tc>
      </w:tr>
      <w:tr>
        <w:trPr>
          <w:trHeight w:val="242"/>
        </w:trPr>
        <w:tc>
          <w:tcPr>
            <w:tcW w:w="644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(Income) expense related to contingent consideration and other</w:t>
            </w:r>
          </w:p>
        </w:tc>
        <w:tc>
          <w:tcPr>
            <w:tcW w:w="1060" w:type="dxa"/>
            <w:vAlign w:val="bottom"/>
            <w:tcBorders>
              <w:bottom w:val="single" w:sz="8" w:color="auto"/>
            </w:tcBorders>
          </w:tcPr>
          <w:p>
            <w:pPr>
              <w:jc w:val="right"/>
              <w:ind w:right="3"/>
              <w:spacing w:after="0"/>
              <w:rPr>
                <w:sz w:val="20"/>
                <w:szCs w:val="20"/>
                <w:color w:val="auto"/>
              </w:rPr>
            </w:pPr>
            <w:r>
              <w:rPr>
                <w:rFonts w:ascii="Verdana" w:cs="Verdana" w:eastAsia="Verdana" w:hAnsi="Verdana"/>
                <w:sz w:val="16"/>
                <w:szCs w:val="16"/>
                <w:color w:val="214E93"/>
              </w:rPr>
              <w:t>(7,338)</w:t>
            </w:r>
          </w:p>
        </w:tc>
        <w:tc>
          <w:tcPr>
            <w:tcW w:w="1060" w:type="dxa"/>
            <w:vAlign w:val="bottom"/>
            <w:tcBorders>
              <w:bottom w:val="single" w:sz="8" w:color="auto"/>
            </w:tcBorders>
          </w:tcPr>
          <w:p>
            <w:pPr>
              <w:jc w:val="right"/>
              <w:ind w:right="62"/>
              <w:spacing w:after="0"/>
              <w:rPr>
                <w:sz w:val="20"/>
                <w:szCs w:val="20"/>
                <w:color w:val="auto"/>
              </w:rPr>
            </w:pPr>
            <w:r>
              <w:rPr>
                <w:rFonts w:ascii="Verdana" w:cs="Verdana" w:eastAsia="Verdana" w:hAnsi="Verdana"/>
                <w:sz w:val="16"/>
                <w:szCs w:val="16"/>
                <w:color w:val="131313"/>
              </w:rPr>
              <w:t>5,420</w:t>
            </w: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131313"/>
              </w:rPr>
              <w:t>(6,038)</w:t>
            </w:r>
          </w:p>
        </w:tc>
      </w:tr>
      <w:tr>
        <w:trPr>
          <w:trHeight w:val="211"/>
        </w:trPr>
        <w:tc>
          <w:tcPr>
            <w:tcW w:w="6440" w:type="dxa"/>
            <w:vAlign w:val="bottom"/>
          </w:tcPr>
          <w:p>
            <w:pPr>
              <w:ind w:left="160"/>
              <w:spacing w:after="0"/>
              <w:rPr>
                <w:sz w:val="20"/>
                <w:szCs w:val="20"/>
                <w:color w:val="auto"/>
              </w:rPr>
            </w:pPr>
            <w:r>
              <w:rPr>
                <w:rFonts w:ascii="Verdana" w:cs="Verdana" w:eastAsia="Verdana" w:hAnsi="Verdana"/>
                <w:sz w:val="16"/>
                <w:szCs w:val="16"/>
                <w:color w:val="auto"/>
              </w:rPr>
              <w:t>Consolidated Adjusted EBITDA</w:t>
            </w:r>
          </w:p>
        </w:tc>
        <w:tc>
          <w:tcPr>
            <w:tcW w:w="1060" w:type="dxa"/>
            <w:vAlign w:val="bottom"/>
          </w:tcPr>
          <w:p>
            <w:pPr>
              <w:jc w:val="right"/>
              <w:ind w:right="63"/>
              <w:spacing w:after="0"/>
              <w:rPr>
                <w:sz w:val="20"/>
                <w:szCs w:val="20"/>
                <w:color w:val="auto"/>
              </w:rPr>
            </w:pPr>
            <w:r>
              <w:rPr>
                <w:rFonts w:ascii="Verdana" w:cs="Verdana" w:eastAsia="Verdana" w:hAnsi="Verdana"/>
                <w:sz w:val="16"/>
                <w:szCs w:val="16"/>
                <w:color w:val="214E93"/>
              </w:rPr>
              <w:t>2,438,662</w:t>
            </w:r>
          </w:p>
        </w:tc>
        <w:tc>
          <w:tcPr>
            <w:tcW w:w="1060" w:type="dxa"/>
            <w:vAlign w:val="bottom"/>
          </w:tcPr>
          <w:p>
            <w:pPr>
              <w:jc w:val="right"/>
              <w:ind w:right="62"/>
              <w:spacing w:after="0"/>
              <w:rPr>
                <w:sz w:val="20"/>
                <w:szCs w:val="20"/>
                <w:color w:val="auto"/>
              </w:rPr>
            </w:pPr>
            <w:r>
              <w:rPr>
                <w:rFonts w:ascii="Verdana" w:cs="Verdana" w:eastAsia="Verdana" w:hAnsi="Verdana"/>
                <w:sz w:val="16"/>
                <w:szCs w:val="16"/>
                <w:color w:val="131313"/>
              </w:rPr>
              <w:t>2,422,824</w:t>
            </w:r>
          </w:p>
        </w:tc>
        <w:tc>
          <w:tcPr>
            <w:tcW w:w="1000" w:type="dxa"/>
            <w:vAlign w:val="bottom"/>
          </w:tcPr>
          <w:p>
            <w:pPr>
              <w:jc w:val="right"/>
              <w:ind w:right="2"/>
              <w:spacing w:after="0"/>
              <w:rPr>
                <w:sz w:val="20"/>
                <w:szCs w:val="20"/>
                <w:color w:val="auto"/>
              </w:rPr>
            </w:pPr>
            <w:r>
              <w:rPr>
                <w:rFonts w:ascii="Verdana" w:cs="Verdana" w:eastAsia="Verdana" w:hAnsi="Verdana"/>
                <w:sz w:val="16"/>
                <w:szCs w:val="16"/>
                <w:color w:val="131313"/>
              </w:rPr>
              <w:t>1,947,622</w:t>
            </w:r>
          </w:p>
        </w:tc>
      </w:tr>
      <w:tr>
        <w:trPr>
          <w:trHeight w:val="242"/>
        </w:trPr>
        <w:tc>
          <w:tcPr>
            <w:tcW w:w="644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Adjusted EBITDA attributable to non-controlling interest in subsidiaries</w:t>
            </w:r>
          </w:p>
        </w:tc>
        <w:tc>
          <w:tcPr>
            <w:tcW w:w="1060" w:type="dxa"/>
            <w:vAlign w:val="bottom"/>
            <w:tcBorders>
              <w:bottom w:val="single" w:sz="8" w:color="auto"/>
            </w:tcBorders>
          </w:tcPr>
          <w:p>
            <w:pPr>
              <w:jc w:val="right"/>
              <w:ind w:right="3"/>
              <w:spacing w:after="0"/>
              <w:rPr>
                <w:sz w:val="20"/>
                <w:szCs w:val="20"/>
                <w:color w:val="auto"/>
              </w:rPr>
            </w:pPr>
            <w:r>
              <w:rPr>
                <w:rFonts w:ascii="Verdana" w:cs="Verdana" w:eastAsia="Verdana" w:hAnsi="Verdana"/>
                <w:sz w:val="16"/>
                <w:szCs w:val="16"/>
                <w:color w:val="214E93"/>
              </w:rPr>
              <w:t>(144,111)</w:t>
            </w:r>
          </w:p>
        </w:tc>
        <w:tc>
          <w:tcPr>
            <w:tcW w:w="106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131313"/>
              </w:rPr>
              <w:t>(124,047)</w:t>
            </w: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131313"/>
              </w:rPr>
              <w:t>(98,075)</w:t>
            </w:r>
          </w:p>
        </w:tc>
      </w:tr>
      <w:tr>
        <w:trPr>
          <w:trHeight w:val="217"/>
        </w:trPr>
        <w:tc>
          <w:tcPr>
            <w:tcW w:w="6440" w:type="dxa"/>
            <w:vAlign w:val="bottom"/>
            <w:tcBorders>
              <w:bottom w:val="single" w:sz="8" w:color="214E93"/>
            </w:tcBorders>
          </w:tcPr>
          <w:p>
            <w:pPr>
              <w:ind w:left="160"/>
              <w:spacing w:after="0"/>
              <w:rPr>
                <w:sz w:val="20"/>
                <w:szCs w:val="20"/>
                <w:color w:val="auto"/>
              </w:rPr>
            </w:pPr>
            <w:r>
              <w:rPr>
                <w:rFonts w:ascii="Verdana" w:cs="Verdana" w:eastAsia="Verdana" w:hAnsi="Verdana"/>
                <w:sz w:val="16"/>
                <w:szCs w:val="16"/>
                <w:color w:val="auto"/>
              </w:rPr>
              <w:t>Adjusted EBITDA attributable to Matador Resources Company shareholders</w:t>
            </w:r>
          </w:p>
        </w:tc>
        <w:tc>
          <w:tcPr>
            <w:tcW w:w="1060" w:type="dxa"/>
            <w:vAlign w:val="bottom"/>
            <w:tcBorders>
              <w:bottom w:val="single" w:sz="8" w:color="214E93"/>
            </w:tcBorders>
          </w:tcPr>
          <w:p>
            <w:pPr>
              <w:jc w:val="right"/>
              <w:ind w:right="23"/>
              <w:spacing w:after="0"/>
              <w:rPr>
                <w:sz w:val="20"/>
                <w:szCs w:val="20"/>
                <w:color w:val="auto"/>
              </w:rPr>
            </w:pPr>
            <w:r>
              <w:rPr>
                <w:rFonts w:ascii="Verdana" w:cs="Verdana" w:eastAsia="Verdana" w:hAnsi="Verdana"/>
                <w:sz w:val="16"/>
                <w:szCs w:val="16"/>
                <w:color w:val="214E93"/>
              </w:rPr>
              <w:t>$2,294,551</w:t>
            </w:r>
          </w:p>
        </w:tc>
        <w:tc>
          <w:tcPr>
            <w:tcW w:w="1060" w:type="dxa"/>
            <w:vAlign w:val="bottom"/>
            <w:tcBorders>
              <w:bottom w:val="single" w:sz="8" w:color="214E93"/>
            </w:tcBorders>
          </w:tcPr>
          <w:p>
            <w:pPr>
              <w:jc w:val="center"/>
              <w:spacing w:after="0"/>
              <w:rPr>
                <w:sz w:val="20"/>
                <w:szCs w:val="20"/>
                <w:color w:val="auto"/>
              </w:rPr>
            </w:pPr>
            <w:r>
              <w:rPr>
                <w:rFonts w:ascii="Verdana" w:cs="Verdana" w:eastAsia="Verdana" w:hAnsi="Verdana"/>
                <w:sz w:val="16"/>
                <w:szCs w:val="16"/>
                <w:color w:val="131313"/>
                <w:w w:val="98"/>
              </w:rPr>
              <w:t>$2,298,777</w:t>
            </w:r>
          </w:p>
        </w:tc>
        <w:tc>
          <w:tcPr>
            <w:tcW w:w="1000" w:type="dxa"/>
            <w:vAlign w:val="bottom"/>
            <w:tcBorders>
              <w:bottom w:val="single" w:sz="8" w:color="214E93"/>
            </w:tcBorders>
          </w:tcPr>
          <w:p>
            <w:pPr>
              <w:jc w:val="center"/>
              <w:spacing w:after="0"/>
              <w:rPr>
                <w:sz w:val="20"/>
                <w:szCs w:val="20"/>
                <w:color w:val="auto"/>
              </w:rPr>
            </w:pPr>
            <w:r>
              <w:rPr>
                <w:rFonts w:ascii="Verdana" w:cs="Verdana" w:eastAsia="Verdana" w:hAnsi="Verdana"/>
                <w:sz w:val="16"/>
                <w:szCs w:val="16"/>
                <w:color w:val="131313"/>
                <w:w w:val="98"/>
              </w:rPr>
              <w:t>$1,849,547</w:t>
            </w:r>
          </w:p>
        </w:tc>
      </w:tr>
      <w:tr>
        <w:trPr>
          <w:trHeight w:val="536"/>
        </w:trPr>
        <w:tc>
          <w:tcPr>
            <w:tcW w:w="6440" w:type="dxa"/>
            <w:vAlign w:val="bottom"/>
          </w:tcPr>
          <w:p>
            <w:pPr>
              <w:spacing w:after="0"/>
              <w:rPr>
                <w:sz w:val="24"/>
                <w:szCs w:val="24"/>
                <w:color w:val="auto"/>
              </w:rPr>
            </w:pPr>
          </w:p>
        </w:tc>
        <w:tc>
          <w:tcPr>
            <w:tcW w:w="3120" w:type="dxa"/>
            <w:vAlign w:val="bottom"/>
            <w:tcBorders>
              <w:bottom w:val="single" w:sz="8" w:color="214E93"/>
            </w:tcBorders>
            <w:gridSpan w:val="3"/>
          </w:tcPr>
          <w:p>
            <w:pPr>
              <w:jc w:val="center"/>
              <w:spacing w:after="0"/>
              <w:rPr>
                <w:sz w:val="20"/>
                <w:szCs w:val="20"/>
                <w:color w:val="auto"/>
              </w:rPr>
            </w:pPr>
            <w:r>
              <w:rPr>
                <w:rFonts w:ascii="Verdana" w:cs="Verdana" w:eastAsia="Verdana" w:hAnsi="Verdana"/>
                <w:sz w:val="14"/>
                <w:szCs w:val="14"/>
                <w:color w:val="auto"/>
                <w:w w:val="98"/>
              </w:rPr>
              <w:t>Year Ended December 31,</w:t>
            </w:r>
          </w:p>
        </w:tc>
      </w:tr>
      <w:tr>
        <w:trPr>
          <w:trHeight w:val="201"/>
        </w:trPr>
        <w:tc>
          <w:tcPr>
            <w:tcW w:w="6440" w:type="dxa"/>
            <w:vAlign w:val="bottom"/>
            <w:tcBorders>
              <w:bottom w:val="single" w:sz="8" w:color="214E93"/>
            </w:tcBorders>
          </w:tcPr>
          <w:p>
            <w:pPr>
              <w:spacing w:after="0"/>
              <w:rPr>
                <w:sz w:val="17"/>
                <w:szCs w:val="17"/>
                <w:color w:val="auto"/>
              </w:rPr>
            </w:pPr>
          </w:p>
        </w:tc>
        <w:tc>
          <w:tcPr>
            <w:tcW w:w="1060" w:type="dxa"/>
            <w:vAlign w:val="bottom"/>
            <w:tcBorders>
              <w:bottom w:val="single" w:sz="8" w:color="214E93"/>
            </w:tcBorders>
          </w:tcPr>
          <w:p>
            <w:pPr>
              <w:jc w:val="right"/>
              <w:ind w:right="303"/>
              <w:spacing w:after="0"/>
              <w:rPr>
                <w:sz w:val="20"/>
                <w:szCs w:val="20"/>
                <w:color w:val="auto"/>
              </w:rPr>
            </w:pPr>
            <w:r>
              <w:rPr>
                <w:rFonts w:ascii="Verdana" w:cs="Verdana" w:eastAsia="Verdana" w:hAnsi="Verdana"/>
                <w:sz w:val="14"/>
                <w:szCs w:val="14"/>
                <w:color w:val="214E93"/>
              </w:rPr>
              <w:t>2025</w:t>
            </w:r>
          </w:p>
        </w:tc>
        <w:tc>
          <w:tcPr>
            <w:tcW w:w="106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auto"/>
                <w:w w:val="95"/>
              </w:rPr>
              <w:t>2024</w:t>
            </w:r>
          </w:p>
        </w:tc>
        <w:tc>
          <w:tcPr>
            <w:tcW w:w="100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auto"/>
                <w:w w:val="95"/>
              </w:rPr>
              <w:t>2023</w:t>
            </w:r>
          </w:p>
        </w:tc>
      </w:tr>
      <w:tr>
        <w:trPr>
          <w:trHeight w:val="194"/>
        </w:trPr>
        <w:tc>
          <w:tcPr>
            <w:tcW w:w="6440" w:type="dxa"/>
            <w:vAlign w:val="bottom"/>
          </w:tcPr>
          <w:p>
            <w:pPr>
              <w:ind w:left="40"/>
              <w:spacing w:after="0"/>
              <w:rPr>
                <w:sz w:val="20"/>
                <w:szCs w:val="20"/>
                <w:color w:val="auto"/>
              </w:rPr>
            </w:pPr>
            <w:r>
              <w:rPr>
                <w:rFonts w:ascii="Verdana" w:cs="Verdana" w:eastAsia="Verdana" w:hAnsi="Verdana"/>
                <w:sz w:val="14"/>
                <w:szCs w:val="14"/>
                <w:i w:val="1"/>
                <w:iCs w:val="1"/>
                <w:color w:val="auto"/>
              </w:rPr>
              <w:t>(In thousands)</w:t>
            </w: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6"/>
        </w:trPr>
        <w:tc>
          <w:tcPr>
            <w:tcW w:w="6440" w:type="dxa"/>
            <w:vAlign w:val="bottom"/>
          </w:tcPr>
          <w:p>
            <w:pPr>
              <w:ind w:left="40"/>
              <w:spacing w:after="0"/>
              <w:rPr>
                <w:sz w:val="20"/>
                <w:szCs w:val="20"/>
                <w:color w:val="auto"/>
              </w:rPr>
            </w:pPr>
            <w:r>
              <w:rPr>
                <w:rFonts w:ascii="Calibri" w:cs="Calibri" w:eastAsia="Calibri" w:hAnsi="Calibri"/>
                <w:sz w:val="19"/>
                <w:szCs w:val="19"/>
                <w:b w:val="1"/>
                <w:bCs w:val="1"/>
                <w:color w:val="214E93"/>
              </w:rPr>
              <w:t>Unaudited Adjusted EBITDA Reconciliation to Net Cash Provided by Operating</w:t>
            </w: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24"/>
        </w:trPr>
        <w:tc>
          <w:tcPr>
            <w:tcW w:w="6440" w:type="dxa"/>
            <w:vAlign w:val="bottom"/>
          </w:tcPr>
          <w:p>
            <w:pPr>
              <w:ind w:left="40"/>
              <w:spacing w:after="0" w:line="225" w:lineRule="exact"/>
              <w:rPr>
                <w:sz w:val="20"/>
                <w:szCs w:val="20"/>
                <w:color w:val="auto"/>
              </w:rPr>
            </w:pPr>
            <w:r>
              <w:rPr>
                <w:rFonts w:ascii="Calibri" w:cs="Calibri" w:eastAsia="Calibri" w:hAnsi="Calibri"/>
                <w:sz w:val="19"/>
                <w:szCs w:val="19"/>
                <w:b w:val="1"/>
                <w:bCs w:val="1"/>
                <w:color w:val="214E93"/>
              </w:rPr>
              <w:t>Activities:</w:t>
            </w:r>
          </w:p>
        </w:tc>
        <w:tc>
          <w:tcPr>
            <w:tcW w:w="1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85"/>
        </w:trPr>
        <w:tc>
          <w:tcPr>
            <w:tcW w:w="6440" w:type="dxa"/>
            <w:vAlign w:val="bottom"/>
          </w:tcPr>
          <w:p>
            <w:pPr>
              <w:ind w:left="40"/>
              <w:spacing w:after="0"/>
              <w:rPr>
                <w:sz w:val="20"/>
                <w:szCs w:val="20"/>
                <w:color w:val="auto"/>
              </w:rPr>
            </w:pPr>
            <w:r>
              <w:rPr>
                <w:rFonts w:ascii="Verdana" w:cs="Verdana" w:eastAsia="Verdana" w:hAnsi="Verdana"/>
                <w:sz w:val="16"/>
                <w:szCs w:val="16"/>
                <w:color w:val="auto"/>
              </w:rPr>
              <w:t>Net cash provided by operating activities</w:t>
            </w:r>
          </w:p>
        </w:tc>
        <w:tc>
          <w:tcPr>
            <w:tcW w:w="1060" w:type="dxa"/>
            <w:vAlign w:val="bottom"/>
          </w:tcPr>
          <w:p>
            <w:pPr>
              <w:jc w:val="right"/>
              <w:ind w:right="3"/>
              <w:spacing w:after="0"/>
              <w:rPr>
                <w:sz w:val="20"/>
                <w:szCs w:val="20"/>
                <w:color w:val="auto"/>
              </w:rPr>
            </w:pPr>
            <w:r>
              <w:rPr>
                <w:rFonts w:ascii="Verdana" w:cs="Verdana" w:eastAsia="Verdana" w:hAnsi="Verdana"/>
                <w:sz w:val="16"/>
                <w:szCs w:val="16"/>
                <w:color w:val="214E93"/>
              </w:rPr>
              <w:t>$2,425,015</w:t>
            </w:r>
          </w:p>
        </w:tc>
        <w:tc>
          <w:tcPr>
            <w:tcW w:w="1060" w:type="dxa"/>
            <w:vAlign w:val="bottom"/>
          </w:tcPr>
          <w:p>
            <w:pPr>
              <w:jc w:val="center"/>
              <w:spacing w:after="0"/>
              <w:rPr>
                <w:sz w:val="20"/>
                <w:szCs w:val="20"/>
                <w:color w:val="auto"/>
              </w:rPr>
            </w:pPr>
            <w:r>
              <w:rPr>
                <w:rFonts w:ascii="Verdana" w:cs="Verdana" w:eastAsia="Verdana" w:hAnsi="Verdana"/>
                <w:sz w:val="16"/>
                <w:szCs w:val="16"/>
                <w:color w:val="131313"/>
                <w:w w:val="98"/>
              </w:rPr>
              <w:t>$2,246,885</w:t>
            </w:r>
          </w:p>
        </w:tc>
        <w:tc>
          <w:tcPr>
            <w:tcW w:w="1000" w:type="dxa"/>
            <w:vAlign w:val="bottom"/>
          </w:tcPr>
          <w:p>
            <w:pPr>
              <w:jc w:val="center"/>
              <w:spacing w:after="0"/>
              <w:rPr>
                <w:sz w:val="20"/>
                <w:szCs w:val="20"/>
                <w:color w:val="auto"/>
              </w:rPr>
            </w:pPr>
            <w:r>
              <w:rPr>
                <w:rFonts w:ascii="Verdana" w:cs="Verdana" w:eastAsia="Verdana" w:hAnsi="Verdana"/>
                <w:sz w:val="16"/>
                <w:szCs w:val="16"/>
                <w:color w:val="131313"/>
                <w:w w:val="98"/>
              </w:rPr>
              <w:t>$1,867,828</w:t>
            </w:r>
          </w:p>
        </w:tc>
      </w:tr>
      <w:tr>
        <w:trPr>
          <w:trHeight w:val="236"/>
        </w:trPr>
        <w:tc>
          <w:tcPr>
            <w:tcW w:w="6440" w:type="dxa"/>
            <w:vAlign w:val="bottom"/>
          </w:tcPr>
          <w:p>
            <w:pPr>
              <w:ind w:left="40"/>
              <w:spacing w:after="0"/>
              <w:rPr>
                <w:sz w:val="20"/>
                <w:szCs w:val="20"/>
                <w:color w:val="auto"/>
              </w:rPr>
            </w:pPr>
            <w:r>
              <w:rPr>
                <w:rFonts w:ascii="Verdana" w:cs="Verdana" w:eastAsia="Verdana" w:hAnsi="Verdana"/>
                <w:sz w:val="16"/>
                <w:szCs w:val="16"/>
                <w:color w:val="auto"/>
              </w:rPr>
              <w:t>Net change in operating assets and liabilities</w:t>
            </w:r>
          </w:p>
        </w:tc>
        <w:tc>
          <w:tcPr>
            <w:tcW w:w="1060" w:type="dxa"/>
            <w:vAlign w:val="bottom"/>
          </w:tcPr>
          <w:p>
            <w:pPr>
              <w:jc w:val="right"/>
              <w:ind w:right="3"/>
              <w:spacing w:after="0"/>
              <w:rPr>
                <w:sz w:val="20"/>
                <w:szCs w:val="20"/>
                <w:color w:val="auto"/>
              </w:rPr>
            </w:pPr>
            <w:r>
              <w:rPr>
                <w:rFonts w:ascii="Verdana" w:cs="Verdana" w:eastAsia="Verdana" w:hAnsi="Verdana"/>
                <w:sz w:val="16"/>
                <w:szCs w:val="16"/>
                <w:color w:val="214E93"/>
              </w:rPr>
              <w:t>(176,189)</w:t>
            </w:r>
          </w:p>
        </w:tc>
        <w:tc>
          <w:tcPr>
            <w:tcW w:w="1060" w:type="dxa"/>
            <w:vAlign w:val="bottom"/>
          </w:tcPr>
          <w:p>
            <w:pPr>
              <w:jc w:val="right"/>
              <w:ind w:right="2"/>
              <w:spacing w:after="0"/>
              <w:rPr>
                <w:sz w:val="20"/>
                <w:szCs w:val="20"/>
                <w:color w:val="auto"/>
              </w:rPr>
            </w:pPr>
            <w:r>
              <w:rPr>
                <w:rFonts w:ascii="Verdana" w:cs="Verdana" w:eastAsia="Verdana" w:hAnsi="Verdana"/>
                <w:sz w:val="16"/>
                <w:szCs w:val="16"/>
                <w:color w:val="131313"/>
              </w:rPr>
              <w:t>(13,080)</w:t>
            </w:r>
          </w:p>
        </w:tc>
        <w:tc>
          <w:tcPr>
            <w:tcW w:w="1000" w:type="dxa"/>
            <w:vAlign w:val="bottom"/>
          </w:tcPr>
          <w:p>
            <w:pPr>
              <w:jc w:val="right"/>
              <w:spacing w:after="0"/>
              <w:rPr>
                <w:sz w:val="20"/>
                <w:szCs w:val="20"/>
                <w:color w:val="auto"/>
              </w:rPr>
            </w:pPr>
            <w:r>
              <w:rPr>
                <w:rFonts w:ascii="Verdana" w:cs="Verdana" w:eastAsia="Verdana" w:hAnsi="Verdana"/>
                <w:sz w:val="16"/>
                <w:szCs w:val="16"/>
                <w:color w:val="131313"/>
              </w:rPr>
              <w:t>(50,027)</w:t>
            </w:r>
          </w:p>
        </w:tc>
      </w:tr>
      <w:tr>
        <w:trPr>
          <w:trHeight w:val="236"/>
        </w:trPr>
        <w:tc>
          <w:tcPr>
            <w:tcW w:w="6440" w:type="dxa"/>
            <w:vAlign w:val="bottom"/>
          </w:tcPr>
          <w:p>
            <w:pPr>
              <w:ind w:left="40"/>
              <w:spacing w:after="0"/>
              <w:rPr>
                <w:sz w:val="20"/>
                <w:szCs w:val="20"/>
                <w:color w:val="auto"/>
              </w:rPr>
            </w:pPr>
            <w:r>
              <w:rPr>
                <w:rFonts w:ascii="Verdana" w:cs="Verdana" w:eastAsia="Verdana" w:hAnsi="Verdana"/>
                <w:sz w:val="16"/>
                <w:szCs w:val="16"/>
                <w:color w:val="auto"/>
              </w:rPr>
              <w:t>Interest expense, net of non-cash portion</w:t>
            </w:r>
          </w:p>
        </w:tc>
        <w:tc>
          <w:tcPr>
            <w:tcW w:w="1060" w:type="dxa"/>
            <w:vAlign w:val="bottom"/>
          </w:tcPr>
          <w:p>
            <w:pPr>
              <w:jc w:val="right"/>
              <w:ind w:right="63"/>
              <w:spacing w:after="0"/>
              <w:rPr>
                <w:sz w:val="20"/>
                <w:szCs w:val="20"/>
                <w:color w:val="auto"/>
              </w:rPr>
            </w:pPr>
            <w:r>
              <w:rPr>
                <w:rFonts w:ascii="Verdana" w:cs="Verdana" w:eastAsia="Verdana" w:hAnsi="Verdana"/>
                <w:sz w:val="16"/>
                <w:szCs w:val="16"/>
                <w:color w:val="214E93"/>
              </w:rPr>
              <w:t>193,756</w:t>
            </w:r>
          </w:p>
        </w:tc>
        <w:tc>
          <w:tcPr>
            <w:tcW w:w="1060" w:type="dxa"/>
            <w:vAlign w:val="bottom"/>
          </w:tcPr>
          <w:p>
            <w:pPr>
              <w:jc w:val="right"/>
              <w:ind w:right="62"/>
              <w:spacing w:after="0"/>
              <w:rPr>
                <w:sz w:val="20"/>
                <w:szCs w:val="20"/>
                <w:color w:val="auto"/>
              </w:rPr>
            </w:pPr>
            <w:r>
              <w:rPr>
                <w:rFonts w:ascii="Verdana" w:cs="Verdana" w:eastAsia="Verdana" w:hAnsi="Verdana"/>
                <w:sz w:val="16"/>
                <w:szCs w:val="16"/>
                <w:color w:val="131313"/>
              </w:rPr>
              <w:t>155,154</w:t>
            </w:r>
          </w:p>
        </w:tc>
        <w:tc>
          <w:tcPr>
            <w:tcW w:w="1000" w:type="dxa"/>
            <w:vAlign w:val="bottom"/>
          </w:tcPr>
          <w:p>
            <w:pPr>
              <w:jc w:val="right"/>
              <w:ind w:right="2"/>
              <w:spacing w:after="0"/>
              <w:rPr>
                <w:sz w:val="20"/>
                <w:szCs w:val="20"/>
                <w:color w:val="auto"/>
              </w:rPr>
            </w:pPr>
            <w:r>
              <w:rPr>
                <w:rFonts w:ascii="Verdana" w:cs="Verdana" w:eastAsia="Verdana" w:hAnsi="Verdana"/>
                <w:sz w:val="16"/>
                <w:szCs w:val="16"/>
                <w:color w:val="131313"/>
              </w:rPr>
              <w:t>114,473</w:t>
            </w:r>
          </w:p>
        </w:tc>
      </w:tr>
      <w:tr>
        <w:trPr>
          <w:trHeight w:val="236"/>
        </w:trPr>
        <w:tc>
          <w:tcPr>
            <w:tcW w:w="6440" w:type="dxa"/>
            <w:vAlign w:val="bottom"/>
          </w:tcPr>
          <w:p>
            <w:pPr>
              <w:ind w:left="40"/>
              <w:spacing w:after="0"/>
              <w:rPr>
                <w:sz w:val="20"/>
                <w:szCs w:val="20"/>
                <w:color w:val="auto"/>
              </w:rPr>
            </w:pPr>
            <w:r>
              <w:rPr>
                <w:rFonts w:ascii="Verdana" w:cs="Verdana" w:eastAsia="Verdana" w:hAnsi="Verdana"/>
                <w:sz w:val="16"/>
                <w:szCs w:val="16"/>
                <w:color w:val="auto"/>
              </w:rPr>
              <w:t>Current income tax provision</w:t>
            </w:r>
          </w:p>
        </w:tc>
        <w:tc>
          <w:tcPr>
            <w:tcW w:w="1060" w:type="dxa"/>
            <w:vAlign w:val="bottom"/>
          </w:tcPr>
          <w:p>
            <w:pPr>
              <w:jc w:val="right"/>
              <w:ind w:right="63"/>
              <w:spacing w:after="0"/>
              <w:rPr>
                <w:sz w:val="20"/>
                <w:szCs w:val="20"/>
                <w:color w:val="auto"/>
              </w:rPr>
            </w:pPr>
            <w:r>
              <w:rPr>
                <w:rFonts w:ascii="Verdana" w:cs="Verdana" w:eastAsia="Verdana" w:hAnsi="Verdana"/>
                <w:sz w:val="16"/>
                <w:szCs w:val="16"/>
                <w:color w:val="214E93"/>
              </w:rPr>
              <w:t>7,088</w:t>
            </w:r>
          </w:p>
        </w:tc>
        <w:tc>
          <w:tcPr>
            <w:tcW w:w="1060" w:type="dxa"/>
            <w:vAlign w:val="bottom"/>
          </w:tcPr>
          <w:p>
            <w:pPr>
              <w:jc w:val="right"/>
              <w:ind w:right="62"/>
              <w:spacing w:after="0"/>
              <w:rPr>
                <w:sz w:val="20"/>
                <w:szCs w:val="20"/>
                <w:color w:val="auto"/>
              </w:rPr>
            </w:pPr>
            <w:r>
              <w:rPr>
                <w:rFonts w:ascii="Verdana" w:cs="Verdana" w:eastAsia="Verdana" w:hAnsi="Verdana"/>
                <w:sz w:val="16"/>
                <w:szCs w:val="16"/>
                <w:color w:val="131313"/>
              </w:rPr>
              <w:t>27,059</w:t>
            </w:r>
          </w:p>
        </w:tc>
        <w:tc>
          <w:tcPr>
            <w:tcW w:w="1000" w:type="dxa"/>
            <w:vAlign w:val="bottom"/>
          </w:tcPr>
          <w:p>
            <w:pPr>
              <w:jc w:val="right"/>
              <w:ind w:right="2"/>
              <w:spacing w:after="0"/>
              <w:rPr>
                <w:sz w:val="20"/>
                <w:szCs w:val="20"/>
                <w:color w:val="auto"/>
              </w:rPr>
            </w:pPr>
            <w:r>
              <w:rPr>
                <w:rFonts w:ascii="Verdana" w:cs="Verdana" w:eastAsia="Verdana" w:hAnsi="Verdana"/>
                <w:sz w:val="16"/>
                <w:szCs w:val="16"/>
                <w:color w:val="131313"/>
              </w:rPr>
              <w:t>13,922</w:t>
            </w:r>
          </w:p>
        </w:tc>
      </w:tr>
      <w:tr>
        <w:trPr>
          <w:trHeight w:val="236"/>
        </w:trPr>
        <w:tc>
          <w:tcPr>
            <w:tcW w:w="6440" w:type="dxa"/>
            <w:vAlign w:val="bottom"/>
          </w:tcPr>
          <w:p>
            <w:pPr>
              <w:ind w:left="40"/>
              <w:spacing w:after="0"/>
              <w:rPr>
                <w:sz w:val="20"/>
                <w:szCs w:val="20"/>
                <w:color w:val="auto"/>
              </w:rPr>
            </w:pPr>
            <w:r>
              <w:rPr>
                <w:rFonts w:ascii="Verdana" w:cs="Verdana" w:eastAsia="Verdana" w:hAnsi="Verdana"/>
                <w:sz w:val="16"/>
                <w:szCs w:val="16"/>
                <w:color w:val="auto"/>
              </w:rPr>
              <w:t>Net loss on asset sales and impairment</w:t>
            </w:r>
          </w:p>
        </w:tc>
        <w:tc>
          <w:tcPr>
            <w:tcW w:w="1060" w:type="dxa"/>
            <w:vAlign w:val="bottom"/>
          </w:tcPr>
          <w:p>
            <w:pPr>
              <w:jc w:val="right"/>
              <w:ind w:right="63"/>
              <w:spacing w:after="0"/>
              <w:rPr>
                <w:sz w:val="20"/>
                <w:szCs w:val="20"/>
                <w:color w:val="auto"/>
              </w:rPr>
            </w:pPr>
            <w:r>
              <w:rPr>
                <w:rFonts w:ascii="Verdana" w:cs="Verdana" w:eastAsia="Verdana" w:hAnsi="Verdana"/>
                <w:sz w:val="16"/>
                <w:szCs w:val="16"/>
                <w:color w:val="214E93"/>
              </w:rPr>
              <w:t>589</w:t>
            </w:r>
          </w:p>
        </w:tc>
        <w:tc>
          <w:tcPr>
            <w:tcW w:w="1060" w:type="dxa"/>
            <w:vAlign w:val="bottom"/>
          </w:tcPr>
          <w:p>
            <w:pPr>
              <w:jc w:val="right"/>
              <w:ind w:right="62"/>
              <w:spacing w:after="0"/>
              <w:rPr>
                <w:sz w:val="20"/>
                <w:szCs w:val="20"/>
                <w:color w:val="auto"/>
              </w:rPr>
            </w:pPr>
            <w:r>
              <w:rPr>
                <w:rFonts w:ascii="Verdana" w:cs="Verdana" w:eastAsia="Verdana" w:hAnsi="Verdana"/>
                <w:sz w:val="16"/>
                <w:szCs w:val="16"/>
                <w:color w:val="131313"/>
              </w:rPr>
              <w:t>—</w:t>
            </w:r>
          </w:p>
        </w:tc>
        <w:tc>
          <w:tcPr>
            <w:tcW w:w="1000" w:type="dxa"/>
            <w:vAlign w:val="bottom"/>
          </w:tcPr>
          <w:p>
            <w:pPr>
              <w:jc w:val="right"/>
              <w:ind w:right="2"/>
              <w:spacing w:after="0"/>
              <w:rPr>
                <w:sz w:val="20"/>
                <w:szCs w:val="20"/>
                <w:color w:val="auto"/>
              </w:rPr>
            </w:pPr>
            <w:r>
              <w:rPr>
                <w:rFonts w:ascii="Verdana" w:cs="Verdana" w:eastAsia="Verdana" w:hAnsi="Verdana"/>
                <w:sz w:val="16"/>
                <w:szCs w:val="16"/>
                <w:color w:val="131313"/>
              </w:rPr>
              <w:t>—</w:t>
            </w:r>
          </w:p>
        </w:tc>
      </w:tr>
      <w:tr>
        <w:trPr>
          <w:trHeight w:val="236"/>
        </w:trPr>
        <w:tc>
          <w:tcPr>
            <w:tcW w:w="6440" w:type="dxa"/>
            <w:vAlign w:val="bottom"/>
          </w:tcPr>
          <w:p>
            <w:pPr>
              <w:ind w:left="40"/>
              <w:spacing w:after="0"/>
              <w:rPr>
                <w:sz w:val="20"/>
                <w:szCs w:val="20"/>
                <w:color w:val="auto"/>
              </w:rPr>
            </w:pPr>
            <w:r>
              <w:rPr>
                <w:rFonts w:ascii="Verdana" w:cs="Verdana" w:eastAsia="Verdana" w:hAnsi="Verdana"/>
                <w:sz w:val="16"/>
                <w:szCs w:val="16"/>
                <w:color w:val="auto"/>
              </w:rPr>
              <w:t>Other non-cash and non-recurring (income) expense</w:t>
            </w:r>
          </w:p>
        </w:tc>
        <w:tc>
          <w:tcPr>
            <w:tcW w:w="1060" w:type="dxa"/>
            <w:vAlign w:val="bottom"/>
          </w:tcPr>
          <w:p>
            <w:pPr>
              <w:jc w:val="right"/>
              <w:ind w:right="3"/>
              <w:spacing w:after="0"/>
              <w:rPr>
                <w:sz w:val="20"/>
                <w:szCs w:val="20"/>
                <w:color w:val="auto"/>
              </w:rPr>
            </w:pPr>
            <w:r>
              <w:rPr>
                <w:rFonts w:ascii="Verdana" w:cs="Verdana" w:eastAsia="Verdana" w:hAnsi="Verdana"/>
                <w:sz w:val="16"/>
                <w:szCs w:val="16"/>
                <w:color w:val="214E93"/>
              </w:rPr>
              <w:t>(11,597)</w:t>
            </w:r>
          </w:p>
        </w:tc>
        <w:tc>
          <w:tcPr>
            <w:tcW w:w="1060" w:type="dxa"/>
            <w:vAlign w:val="bottom"/>
          </w:tcPr>
          <w:p>
            <w:pPr>
              <w:jc w:val="right"/>
              <w:ind w:right="62"/>
              <w:spacing w:after="0"/>
              <w:rPr>
                <w:sz w:val="20"/>
                <w:szCs w:val="20"/>
                <w:color w:val="auto"/>
              </w:rPr>
            </w:pPr>
            <w:r>
              <w:rPr>
                <w:rFonts w:ascii="Verdana" w:cs="Verdana" w:eastAsia="Verdana" w:hAnsi="Verdana"/>
                <w:sz w:val="16"/>
                <w:szCs w:val="16"/>
                <w:color w:val="131313"/>
              </w:rPr>
              <w:t>6,806</w:t>
            </w:r>
          </w:p>
        </w:tc>
        <w:tc>
          <w:tcPr>
            <w:tcW w:w="1000" w:type="dxa"/>
            <w:vAlign w:val="bottom"/>
          </w:tcPr>
          <w:p>
            <w:pPr>
              <w:jc w:val="right"/>
              <w:ind w:right="2"/>
              <w:spacing w:after="0"/>
              <w:rPr>
                <w:sz w:val="20"/>
                <w:szCs w:val="20"/>
                <w:color w:val="auto"/>
              </w:rPr>
            </w:pPr>
            <w:r>
              <w:rPr>
                <w:rFonts w:ascii="Verdana" w:cs="Verdana" w:eastAsia="Verdana" w:hAnsi="Verdana"/>
                <w:sz w:val="16"/>
                <w:szCs w:val="16"/>
                <w:color w:val="131313"/>
              </w:rPr>
              <w:t>1,426</w:t>
            </w:r>
          </w:p>
        </w:tc>
      </w:tr>
      <w:tr>
        <w:trPr>
          <w:trHeight w:val="242"/>
        </w:trPr>
        <w:tc>
          <w:tcPr>
            <w:tcW w:w="644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Adjusted EBITDA attributable to non-controlling interest in subsidiaries</w:t>
            </w:r>
          </w:p>
        </w:tc>
        <w:tc>
          <w:tcPr>
            <w:tcW w:w="1060" w:type="dxa"/>
            <w:vAlign w:val="bottom"/>
            <w:tcBorders>
              <w:bottom w:val="single" w:sz="8" w:color="auto"/>
            </w:tcBorders>
          </w:tcPr>
          <w:p>
            <w:pPr>
              <w:jc w:val="right"/>
              <w:ind w:right="3"/>
              <w:spacing w:after="0"/>
              <w:rPr>
                <w:sz w:val="20"/>
                <w:szCs w:val="20"/>
                <w:color w:val="auto"/>
              </w:rPr>
            </w:pPr>
            <w:r>
              <w:rPr>
                <w:rFonts w:ascii="Verdana" w:cs="Verdana" w:eastAsia="Verdana" w:hAnsi="Verdana"/>
                <w:sz w:val="16"/>
                <w:szCs w:val="16"/>
                <w:color w:val="214E93"/>
              </w:rPr>
              <w:t>(144,111)</w:t>
            </w:r>
          </w:p>
        </w:tc>
        <w:tc>
          <w:tcPr>
            <w:tcW w:w="106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131313"/>
              </w:rPr>
              <w:t>(124,047)</w:t>
            </w: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131313"/>
              </w:rPr>
              <w:t>(98,075)</w:t>
            </w:r>
          </w:p>
        </w:tc>
      </w:tr>
      <w:tr>
        <w:trPr>
          <w:trHeight w:val="217"/>
        </w:trPr>
        <w:tc>
          <w:tcPr>
            <w:tcW w:w="6440" w:type="dxa"/>
            <w:vAlign w:val="bottom"/>
            <w:tcBorders>
              <w:bottom w:val="single" w:sz="8" w:color="214E93"/>
            </w:tcBorders>
          </w:tcPr>
          <w:p>
            <w:pPr>
              <w:ind w:left="160"/>
              <w:spacing w:after="0"/>
              <w:rPr>
                <w:sz w:val="20"/>
                <w:szCs w:val="20"/>
                <w:color w:val="auto"/>
              </w:rPr>
            </w:pPr>
            <w:r>
              <w:rPr>
                <w:rFonts w:ascii="Verdana" w:cs="Verdana" w:eastAsia="Verdana" w:hAnsi="Verdana"/>
                <w:sz w:val="16"/>
                <w:szCs w:val="16"/>
                <w:color w:val="auto"/>
              </w:rPr>
              <w:t>Adjusted EBITDA attributable to Matador Resources Company shareholders</w:t>
            </w:r>
          </w:p>
        </w:tc>
        <w:tc>
          <w:tcPr>
            <w:tcW w:w="1060" w:type="dxa"/>
            <w:vAlign w:val="bottom"/>
            <w:tcBorders>
              <w:bottom w:val="single" w:sz="8" w:color="214E93"/>
            </w:tcBorders>
          </w:tcPr>
          <w:p>
            <w:pPr>
              <w:jc w:val="right"/>
              <w:ind w:right="3"/>
              <w:spacing w:after="0"/>
              <w:rPr>
                <w:sz w:val="20"/>
                <w:szCs w:val="20"/>
                <w:color w:val="auto"/>
              </w:rPr>
            </w:pPr>
            <w:r>
              <w:rPr>
                <w:rFonts w:ascii="Verdana" w:cs="Verdana" w:eastAsia="Verdana" w:hAnsi="Verdana"/>
                <w:sz w:val="16"/>
                <w:szCs w:val="16"/>
                <w:color w:val="214E93"/>
              </w:rPr>
              <w:t>$2,294,551</w:t>
            </w:r>
          </w:p>
        </w:tc>
        <w:tc>
          <w:tcPr>
            <w:tcW w:w="1060" w:type="dxa"/>
            <w:vAlign w:val="bottom"/>
            <w:tcBorders>
              <w:bottom w:val="single" w:sz="8" w:color="214E93"/>
            </w:tcBorders>
          </w:tcPr>
          <w:p>
            <w:pPr>
              <w:jc w:val="center"/>
              <w:spacing w:after="0"/>
              <w:rPr>
                <w:sz w:val="20"/>
                <w:szCs w:val="20"/>
                <w:color w:val="auto"/>
              </w:rPr>
            </w:pPr>
            <w:r>
              <w:rPr>
                <w:rFonts w:ascii="Verdana" w:cs="Verdana" w:eastAsia="Verdana" w:hAnsi="Verdana"/>
                <w:sz w:val="16"/>
                <w:szCs w:val="16"/>
                <w:color w:val="131313"/>
                <w:w w:val="98"/>
              </w:rPr>
              <w:t>$2,298,777</w:t>
            </w:r>
          </w:p>
        </w:tc>
        <w:tc>
          <w:tcPr>
            <w:tcW w:w="1000" w:type="dxa"/>
            <w:vAlign w:val="bottom"/>
            <w:tcBorders>
              <w:bottom w:val="single" w:sz="8" w:color="214E93"/>
            </w:tcBorders>
          </w:tcPr>
          <w:p>
            <w:pPr>
              <w:jc w:val="center"/>
              <w:spacing w:after="0"/>
              <w:rPr>
                <w:sz w:val="20"/>
                <w:szCs w:val="20"/>
                <w:color w:val="auto"/>
              </w:rPr>
            </w:pPr>
            <w:r>
              <w:rPr>
                <w:rFonts w:ascii="Verdana" w:cs="Verdana" w:eastAsia="Verdana" w:hAnsi="Verdana"/>
                <w:sz w:val="16"/>
                <w:szCs w:val="16"/>
                <w:color w:val="131313"/>
                <w:w w:val="98"/>
              </w:rPr>
              <w:t>$1,849,547</w:t>
            </w:r>
          </w:p>
        </w:tc>
      </w:tr>
    </w:tbl>
    <w:p>
      <w:pPr>
        <w:spacing w:after="0" w:line="20" w:lineRule="exact"/>
        <w:rPr>
          <w:sz w:val="20"/>
          <w:szCs w:val="20"/>
          <w:color w:val="auto"/>
        </w:rPr>
      </w:pPr>
    </w:p>
    <w:p>
      <w:pPr>
        <w:spacing w:after="0" w:line="228" w:lineRule="exact"/>
        <w:rPr>
          <w:sz w:val="20"/>
          <w:szCs w:val="20"/>
          <w:color w:val="auto"/>
        </w:rPr>
      </w:pPr>
    </w:p>
    <w:p>
      <w:pPr>
        <w:ind w:right="780" w:firstLine="241"/>
        <w:spacing w:after="0" w:line="268" w:lineRule="auto"/>
        <w:rPr>
          <w:sz w:val="20"/>
          <w:szCs w:val="20"/>
          <w:color w:val="auto"/>
        </w:rPr>
      </w:pPr>
      <w:r>
        <w:rPr>
          <w:rFonts w:ascii="Calibri" w:cs="Calibri" w:eastAsia="Calibri" w:hAnsi="Calibri"/>
          <w:sz w:val="18"/>
          <w:szCs w:val="18"/>
          <w:color w:val="auto"/>
        </w:rPr>
        <w:t>For the year ended December 31, 2025, we reported net income attributable to Matador shareholders of $759.2 million, as compared to $885.3 million for the year ended December 31, 2024. This decrease primarily resulted from (i) a $221.1 million increase in depletion, depreciation and amortization expenses, (ii) a $90.7 million increase in lease operating expenses, (iii) a $40.7 million increase in midstream operating expenses, (iv) a $36.8 million increase in interest expense, (v) an $8.2 million increase in transportation and processing expenses and (vi) lower realized oil and natural gas prices for the year ended December 31, 2025, as compared to the year ended December 31, 2024. These expense increases were partially offset by (i) increased oil and natural gas production and (ii) a $119.7 million decrease in the income tax provision for the year ended December 31, 2025, as compared to the year ended December 31, 2024.</w:t>
      </w:r>
    </w:p>
    <w:p>
      <w:pPr>
        <w:spacing w:after="0" w:line="215" w:lineRule="exact"/>
        <w:rPr>
          <w:sz w:val="20"/>
          <w:szCs w:val="20"/>
          <w:color w:val="auto"/>
        </w:rPr>
      </w:pPr>
    </w:p>
    <w:p>
      <w:pPr>
        <w:spacing w:after="0"/>
        <w:rPr>
          <w:sz w:val="20"/>
          <w:szCs w:val="20"/>
          <w:color w:val="auto"/>
        </w:rPr>
      </w:pPr>
      <w:r>
        <w:rPr>
          <w:rFonts w:ascii="Verdana" w:cs="Verdana" w:eastAsia="Verdana" w:hAnsi="Verdana"/>
          <w:sz w:val="20"/>
          <w:szCs w:val="20"/>
          <w:color w:val="214E93"/>
        </w:rPr>
        <w:t>OFF-BALANCE SHEET ARRANGEMENTS</w:t>
      </w:r>
    </w:p>
    <w:p>
      <w:pPr>
        <w:spacing w:after="0" w:line="209" w:lineRule="exact"/>
        <w:rPr>
          <w:sz w:val="20"/>
          <w:szCs w:val="20"/>
          <w:color w:val="auto"/>
        </w:rPr>
      </w:pPr>
    </w:p>
    <w:p>
      <w:pPr>
        <w:ind w:right="780" w:firstLine="281"/>
        <w:spacing w:after="0" w:line="285" w:lineRule="auto"/>
        <w:rPr>
          <w:sz w:val="20"/>
          <w:szCs w:val="20"/>
          <w:color w:val="auto"/>
        </w:rPr>
      </w:pPr>
      <w:r>
        <w:rPr>
          <w:rFonts w:ascii="Calibri" w:cs="Calibri" w:eastAsia="Calibri" w:hAnsi="Calibri"/>
          <w:sz w:val="17"/>
          <w:szCs w:val="17"/>
          <w:color w:val="auto"/>
        </w:rPr>
        <w:t>From time-to-time, we enter into off-balance sheet arrangements and transactions that can give rise to material off-balance sheet obligations. As of December 31, 2025, the material off-balance sheet arrangements and transactions that we have entered into include (i) non-operated drilling commitments, (ii) firm gathering, transportation, processing, fractionation, sales and disposal commitments and (iii) contractual obligations for which the ultimate settlement amounts are not fixed and determinable, such as derivative contracts that are sensitive to future changes in commodity prices or interest rates, gathering, treating, transportation and disposal commitments on uncertain volumes of future throughput, open delivery commitments and indemnification obligations following certain divestitures. Other than the off-balance sheet arrangements described above, the Company has no transactions,</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880"/>
        <w:spacing w:after="0"/>
        <w:rPr>
          <w:sz w:val="20"/>
          <w:szCs w:val="20"/>
          <w:color w:val="auto"/>
        </w:rPr>
      </w:pPr>
      <w:r>
        <w:rPr>
          <w:rFonts w:ascii="Calibri" w:cs="Calibri" w:eastAsia="Calibri" w:hAnsi="Calibri"/>
          <w:sz w:val="17"/>
          <w:szCs w:val="17"/>
          <w:color w:val="auto"/>
        </w:rPr>
        <w:t>FORM 10-K PART II</w:t>
      </w:r>
    </w:p>
    <w:p>
      <w:pPr>
        <w:sectPr>
          <w:pgSz w:w="11880" w:h="15480" w:orient="portrait"/>
          <w:cols w:equalWidth="0" w:num="1">
            <w:col w:w="10280"/>
          </w:cols>
          <w:pgMar w:left="1160" w:top="498" w:right="440" w:bottom="0" w:gutter="0" w:footer="0" w:header="0"/>
          <w:type w:val="continuous"/>
        </w:sectPr>
      </w:pPr>
    </w:p>
    <w:bookmarkStart w:id="107" w:name="page108"/>
    <w:bookmarkEnd w:id="107"/>
    <w:p>
      <w:pPr>
        <w:spacing w:after="0"/>
        <w:tabs>
          <w:tab w:leader="none" w:pos="740" w:val="left"/>
        </w:tabs>
        <w:rPr>
          <w:sz w:val="20"/>
          <w:szCs w:val="20"/>
          <w:color w:val="auto"/>
        </w:rPr>
      </w:pPr>
      <w:r>
        <w:rPr>
          <w:rFonts w:ascii="Calibri" w:cs="Calibri" w:eastAsia="Calibri" w:hAnsi="Calibri"/>
          <w:sz w:val="18"/>
          <w:szCs w:val="18"/>
          <w:color w:val="auto"/>
        </w:rPr>
        <w:t>94</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14" o:spid="_x0000_s12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15" o:spid="_x0000_s12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20" w:right="80"/>
        <w:spacing w:after="0" w:line="264" w:lineRule="auto"/>
        <w:rPr>
          <w:sz w:val="20"/>
          <w:szCs w:val="20"/>
          <w:color w:val="auto"/>
        </w:rPr>
      </w:pPr>
      <w:r>
        <w:rPr>
          <w:rFonts w:ascii="Calibri" w:cs="Calibri" w:eastAsia="Calibri" w:hAnsi="Calibri"/>
          <w:sz w:val="18"/>
          <w:szCs w:val="18"/>
          <w:color w:val="auto"/>
        </w:rPr>
        <w:t>arrangements or other relationships with unconsolidated entities or other persons that are reasonably likely to materially affect our liquidity or availability of or requirements for capital resources. See “—Obligations and Commitments” below and Note 14 to the consolidated financial statements in this Annual Report for more information regarding our off-balance sheet arrangements. Such information is incorporated herein by reference.</w:t>
      </w:r>
    </w:p>
    <w:p>
      <w:pPr>
        <w:spacing w:after="0" w:line="219" w:lineRule="exact"/>
        <w:rPr>
          <w:sz w:val="20"/>
          <w:szCs w:val="20"/>
          <w:color w:val="auto"/>
        </w:rPr>
      </w:pPr>
    </w:p>
    <w:p>
      <w:pPr>
        <w:ind w:left="720"/>
        <w:spacing w:after="0"/>
        <w:rPr>
          <w:sz w:val="20"/>
          <w:szCs w:val="20"/>
          <w:color w:val="auto"/>
        </w:rPr>
      </w:pPr>
      <w:r>
        <w:rPr>
          <w:rFonts w:ascii="Verdana" w:cs="Verdana" w:eastAsia="Verdana" w:hAnsi="Verdana"/>
          <w:sz w:val="20"/>
          <w:szCs w:val="20"/>
          <w:color w:val="214E93"/>
        </w:rPr>
        <w:t>OBLIGATIONS AND COMMITMENTS</w:t>
      </w:r>
    </w:p>
    <w:p>
      <w:pPr>
        <w:spacing w:after="0" w:line="192" w:lineRule="exact"/>
        <w:rPr>
          <w:sz w:val="20"/>
          <w:szCs w:val="20"/>
          <w:color w:val="auto"/>
        </w:rPr>
      </w:pPr>
    </w:p>
    <w:p>
      <w:pPr>
        <w:ind w:left="960"/>
        <w:spacing w:after="0"/>
        <w:rPr>
          <w:sz w:val="20"/>
          <w:szCs w:val="20"/>
          <w:color w:val="auto"/>
        </w:rPr>
      </w:pPr>
      <w:r>
        <w:rPr>
          <w:rFonts w:ascii="Calibri" w:cs="Calibri" w:eastAsia="Calibri" w:hAnsi="Calibri"/>
          <w:sz w:val="18"/>
          <w:szCs w:val="18"/>
          <w:color w:val="auto"/>
        </w:rPr>
        <w:t>We had the following material contractual obligations and commitments at December 31, 2025.</w:t>
      </w:r>
    </w:p>
    <w:p>
      <w:pPr>
        <w:spacing w:after="0" w:line="198" w:lineRule="exact"/>
        <w:rPr>
          <w:sz w:val="20"/>
          <w:szCs w:val="20"/>
          <w:color w:val="auto"/>
        </w:rPr>
      </w:pPr>
    </w:p>
    <w:tbl>
      <w:tblPr>
        <w:tblLayout w:type="fixed"/>
        <w:tblInd w:w="720" w:type="dxa"/>
        <w:tblCellMar>
          <w:top w:w="0" w:type="dxa"/>
          <w:left w:w="0" w:type="dxa"/>
          <w:bottom w:w="0" w:type="dxa"/>
          <w:right w:w="0" w:type="dxa"/>
        </w:tblCellMar>
      </w:tblPr>
      <w:tr>
        <w:trPr>
          <w:trHeight w:val="193"/>
        </w:trPr>
        <w:tc>
          <w:tcPr>
            <w:tcW w:w="4180" w:type="dxa"/>
            <w:vAlign w:val="bottom"/>
          </w:tcPr>
          <w:p>
            <w:pPr>
              <w:spacing w:after="0"/>
              <w:rPr>
                <w:sz w:val="16"/>
                <w:szCs w:val="16"/>
                <w:color w:val="auto"/>
              </w:rPr>
            </w:pPr>
          </w:p>
        </w:tc>
        <w:tc>
          <w:tcPr>
            <w:tcW w:w="1060" w:type="dxa"/>
            <w:vAlign w:val="bottom"/>
            <w:tcBorders>
              <w:bottom w:val="single" w:sz="8" w:color="214E93"/>
            </w:tcBorders>
          </w:tcPr>
          <w:p>
            <w:pPr>
              <w:spacing w:after="0"/>
              <w:rPr>
                <w:sz w:val="16"/>
                <w:szCs w:val="16"/>
                <w:color w:val="auto"/>
              </w:rPr>
            </w:pPr>
          </w:p>
        </w:tc>
        <w:tc>
          <w:tcPr>
            <w:tcW w:w="260" w:type="dxa"/>
            <w:vAlign w:val="bottom"/>
            <w:tcBorders>
              <w:bottom w:val="single" w:sz="8" w:color="214E93"/>
            </w:tcBorders>
          </w:tcPr>
          <w:p>
            <w:pPr>
              <w:spacing w:after="0"/>
              <w:rPr>
                <w:sz w:val="16"/>
                <w:szCs w:val="16"/>
                <w:color w:val="auto"/>
              </w:rPr>
            </w:pPr>
          </w:p>
        </w:tc>
        <w:tc>
          <w:tcPr>
            <w:tcW w:w="3020" w:type="dxa"/>
            <w:vAlign w:val="bottom"/>
            <w:tcBorders>
              <w:bottom w:val="single" w:sz="8" w:color="214E93"/>
            </w:tcBorders>
            <w:gridSpan w:val="4"/>
          </w:tcPr>
          <w:p>
            <w:pPr>
              <w:jc w:val="right"/>
              <w:ind w:right="722"/>
              <w:spacing w:after="0"/>
              <w:rPr>
                <w:sz w:val="20"/>
                <w:szCs w:val="20"/>
                <w:color w:val="auto"/>
              </w:rPr>
            </w:pPr>
            <w:r>
              <w:rPr>
                <w:rFonts w:ascii="Verdana" w:cs="Verdana" w:eastAsia="Verdana" w:hAnsi="Verdana"/>
                <w:sz w:val="14"/>
                <w:szCs w:val="14"/>
                <w:color w:val="auto"/>
              </w:rPr>
              <w:t>Payments Due by Period</w:t>
            </w:r>
          </w:p>
        </w:tc>
        <w:tc>
          <w:tcPr>
            <w:tcW w:w="240" w:type="dxa"/>
            <w:vAlign w:val="bottom"/>
            <w:tcBorders>
              <w:bottom w:val="single" w:sz="8" w:color="214E93"/>
            </w:tcBorders>
          </w:tcPr>
          <w:p>
            <w:pPr>
              <w:spacing w:after="0"/>
              <w:rPr>
                <w:sz w:val="16"/>
                <w:szCs w:val="16"/>
                <w:color w:val="auto"/>
              </w:rPr>
            </w:pPr>
          </w:p>
        </w:tc>
        <w:tc>
          <w:tcPr>
            <w:tcW w:w="800" w:type="dxa"/>
            <w:vAlign w:val="bottom"/>
            <w:tcBorders>
              <w:bottom w:val="single" w:sz="8" w:color="214E93"/>
            </w:tcBorders>
          </w:tcPr>
          <w:p>
            <w:pPr>
              <w:spacing w:after="0"/>
              <w:rPr>
                <w:sz w:val="16"/>
                <w:szCs w:val="16"/>
                <w:color w:val="auto"/>
              </w:rPr>
            </w:pPr>
          </w:p>
        </w:tc>
      </w:tr>
      <w:tr>
        <w:trPr>
          <w:trHeight w:val="186"/>
        </w:trPr>
        <w:tc>
          <w:tcPr>
            <w:tcW w:w="4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gridSpan w:val="2"/>
          </w:tcPr>
          <w:p>
            <w:pPr>
              <w:jc w:val="right"/>
              <w:ind w:right="43"/>
              <w:spacing w:after="0"/>
              <w:rPr>
                <w:sz w:val="20"/>
                <w:szCs w:val="20"/>
                <w:color w:val="auto"/>
              </w:rPr>
            </w:pPr>
            <w:r>
              <w:rPr>
                <w:rFonts w:ascii="Verdana" w:cs="Verdana" w:eastAsia="Verdana" w:hAnsi="Verdana"/>
                <w:sz w:val="14"/>
                <w:szCs w:val="14"/>
                <w:color w:val="auto"/>
              </w:rPr>
              <w:t>Less Than 1</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Verdana" w:cs="Verdana" w:eastAsia="Verdana" w:hAnsi="Verdana"/>
                <w:sz w:val="14"/>
                <w:szCs w:val="14"/>
                <w:color w:val="auto"/>
              </w:rPr>
              <w:t>More Than 5</w:t>
            </w:r>
          </w:p>
        </w:tc>
      </w:tr>
      <w:tr>
        <w:trPr>
          <w:trHeight w:val="193"/>
        </w:trPr>
        <w:tc>
          <w:tcPr>
            <w:tcW w:w="4180" w:type="dxa"/>
            <w:vAlign w:val="bottom"/>
            <w:tcBorders>
              <w:bottom w:val="single" w:sz="8" w:color="214E93"/>
            </w:tcBorders>
          </w:tcPr>
          <w:p>
            <w:pPr>
              <w:spacing w:after="0"/>
              <w:rPr>
                <w:sz w:val="16"/>
                <w:szCs w:val="16"/>
                <w:color w:val="auto"/>
              </w:rPr>
            </w:pPr>
          </w:p>
        </w:tc>
        <w:tc>
          <w:tcPr>
            <w:tcW w:w="1060" w:type="dxa"/>
            <w:vAlign w:val="bottom"/>
            <w:tcBorders>
              <w:bottom w:val="single" w:sz="8" w:color="214E93"/>
            </w:tcBorders>
          </w:tcPr>
          <w:p>
            <w:pPr>
              <w:jc w:val="right"/>
              <w:ind w:right="282"/>
              <w:spacing w:after="0"/>
              <w:rPr>
                <w:sz w:val="20"/>
                <w:szCs w:val="20"/>
                <w:color w:val="auto"/>
              </w:rPr>
            </w:pPr>
            <w:r>
              <w:rPr>
                <w:rFonts w:ascii="Verdana" w:cs="Verdana" w:eastAsia="Verdana" w:hAnsi="Verdana"/>
                <w:sz w:val="14"/>
                <w:szCs w:val="14"/>
                <w:color w:val="auto"/>
              </w:rPr>
              <w:t>Total</w:t>
            </w:r>
          </w:p>
        </w:tc>
        <w:tc>
          <w:tcPr>
            <w:tcW w:w="260" w:type="dxa"/>
            <w:vAlign w:val="bottom"/>
            <w:tcBorders>
              <w:bottom w:val="single" w:sz="8" w:color="214E93"/>
            </w:tcBorders>
          </w:tcPr>
          <w:p>
            <w:pPr>
              <w:spacing w:after="0"/>
              <w:rPr>
                <w:sz w:val="16"/>
                <w:szCs w:val="16"/>
                <w:color w:val="auto"/>
              </w:rPr>
            </w:pPr>
          </w:p>
        </w:tc>
        <w:tc>
          <w:tcPr>
            <w:tcW w:w="820" w:type="dxa"/>
            <w:vAlign w:val="bottom"/>
            <w:tcBorders>
              <w:bottom w:val="single" w:sz="8" w:color="214E93"/>
            </w:tcBorders>
          </w:tcPr>
          <w:p>
            <w:pPr>
              <w:jc w:val="right"/>
              <w:ind w:right="303"/>
              <w:spacing w:after="0"/>
              <w:rPr>
                <w:sz w:val="20"/>
                <w:szCs w:val="20"/>
                <w:color w:val="auto"/>
              </w:rPr>
            </w:pPr>
            <w:r>
              <w:rPr>
                <w:rFonts w:ascii="Verdana" w:cs="Verdana" w:eastAsia="Verdana" w:hAnsi="Verdana"/>
                <w:sz w:val="14"/>
                <w:szCs w:val="14"/>
                <w:color w:val="auto"/>
              </w:rPr>
              <w:t>Year</w:t>
            </w:r>
          </w:p>
        </w:tc>
        <w:tc>
          <w:tcPr>
            <w:tcW w:w="220" w:type="dxa"/>
            <w:vAlign w:val="bottom"/>
            <w:tcBorders>
              <w:bottom w:val="single" w:sz="8" w:color="214E93"/>
            </w:tcBorders>
          </w:tcPr>
          <w:p>
            <w:pPr>
              <w:spacing w:after="0"/>
              <w:rPr>
                <w:sz w:val="16"/>
                <w:szCs w:val="16"/>
                <w:color w:val="auto"/>
              </w:rPr>
            </w:pPr>
          </w:p>
        </w:tc>
        <w:tc>
          <w:tcPr>
            <w:tcW w:w="880" w:type="dxa"/>
            <w:vAlign w:val="bottom"/>
            <w:tcBorders>
              <w:bottom w:val="single" w:sz="8" w:color="214E93"/>
            </w:tcBorders>
          </w:tcPr>
          <w:p>
            <w:pPr>
              <w:jc w:val="right"/>
              <w:ind w:right="122"/>
              <w:spacing w:after="0"/>
              <w:rPr>
                <w:sz w:val="20"/>
                <w:szCs w:val="20"/>
                <w:color w:val="auto"/>
              </w:rPr>
            </w:pPr>
            <w:r>
              <w:rPr>
                <w:rFonts w:ascii="Verdana" w:cs="Verdana" w:eastAsia="Verdana" w:hAnsi="Verdana"/>
                <w:sz w:val="14"/>
                <w:szCs w:val="14"/>
                <w:color w:val="auto"/>
                <w:w w:val="97"/>
              </w:rPr>
              <w:t>1-3 Years</w:t>
            </w:r>
          </w:p>
        </w:tc>
        <w:tc>
          <w:tcPr>
            <w:tcW w:w="1100" w:type="dxa"/>
            <w:vAlign w:val="bottom"/>
            <w:tcBorders>
              <w:bottom w:val="single" w:sz="8" w:color="214E93"/>
            </w:tcBorders>
          </w:tcPr>
          <w:p>
            <w:pPr>
              <w:jc w:val="right"/>
              <w:ind w:right="142"/>
              <w:spacing w:after="0"/>
              <w:rPr>
                <w:sz w:val="20"/>
                <w:szCs w:val="20"/>
                <w:color w:val="auto"/>
              </w:rPr>
            </w:pPr>
            <w:r>
              <w:rPr>
                <w:rFonts w:ascii="Verdana" w:cs="Verdana" w:eastAsia="Verdana" w:hAnsi="Verdana"/>
                <w:sz w:val="14"/>
                <w:szCs w:val="14"/>
                <w:color w:val="auto"/>
              </w:rPr>
              <w:t>3-5 Years</w:t>
            </w:r>
          </w:p>
        </w:tc>
        <w:tc>
          <w:tcPr>
            <w:tcW w:w="240" w:type="dxa"/>
            <w:vAlign w:val="bottom"/>
            <w:tcBorders>
              <w:bottom w:val="single" w:sz="8" w:color="214E93"/>
            </w:tcBorders>
          </w:tcPr>
          <w:p>
            <w:pPr>
              <w:spacing w:after="0"/>
              <w:rPr>
                <w:sz w:val="16"/>
                <w:szCs w:val="16"/>
                <w:color w:val="auto"/>
              </w:rPr>
            </w:pPr>
          </w:p>
        </w:tc>
        <w:tc>
          <w:tcPr>
            <w:tcW w:w="800" w:type="dxa"/>
            <w:vAlign w:val="bottom"/>
            <w:tcBorders>
              <w:bottom w:val="single" w:sz="8" w:color="214E93"/>
            </w:tcBorders>
          </w:tcPr>
          <w:p>
            <w:pPr>
              <w:jc w:val="right"/>
              <w:ind w:right="223"/>
              <w:spacing w:after="0"/>
              <w:rPr>
                <w:sz w:val="20"/>
                <w:szCs w:val="20"/>
                <w:color w:val="auto"/>
              </w:rPr>
            </w:pPr>
            <w:r>
              <w:rPr>
                <w:rFonts w:ascii="Verdana" w:cs="Verdana" w:eastAsia="Verdana" w:hAnsi="Verdana"/>
                <w:sz w:val="14"/>
                <w:szCs w:val="14"/>
                <w:color w:val="auto"/>
              </w:rPr>
              <w:t>Years</w:t>
            </w:r>
          </w:p>
        </w:tc>
      </w:tr>
      <w:tr>
        <w:trPr>
          <w:trHeight w:val="194"/>
        </w:trPr>
        <w:tc>
          <w:tcPr>
            <w:tcW w:w="4180" w:type="dxa"/>
            <w:vAlign w:val="bottom"/>
          </w:tcPr>
          <w:p>
            <w:pPr>
              <w:ind w:left="40"/>
              <w:spacing w:after="0"/>
              <w:rPr>
                <w:sz w:val="20"/>
                <w:szCs w:val="20"/>
                <w:color w:val="auto"/>
              </w:rPr>
            </w:pPr>
            <w:r>
              <w:rPr>
                <w:rFonts w:ascii="Verdana" w:cs="Verdana" w:eastAsia="Verdana" w:hAnsi="Verdana"/>
                <w:sz w:val="14"/>
                <w:szCs w:val="14"/>
                <w:i w:val="1"/>
                <w:iCs w:val="1"/>
                <w:color w:val="auto"/>
              </w:rPr>
              <w:t>(In thousands)</w:t>
            </w: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58"/>
        </w:trPr>
        <w:tc>
          <w:tcPr>
            <w:tcW w:w="4180" w:type="dxa"/>
            <w:vAlign w:val="bottom"/>
          </w:tcPr>
          <w:p>
            <w:pPr>
              <w:ind w:left="40"/>
              <w:spacing w:after="0"/>
              <w:rPr>
                <w:sz w:val="20"/>
                <w:szCs w:val="20"/>
                <w:color w:val="auto"/>
              </w:rPr>
            </w:pPr>
            <w:r>
              <w:rPr>
                <w:rFonts w:ascii="Calibri" w:cs="Calibri" w:eastAsia="Calibri" w:hAnsi="Calibri"/>
                <w:sz w:val="19"/>
                <w:szCs w:val="19"/>
                <w:b w:val="1"/>
                <w:bCs w:val="1"/>
                <w:color w:val="214E93"/>
              </w:rPr>
              <w:t>Contractual Obligations:</w:t>
            </w: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85"/>
        </w:trPr>
        <w:tc>
          <w:tcPr>
            <w:tcW w:w="4180" w:type="dxa"/>
            <w:vAlign w:val="bottom"/>
          </w:tcPr>
          <w:p>
            <w:pPr>
              <w:ind w:left="40"/>
              <w:spacing w:after="0"/>
              <w:rPr>
                <w:sz w:val="20"/>
                <w:szCs w:val="20"/>
                <w:color w:val="auto"/>
              </w:rPr>
            </w:pPr>
            <w:r>
              <w:rPr>
                <w:rFonts w:ascii="Verdana" w:cs="Verdana" w:eastAsia="Verdana" w:hAnsi="Verdana"/>
                <w:sz w:val="16"/>
                <w:szCs w:val="16"/>
                <w:color w:val="auto"/>
              </w:rPr>
              <w:t>Borrowings, including letters of credit</w:t>
            </w:r>
            <w:r>
              <w:rPr>
                <w:rFonts w:ascii="Verdana" w:cs="Verdana" w:eastAsia="Verdana" w:hAnsi="Verdana"/>
                <w:sz w:val="20"/>
                <w:szCs w:val="20"/>
                <w:color w:val="auto"/>
                <w:vertAlign w:val="superscript"/>
              </w:rPr>
              <w:t>(1)</w:t>
            </w:r>
          </w:p>
        </w:tc>
        <w:tc>
          <w:tcPr>
            <w:tcW w:w="1060" w:type="dxa"/>
            <w:vAlign w:val="bottom"/>
          </w:tcPr>
          <w:p>
            <w:pPr>
              <w:jc w:val="right"/>
              <w:ind w:right="2"/>
              <w:spacing w:after="0"/>
              <w:rPr>
                <w:sz w:val="20"/>
                <w:szCs w:val="20"/>
                <w:color w:val="auto"/>
              </w:rPr>
            </w:pPr>
            <w:r>
              <w:rPr>
                <w:rFonts w:ascii="Verdana" w:cs="Verdana" w:eastAsia="Verdana" w:hAnsi="Verdana"/>
                <w:sz w:val="16"/>
                <w:szCs w:val="16"/>
                <w:color w:val="214E93"/>
              </w:rPr>
              <w:t>$1,350,244</w:t>
            </w:r>
          </w:p>
        </w:tc>
        <w:tc>
          <w:tcPr>
            <w:tcW w:w="26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820" w:type="dxa"/>
            <w:vAlign w:val="bottom"/>
          </w:tcPr>
          <w:p>
            <w:pPr>
              <w:jc w:val="right"/>
              <w:ind w:right="23"/>
              <w:spacing w:after="0"/>
              <w:rPr>
                <w:sz w:val="20"/>
                <w:szCs w:val="20"/>
                <w:color w:val="auto"/>
              </w:rPr>
            </w:pPr>
            <w:r>
              <w:rPr>
                <w:rFonts w:ascii="Verdana" w:cs="Verdana" w:eastAsia="Verdana" w:hAnsi="Verdana"/>
                <w:sz w:val="16"/>
                <w:szCs w:val="16"/>
                <w:color w:val="214E93"/>
              </w:rPr>
              <w:t>—</w:t>
            </w:r>
          </w:p>
        </w:tc>
        <w:tc>
          <w:tcPr>
            <w:tcW w:w="220" w:type="dxa"/>
            <w:vAlign w:val="bottom"/>
          </w:tcPr>
          <w:p>
            <w:pPr>
              <w:ind w:left="100"/>
              <w:spacing w:after="0"/>
              <w:rPr>
                <w:sz w:val="20"/>
                <w:szCs w:val="20"/>
                <w:color w:val="auto"/>
              </w:rPr>
            </w:pPr>
            <w:r>
              <w:rPr>
                <w:rFonts w:ascii="Verdana" w:cs="Verdana" w:eastAsia="Verdana" w:hAnsi="Verdana"/>
                <w:sz w:val="16"/>
                <w:szCs w:val="16"/>
                <w:color w:val="214E93"/>
                <w:w w:val="97"/>
              </w:rPr>
              <w:t>$</w:t>
            </w:r>
          </w:p>
        </w:tc>
        <w:tc>
          <w:tcPr>
            <w:tcW w:w="880" w:type="dxa"/>
            <w:vAlign w:val="bottom"/>
          </w:tcPr>
          <w:p>
            <w:pPr>
              <w:jc w:val="right"/>
              <w:ind w:right="42"/>
              <w:spacing w:after="0"/>
              <w:rPr>
                <w:sz w:val="20"/>
                <w:szCs w:val="20"/>
                <w:color w:val="auto"/>
              </w:rPr>
            </w:pPr>
            <w:r>
              <w:rPr>
                <w:rFonts w:ascii="Verdana" w:cs="Verdana" w:eastAsia="Verdana" w:hAnsi="Verdana"/>
                <w:sz w:val="16"/>
                <w:szCs w:val="16"/>
                <w:color w:val="214E93"/>
              </w:rPr>
              <w:t>—</w:t>
            </w:r>
          </w:p>
        </w:tc>
        <w:tc>
          <w:tcPr>
            <w:tcW w:w="1100" w:type="dxa"/>
            <w:vAlign w:val="bottom"/>
          </w:tcPr>
          <w:p>
            <w:pPr>
              <w:jc w:val="right"/>
              <w:ind w:right="2"/>
              <w:spacing w:after="0"/>
              <w:rPr>
                <w:sz w:val="20"/>
                <w:szCs w:val="20"/>
                <w:color w:val="auto"/>
              </w:rPr>
            </w:pPr>
            <w:r>
              <w:rPr>
                <w:rFonts w:ascii="Verdana" w:cs="Verdana" w:eastAsia="Verdana" w:hAnsi="Verdana"/>
                <w:sz w:val="16"/>
                <w:szCs w:val="16"/>
                <w:color w:val="214E93"/>
              </w:rPr>
              <w:t>$1,350,244</w:t>
            </w:r>
          </w:p>
        </w:tc>
        <w:tc>
          <w:tcPr>
            <w:tcW w:w="240" w:type="dxa"/>
            <w:vAlign w:val="bottom"/>
          </w:tcPr>
          <w:p>
            <w:pPr>
              <w:ind w:left="100"/>
              <w:spacing w:after="0"/>
              <w:rPr>
                <w:sz w:val="20"/>
                <w:szCs w:val="20"/>
                <w:color w:val="auto"/>
              </w:rPr>
            </w:pPr>
            <w:r>
              <w:rPr>
                <w:rFonts w:ascii="Verdana" w:cs="Verdana" w:eastAsia="Verdana" w:hAnsi="Verdana"/>
                <w:sz w:val="16"/>
                <w:szCs w:val="16"/>
                <w:color w:val="214E93"/>
              </w:rPr>
              <w:t>$</w:t>
            </w:r>
          </w:p>
        </w:tc>
        <w:tc>
          <w:tcPr>
            <w:tcW w:w="800" w:type="dxa"/>
            <w:vAlign w:val="bottom"/>
          </w:tcPr>
          <w:p>
            <w:pPr>
              <w:jc w:val="right"/>
              <w:ind w:right="3"/>
              <w:spacing w:after="0"/>
              <w:rPr>
                <w:sz w:val="20"/>
                <w:szCs w:val="20"/>
                <w:color w:val="auto"/>
              </w:rPr>
            </w:pPr>
            <w:r>
              <w:rPr>
                <w:rFonts w:ascii="Verdana" w:cs="Verdana" w:eastAsia="Verdana" w:hAnsi="Verdana"/>
                <w:sz w:val="16"/>
                <w:szCs w:val="16"/>
                <w:color w:val="214E93"/>
              </w:rPr>
              <w:t>—</w:t>
            </w:r>
          </w:p>
        </w:tc>
      </w:tr>
      <w:tr>
        <w:trPr>
          <w:trHeight w:val="236"/>
        </w:trPr>
        <w:tc>
          <w:tcPr>
            <w:tcW w:w="4180" w:type="dxa"/>
            <w:vAlign w:val="bottom"/>
          </w:tcPr>
          <w:p>
            <w:pPr>
              <w:ind w:left="40"/>
              <w:spacing w:after="0" w:line="236" w:lineRule="exact"/>
              <w:rPr>
                <w:sz w:val="20"/>
                <w:szCs w:val="20"/>
                <w:color w:val="auto"/>
              </w:rPr>
            </w:pPr>
            <w:r>
              <w:rPr>
                <w:rFonts w:ascii="Verdana" w:cs="Verdana" w:eastAsia="Verdana" w:hAnsi="Verdana"/>
                <w:sz w:val="16"/>
                <w:szCs w:val="16"/>
                <w:color w:val="auto"/>
              </w:rPr>
              <w:t>Senior unsecured notes</w:t>
            </w:r>
            <w:r>
              <w:rPr>
                <w:rFonts w:ascii="Verdana" w:cs="Verdana" w:eastAsia="Verdana" w:hAnsi="Verdana"/>
                <w:sz w:val="20"/>
                <w:szCs w:val="20"/>
                <w:color w:val="auto"/>
                <w:vertAlign w:val="superscript"/>
              </w:rPr>
              <w:t>(2)</w:t>
            </w:r>
          </w:p>
        </w:tc>
        <w:tc>
          <w:tcPr>
            <w:tcW w:w="1060" w:type="dxa"/>
            <w:vAlign w:val="bottom"/>
          </w:tcPr>
          <w:p>
            <w:pPr>
              <w:jc w:val="right"/>
              <w:ind w:right="42"/>
              <w:spacing w:after="0"/>
              <w:rPr>
                <w:sz w:val="20"/>
                <w:szCs w:val="20"/>
                <w:color w:val="auto"/>
              </w:rPr>
            </w:pPr>
            <w:r>
              <w:rPr>
                <w:rFonts w:ascii="Verdana" w:cs="Verdana" w:eastAsia="Verdana" w:hAnsi="Verdana"/>
                <w:sz w:val="16"/>
                <w:szCs w:val="16"/>
                <w:color w:val="214E93"/>
              </w:rPr>
              <w:t>2,150,000</w:t>
            </w:r>
          </w:p>
        </w:tc>
        <w:tc>
          <w:tcPr>
            <w:tcW w:w="260" w:type="dxa"/>
            <w:vAlign w:val="bottom"/>
          </w:tcPr>
          <w:p>
            <w:pPr>
              <w:spacing w:after="0"/>
              <w:rPr>
                <w:sz w:val="20"/>
                <w:szCs w:val="20"/>
                <w:color w:val="auto"/>
              </w:rPr>
            </w:pPr>
          </w:p>
        </w:tc>
        <w:tc>
          <w:tcPr>
            <w:tcW w:w="820" w:type="dxa"/>
            <w:vAlign w:val="bottom"/>
          </w:tcPr>
          <w:p>
            <w:pPr>
              <w:jc w:val="right"/>
              <w:ind w:right="23"/>
              <w:spacing w:after="0"/>
              <w:rPr>
                <w:sz w:val="20"/>
                <w:szCs w:val="20"/>
                <w:color w:val="auto"/>
              </w:rPr>
            </w:pPr>
            <w:r>
              <w:rPr>
                <w:rFonts w:ascii="Verdana" w:cs="Verdana" w:eastAsia="Verdana" w:hAnsi="Verdana"/>
                <w:sz w:val="16"/>
                <w:szCs w:val="16"/>
                <w:color w:val="214E93"/>
              </w:rPr>
              <w:t>—</w:t>
            </w:r>
          </w:p>
        </w:tc>
        <w:tc>
          <w:tcPr>
            <w:tcW w:w="22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Verdana" w:cs="Verdana" w:eastAsia="Verdana" w:hAnsi="Verdana"/>
                <w:sz w:val="16"/>
                <w:szCs w:val="16"/>
                <w:color w:val="214E93"/>
              </w:rPr>
              <w:t>500,000</w:t>
            </w:r>
          </w:p>
        </w:tc>
        <w:tc>
          <w:tcPr>
            <w:tcW w:w="1100" w:type="dxa"/>
            <w:vAlign w:val="bottom"/>
          </w:tcPr>
          <w:p>
            <w:pPr>
              <w:jc w:val="right"/>
              <w:ind w:right="42"/>
              <w:spacing w:after="0"/>
              <w:rPr>
                <w:sz w:val="20"/>
                <w:szCs w:val="20"/>
                <w:color w:val="auto"/>
              </w:rPr>
            </w:pPr>
            <w:r>
              <w:rPr>
                <w:rFonts w:ascii="Verdana" w:cs="Verdana" w:eastAsia="Verdana" w:hAnsi="Verdana"/>
                <w:sz w:val="16"/>
                <w:szCs w:val="16"/>
                <w:color w:val="214E93"/>
              </w:rPr>
              <w:t>—</w:t>
            </w:r>
          </w:p>
        </w:tc>
        <w:tc>
          <w:tcPr>
            <w:tcW w:w="1040" w:type="dxa"/>
            <w:vAlign w:val="bottom"/>
            <w:gridSpan w:val="2"/>
          </w:tcPr>
          <w:p>
            <w:pPr>
              <w:jc w:val="right"/>
              <w:ind w:right="3"/>
              <w:spacing w:after="0"/>
              <w:rPr>
                <w:sz w:val="20"/>
                <w:szCs w:val="20"/>
                <w:color w:val="auto"/>
              </w:rPr>
            </w:pPr>
            <w:r>
              <w:rPr>
                <w:rFonts w:ascii="Verdana" w:cs="Verdana" w:eastAsia="Verdana" w:hAnsi="Verdana"/>
                <w:sz w:val="16"/>
                <w:szCs w:val="16"/>
                <w:color w:val="214E93"/>
              </w:rPr>
              <w:t>1,650,000</w:t>
            </w:r>
          </w:p>
        </w:tc>
      </w:tr>
      <w:tr>
        <w:trPr>
          <w:trHeight w:val="211"/>
        </w:trPr>
        <w:tc>
          <w:tcPr>
            <w:tcW w:w="4180" w:type="dxa"/>
            <w:vAlign w:val="bottom"/>
          </w:tcPr>
          <w:p>
            <w:pPr>
              <w:ind w:left="40"/>
              <w:spacing w:after="0"/>
              <w:rPr>
                <w:sz w:val="20"/>
                <w:szCs w:val="20"/>
                <w:color w:val="auto"/>
              </w:rPr>
            </w:pPr>
            <w:r>
              <w:rPr>
                <w:rFonts w:ascii="Verdana" w:cs="Verdana" w:eastAsia="Verdana" w:hAnsi="Verdana"/>
                <w:sz w:val="16"/>
                <w:szCs w:val="16"/>
                <w:color w:val="auto"/>
              </w:rPr>
              <w:t>Office leases</w:t>
            </w:r>
          </w:p>
        </w:tc>
        <w:tc>
          <w:tcPr>
            <w:tcW w:w="1060" w:type="dxa"/>
            <w:vAlign w:val="bottom"/>
          </w:tcPr>
          <w:p>
            <w:pPr>
              <w:jc w:val="right"/>
              <w:ind w:right="42"/>
              <w:spacing w:after="0"/>
              <w:rPr>
                <w:sz w:val="20"/>
                <w:szCs w:val="20"/>
                <w:color w:val="auto"/>
              </w:rPr>
            </w:pPr>
            <w:r>
              <w:rPr>
                <w:rFonts w:ascii="Verdana" w:cs="Verdana" w:eastAsia="Verdana" w:hAnsi="Verdana"/>
                <w:sz w:val="16"/>
                <w:szCs w:val="16"/>
                <w:color w:val="214E93"/>
              </w:rPr>
              <w:t>101,390</w:t>
            </w:r>
          </w:p>
        </w:tc>
        <w:tc>
          <w:tcPr>
            <w:tcW w:w="260" w:type="dxa"/>
            <w:vAlign w:val="bottom"/>
          </w:tcPr>
          <w:p>
            <w:pPr>
              <w:spacing w:after="0"/>
              <w:rPr>
                <w:sz w:val="18"/>
                <w:szCs w:val="18"/>
                <w:color w:val="auto"/>
              </w:rPr>
            </w:pPr>
          </w:p>
        </w:tc>
        <w:tc>
          <w:tcPr>
            <w:tcW w:w="820" w:type="dxa"/>
            <w:vAlign w:val="bottom"/>
          </w:tcPr>
          <w:p>
            <w:pPr>
              <w:jc w:val="right"/>
              <w:ind w:right="23"/>
              <w:spacing w:after="0"/>
              <w:rPr>
                <w:sz w:val="20"/>
                <w:szCs w:val="20"/>
                <w:color w:val="auto"/>
              </w:rPr>
            </w:pPr>
            <w:r>
              <w:rPr>
                <w:rFonts w:ascii="Verdana" w:cs="Verdana" w:eastAsia="Verdana" w:hAnsi="Verdana"/>
                <w:sz w:val="16"/>
                <w:szCs w:val="16"/>
                <w:color w:val="214E93"/>
              </w:rPr>
              <w:t>3,542</w:t>
            </w:r>
          </w:p>
        </w:tc>
        <w:tc>
          <w:tcPr>
            <w:tcW w:w="220" w:type="dxa"/>
            <w:vAlign w:val="bottom"/>
          </w:tcPr>
          <w:p>
            <w:pPr>
              <w:spacing w:after="0"/>
              <w:rPr>
                <w:sz w:val="18"/>
                <w:szCs w:val="18"/>
                <w:color w:val="auto"/>
              </w:rPr>
            </w:pPr>
          </w:p>
        </w:tc>
        <w:tc>
          <w:tcPr>
            <w:tcW w:w="880" w:type="dxa"/>
            <w:vAlign w:val="bottom"/>
          </w:tcPr>
          <w:p>
            <w:pPr>
              <w:jc w:val="right"/>
              <w:ind w:right="42"/>
              <w:spacing w:after="0"/>
              <w:rPr>
                <w:sz w:val="20"/>
                <w:szCs w:val="20"/>
                <w:color w:val="auto"/>
              </w:rPr>
            </w:pPr>
            <w:r>
              <w:rPr>
                <w:rFonts w:ascii="Verdana" w:cs="Verdana" w:eastAsia="Verdana" w:hAnsi="Verdana"/>
                <w:sz w:val="16"/>
                <w:szCs w:val="16"/>
                <w:color w:val="214E93"/>
              </w:rPr>
              <w:t>12,339</w:t>
            </w:r>
          </w:p>
        </w:tc>
        <w:tc>
          <w:tcPr>
            <w:tcW w:w="1100" w:type="dxa"/>
            <w:vAlign w:val="bottom"/>
          </w:tcPr>
          <w:p>
            <w:pPr>
              <w:jc w:val="right"/>
              <w:ind w:right="42"/>
              <w:spacing w:after="0"/>
              <w:rPr>
                <w:sz w:val="20"/>
                <w:szCs w:val="20"/>
                <w:color w:val="auto"/>
              </w:rPr>
            </w:pPr>
            <w:r>
              <w:rPr>
                <w:rFonts w:ascii="Verdana" w:cs="Verdana" w:eastAsia="Verdana" w:hAnsi="Verdana"/>
                <w:sz w:val="16"/>
                <w:szCs w:val="16"/>
                <w:color w:val="214E93"/>
              </w:rPr>
              <w:t>13,091</w:t>
            </w:r>
          </w:p>
        </w:tc>
        <w:tc>
          <w:tcPr>
            <w:tcW w:w="24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Verdana" w:cs="Verdana" w:eastAsia="Verdana" w:hAnsi="Verdana"/>
                <w:sz w:val="16"/>
                <w:szCs w:val="16"/>
                <w:color w:val="214E93"/>
              </w:rPr>
              <w:t>72,418</w:t>
            </w:r>
          </w:p>
        </w:tc>
      </w:tr>
      <w:tr>
        <w:trPr>
          <w:trHeight w:val="261"/>
        </w:trPr>
        <w:tc>
          <w:tcPr>
            <w:tcW w:w="4180" w:type="dxa"/>
            <w:vAlign w:val="bottom"/>
          </w:tcPr>
          <w:p>
            <w:pPr>
              <w:ind w:left="40"/>
              <w:spacing w:after="0"/>
              <w:rPr>
                <w:sz w:val="20"/>
                <w:szCs w:val="20"/>
                <w:color w:val="auto"/>
              </w:rPr>
            </w:pPr>
            <w:r>
              <w:rPr>
                <w:rFonts w:ascii="Verdana" w:cs="Verdana" w:eastAsia="Verdana" w:hAnsi="Verdana"/>
                <w:sz w:val="16"/>
                <w:szCs w:val="16"/>
                <w:color w:val="auto"/>
              </w:rPr>
              <w:t>Non-operated drilling commitments</w:t>
            </w:r>
            <w:r>
              <w:rPr>
                <w:rFonts w:ascii="Verdana" w:cs="Verdana" w:eastAsia="Verdana" w:hAnsi="Verdana"/>
                <w:sz w:val="20"/>
                <w:szCs w:val="20"/>
                <w:color w:val="auto"/>
                <w:vertAlign w:val="superscript"/>
              </w:rPr>
              <w:t>(3)</w:t>
            </w:r>
          </w:p>
        </w:tc>
        <w:tc>
          <w:tcPr>
            <w:tcW w:w="1060" w:type="dxa"/>
            <w:vAlign w:val="bottom"/>
          </w:tcPr>
          <w:p>
            <w:pPr>
              <w:jc w:val="right"/>
              <w:ind w:right="42"/>
              <w:spacing w:after="0"/>
              <w:rPr>
                <w:sz w:val="20"/>
                <w:szCs w:val="20"/>
                <w:color w:val="auto"/>
              </w:rPr>
            </w:pPr>
            <w:r>
              <w:rPr>
                <w:rFonts w:ascii="Verdana" w:cs="Verdana" w:eastAsia="Verdana" w:hAnsi="Verdana"/>
                <w:sz w:val="16"/>
                <w:szCs w:val="16"/>
                <w:color w:val="214E93"/>
              </w:rPr>
              <w:t>79,038</w:t>
            </w:r>
          </w:p>
        </w:tc>
        <w:tc>
          <w:tcPr>
            <w:tcW w:w="260" w:type="dxa"/>
            <w:vAlign w:val="bottom"/>
          </w:tcPr>
          <w:p>
            <w:pPr>
              <w:spacing w:after="0"/>
              <w:rPr>
                <w:sz w:val="22"/>
                <w:szCs w:val="22"/>
                <w:color w:val="auto"/>
              </w:rPr>
            </w:pPr>
          </w:p>
        </w:tc>
        <w:tc>
          <w:tcPr>
            <w:tcW w:w="820" w:type="dxa"/>
            <w:vAlign w:val="bottom"/>
          </w:tcPr>
          <w:p>
            <w:pPr>
              <w:jc w:val="right"/>
              <w:ind w:right="23"/>
              <w:spacing w:after="0"/>
              <w:rPr>
                <w:sz w:val="20"/>
                <w:szCs w:val="20"/>
                <w:color w:val="auto"/>
              </w:rPr>
            </w:pPr>
            <w:r>
              <w:rPr>
                <w:rFonts w:ascii="Verdana" w:cs="Verdana" w:eastAsia="Verdana" w:hAnsi="Verdana"/>
                <w:sz w:val="16"/>
                <w:szCs w:val="16"/>
                <w:color w:val="214E93"/>
              </w:rPr>
              <w:t>79,038</w:t>
            </w:r>
          </w:p>
        </w:tc>
        <w:tc>
          <w:tcPr>
            <w:tcW w:w="220" w:type="dxa"/>
            <w:vAlign w:val="bottom"/>
          </w:tcPr>
          <w:p>
            <w:pPr>
              <w:spacing w:after="0"/>
              <w:rPr>
                <w:sz w:val="22"/>
                <w:szCs w:val="22"/>
                <w:color w:val="auto"/>
              </w:rPr>
            </w:pPr>
          </w:p>
        </w:tc>
        <w:tc>
          <w:tcPr>
            <w:tcW w:w="880" w:type="dxa"/>
            <w:vAlign w:val="bottom"/>
          </w:tcPr>
          <w:p>
            <w:pPr>
              <w:jc w:val="right"/>
              <w:ind w:right="42"/>
              <w:spacing w:after="0"/>
              <w:rPr>
                <w:sz w:val="20"/>
                <w:szCs w:val="20"/>
                <w:color w:val="auto"/>
              </w:rPr>
            </w:pPr>
            <w:r>
              <w:rPr>
                <w:rFonts w:ascii="Verdana" w:cs="Verdana" w:eastAsia="Verdana" w:hAnsi="Verdana"/>
                <w:sz w:val="16"/>
                <w:szCs w:val="16"/>
                <w:color w:val="214E93"/>
              </w:rPr>
              <w:t>—</w:t>
            </w:r>
          </w:p>
        </w:tc>
        <w:tc>
          <w:tcPr>
            <w:tcW w:w="1100" w:type="dxa"/>
            <w:vAlign w:val="bottom"/>
          </w:tcPr>
          <w:p>
            <w:pPr>
              <w:jc w:val="right"/>
              <w:ind w:right="42"/>
              <w:spacing w:after="0"/>
              <w:rPr>
                <w:sz w:val="20"/>
                <w:szCs w:val="20"/>
                <w:color w:val="auto"/>
              </w:rPr>
            </w:pPr>
            <w:r>
              <w:rPr>
                <w:rFonts w:ascii="Verdana" w:cs="Verdana" w:eastAsia="Verdana" w:hAnsi="Verdana"/>
                <w:sz w:val="16"/>
                <w:szCs w:val="16"/>
                <w:color w:val="214E93"/>
              </w:rPr>
              <w:t>—</w:t>
            </w:r>
          </w:p>
        </w:tc>
        <w:tc>
          <w:tcPr>
            <w:tcW w:w="240" w:type="dxa"/>
            <w:vAlign w:val="bottom"/>
          </w:tcPr>
          <w:p>
            <w:pPr>
              <w:spacing w:after="0"/>
              <w:rPr>
                <w:sz w:val="22"/>
                <w:szCs w:val="22"/>
                <w:color w:val="auto"/>
              </w:rPr>
            </w:pPr>
          </w:p>
        </w:tc>
        <w:tc>
          <w:tcPr>
            <w:tcW w:w="800" w:type="dxa"/>
            <w:vAlign w:val="bottom"/>
          </w:tcPr>
          <w:p>
            <w:pPr>
              <w:jc w:val="right"/>
              <w:ind w:right="3"/>
              <w:spacing w:after="0"/>
              <w:rPr>
                <w:sz w:val="20"/>
                <w:szCs w:val="20"/>
                <w:color w:val="auto"/>
              </w:rPr>
            </w:pPr>
            <w:r>
              <w:rPr>
                <w:rFonts w:ascii="Verdana" w:cs="Verdana" w:eastAsia="Verdana" w:hAnsi="Verdana"/>
                <w:sz w:val="16"/>
                <w:szCs w:val="16"/>
                <w:color w:val="214E93"/>
              </w:rPr>
              <w:t>—</w:t>
            </w:r>
          </w:p>
        </w:tc>
      </w:tr>
      <w:tr>
        <w:trPr>
          <w:trHeight w:val="236"/>
        </w:trPr>
        <w:tc>
          <w:tcPr>
            <w:tcW w:w="4180" w:type="dxa"/>
            <w:vAlign w:val="bottom"/>
          </w:tcPr>
          <w:p>
            <w:pPr>
              <w:ind w:left="40"/>
              <w:spacing w:after="0" w:line="236" w:lineRule="exact"/>
              <w:rPr>
                <w:sz w:val="20"/>
                <w:szCs w:val="20"/>
                <w:color w:val="auto"/>
              </w:rPr>
            </w:pPr>
            <w:r>
              <w:rPr>
                <w:rFonts w:ascii="Verdana" w:cs="Verdana" w:eastAsia="Verdana" w:hAnsi="Verdana"/>
                <w:sz w:val="16"/>
                <w:szCs w:val="16"/>
                <w:color w:val="auto"/>
              </w:rPr>
              <w:t>Drilling rig contracts</w:t>
            </w:r>
            <w:r>
              <w:rPr>
                <w:rFonts w:ascii="Verdana" w:cs="Verdana" w:eastAsia="Verdana" w:hAnsi="Verdana"/>
                <w:sz w:val="20"/>
                <w:szCs w:val="20"/>
                <w:color w:val="auto"/>
                <w:vertAlign w:val="superscript"/>
              </w:rPr>
              <w:t>(4)</w:t>
            </w:r>
          </w:p>
        </w:tc>
        <w:tc>
          <w:tcPr>
            <w:tcW w:w="1060" w:type="dxa"/>
            <w:vAlign w:val="bottom"/>
          </w:tcPr>
          <w:p>
            <w:pPr>
              <w:jc w:val="right"/>
              <w:ind w:right="42"/>
              <w:spacing w:after="0"/>
              <w:rPr>
                <w:sz w:val="20"/>
                <w:szCs w:val="20"/>
                <w:color w:val="auto"/>
              </w:rPr>
            </w:pPr>
            <w:r>
              <w:rPr>
                <w:rFonts w:ascii="Verdana" w:cs="Verdana" w:eastAsia="Verdana" w:hAnsi="Verdana"/>
                <w:sz w:val="16"/>
                <w:szCs w:val="16"/>
                <w:color w:val="214E93"/>
              </w:rPr>
              <w:t>22,622</w:t>
            </w:r>
          </w:p>
        </w:tc>
        <w:tc>
          <w:tcPr>
            <w:tcW w:w="260" w:type="dxa"/>
            <w:vAlign w:val="bottom"/>
          </w:tcPr>
          <w:p>
            <w:pPr>
              <w:spacing w:after="0"/>
              <w:rPr>
                <w:sz w:val="20"/>
                <w:szCs w:val="20"/>
                <w:color w:val="auto"/>
              </w:rPr>
            </w:pPr>
          </w:p>
        </w:tc>
        <w:tc>
          <w:tcPr>
            <w:tcW w:w="820" w:type="dxa"/>
            <w:vAlign w:val="bottom"/>
          </w:tcPr>
          <w:p>
            <w:pPr>
              <w:jc w:val="right"/>
              <w:ind w:right="23"/>
              <w:spacing w:after="0"/>
              <w:rPr>
                <w:sz w:val="20"/>
                <w:szCs w:val="20"/>
                <w:color w:val="auto"/>
              </w:rPr>
            </w:pPr>
            <w:r>
              <w:rPr>
                <w:rFonts w:ascii="Verdana" w:cs="Verdana" w:eastAsia="Verdana" w:hAnsi="Verdana"/>
                <w:sz w:val="16"/>
                <w:szCs w:val="16"/>
                <w:color w:val="214E93"/>
              </w:rPr>
              <w:t>22,622</w:t>
            </w:r>
          </w:p>
        </w:tc>
        <w:tc>
          <w:tcPr>
            <w:tcW w:w="22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Verdana" w:cs="Verdana" w:eastAsia="Verdana" w:hAnsi="Verdana"/>
                <w:sz w:val="16"/>
                <w:szCs w:val="16"/>
                <w:color w:val="214E93"/>
              </w:rPr>
              <w:t>—</w:t>
            </w:r>
          </w:p>
        </w:tc>
        <w:tc>
          <w:tcPr>
            <w:tcW w:w="1100" w:type="dxa"/>
            <w:vAlign w:val="bottom"/>
          </w:tcPr>
          <w:p>
            <w:pPr>
              <w:jc w:val="right"/>
              <w:ind w:right="42"/>
              <w:spacing w:after="0"/>
              <w:rPr>
                <w:sz w:val="20"/>
                <w:szCs w:val="20"/>
                <w:color w:val="auto"/>
              </w:rPr>
            </w:pPr>
            <w:r>
              <w:rPr>
                <w:rFonts w:ascii="Verdana" w:cs="Verdana" w:eastAsia="Verdana" w:hAnsi="Verdana"/>
                <w:sz w:val="16"/>
                <w:szCs w:val="16"/>
                <w:color w:val="214E93"/>
              </w:rPr>
              <w:t>—</w:t>
            </w:r>
          </w:p>
        </w:tc>
        <w:tc>
          <w:tcPr>
            <w:tcW w:w="240" w:type="dxa"/>
            <w:vAlign w:val="bottom"/>
          </w:tcPr>
          <w:p>
            <w:pPr>
              <w:spacing w:after="0"/>
              <w:rPr>
                <w:sz w:val="20"/>
                <w:szCs w:val="20"/>
                <w:color w:val="auto"/>
              </w:rPr>
            </w:pPr>
          </w:p>
        </w:tc>
        <w:tc>
          <w:tcPr>
            <w:tcW w:w="800" w:type="dxa"/>
            <w:vAlign w:val="bottom"/>
          </w:tcPr>
          <w:p>
            <w:pPr>
              <w:jc w:val="right"/>
              <w:ind w:right="3"/>
              <w:spacing w:after="0"/>
              <w:rPr>
                <w:sz w:val="20"/>
                <w:szCs w:val="20"/>
                <w:color w:val="auto"/>
              </w:rPr>
            </w:pPr>
            <w:r>
              <w:rPr>
                <w:rFonts w:ascii="Verdana" w:cs="Verdana" w:eastAsia="Verdana" w:hAnsi="Verdana"/>
                <w:sz w:val="16"/>
                <w:szCs w:val="16"/>
                <w:color w:val="214E93"/>
              </w:rPr>
              <w:t>—</w:t>
            </w:r>
          </w:p>
        </w:tc>
      </w:tr>
      <w:tr>
        <w:trPr>
          <w:trHeight w:val="239"/>
        </w:trPr>
        <w:tc>
          <w:tcPr>
            <w:tcW w:w="4180" w:type="dxa"/>
            <w:vAlign w:val="bottom"/>
          </w:tcPr>
          <w:p>
            <w:pPr>
              <w:ind w:left="40"/>
              <w:spacing w:after="0" w:line="240" w:lineRule="exact"/>
              <w:rPr>
                <w:sz w:val="20"/>
                <w:szCs w:val="20"/>
                <w:color w:val="auto"/>
              </w:rPr>
            </w:pPr>
            <w:r>
              <w:rPr>
                <w:rFonts w:ascii="Verdana" w:cs="Verdana" w:eastAsia="Verdana" w:hAnsi="Verdana"/>
                <w:sz w:val="16"/>
                <w:szCs w:val="16"/>
                <w:color w:val="auto"/>
              </w:rPr>
              <w:t>Asset retirement obligations</w:t>
            </w:r>
            <w:r>
              <w:rPr>
                <w:rFonts w:ascii="Verdana" w:cs="Verdana" w:eastAsia="Verdana" w:hAnsi="Verdana"/>
                <w:sz w:val="20"/>
                <w:szCs w:val="20"/>
                <w:color w:val="auto"/>
                <w:vertAlign w:val="superscript"/>
              </w:rPr>
              <w:t>(5)</w:t>
            </w:r>
          </w:p>
        </w:tc>
        <w:tc>
          <w:tcPr>
            <w:tcW w:w="1060" w:type="dxa"/>
            <w:vAlign w:val="bottom"/>
          </w:tcPr>
          <w:p>
            <w:pPr>
              <w:jc w:val="right"/>
              <w:ind w:right="42"/>
              <w:spacing w:after="0"/>
              <w:rPr>
                <w:sz w:val="20"/>
                <w:szCs w:val="20"/>
                <w:color w:val="auto"/>
              </w:rPr>
            </w:pPr>
            <w:r>
              <w:rPr>
                <w:rFonts w:ascii="Verdana" w:cs="Verdana" w:eastAsia="Verdana" w:hAnsi="Verdana"/>
                <w:sz w:val="16"/>
                <w:szCs w:val="16"/>
                <w:color w:val="214E93"/>
              </w:rPr>
              <w:t>150,372</w:t>
            </w:r>
          </w:p>
        </w:tc>
        <w:tc>
          <w:tcPr>
            <w:tcW w:w="260" w:type="dxa"/>
            <w:vAlign w:val="bottom"/>
          </w:tcPr>
          <w:p>
            <w:pPr>
              <w:spacing w:after="0"/>
              <w:rPr>
                <w:sz w:val="20"/>
                <w:szCs w:val="20"/>
                <w:color w:val="auto"/>
              </w:rPr>
            </w:pPr>
          </w:p>
        </w:tc>
        <w:tc>
          <w:tcPr>
            <w:tcW w:w="820" w:type="dxa"/>
            <w:vAlign w:val="bottom"/>
          </w:tcPr>
          <w:p>
            <w:pPr>
              <w:jc w:val="right"/>
              <w:ind w:right="23"/>
              <w:spacing w:after="0"/>
              <w:rPr>
                <w:sz w:val="20"/>
                <w:szCs w:val="20"/>
                <w:color w:val="auto"/>
              </w:rPr>
            </w:pPr>
            <w:r>
              <w:rPr>
                <w:rFonts w:ascii="Verdana" w:cs="Verdana" w:eastAsia="Verdana" w:hAnsi="Verdana"/>
                <w:sz w:val="16"/>
                <w:szCs w:val="16"/>
                <w:color w:val="214E93"/>
              </w:rPr>
              <w:t>6,309</w:t>
            </w:r>
          </w:p>
        </w:tc>
        <w:tc>
          <w:tcPr>
            <w:tcW w:w="22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Verdana" w:cs="Verdana" w:eastAsia="Verdana" w:hAnsi="Verdana"/>
                <w:sz w:val="16"/>
                <w:szCs w:val="16"/>
                <w:color w:val="214E93"/>
              </w:rPr>
              <w:t>6,785</w:t>
            </w:r>
          </w:p>
        </w:tc>
        <w:tc>
          <w:tcPr>
            <w:tcW w:w="1100" w:type="dxa"/>
            <w:vAlign w:val="bottom"/>
          </w:tcPr>
          <w:p>
            <w:pPr>
              <w:jc w:val="right"/>
              <w:ind w:right="42"/>
              <w:spacing w:after="0"/>
              <w:rPr>
                <w:sz w:val="20"/>
                <w:szCs w:val="20"/>
                <w:color w:val="auto"/>
              </w:rPr>
            </w:pPr>
            <w:r>
              <w:rPr>
                <w:rFonts w:ascii="Verdana" w:cs="Verdana" w:eastAsia="Verdana" w:hAnsi="Verdana"/>
                <w:sz w:val="16"/>
                <w:szCs w:val="16"/>
                <w:color w:val="214E93"/>
              </w:rPr>
              <w:t>1,720</w:t>
            </w:r>
          </w:p>
        </w:tc>
        <w:tc>
          <w:tcPr>
            <w:tcW w:w="240" w:type="dxa"/>
            <w:vAlign w:val="bottom"/>
          </w:tcPr>
          <w:p>
            <w:pPr>
              <w:spacing w:after="0"/>
              <w:rPr>
                <w:sz w:val="20"/>
                <w:szCs w:val="20"/>
                <w:color w:val="auto"/>
              </w:rPr>
            </w:pPr>
          </w:p>
        </w:tc>
        <w:tc>
          <w:tcPr>
            <w:tcW w:w="800" w:type="dxa"/>
            <w:vAlign w:val="bottom"/>
          </w:tcPr>
          <w:p>
            <w:pPr>
              <w:jc w:val="right"/>
              <w:ind w:right="3"/>
              <w:spacing w:after="0"/>
              <w:rPr>
                <w:sz w:val="20"/>
                <w:szCs w:val="20"/>
                <w:color w:val="auto"/>
              </w:rPr>
            </w:pPr>
            <w:r>
              <w:rPr>
                <w:rFonts w:ascii="Verdana" w:cs="Verdana" w:eastAsia="Verdana" w:hAnsi="Verdana"/>
                <w:sz w:val="16"/>
                <w:szCs w:val="16"/>
                <w:color w:val="214E93"/>
              </w:rPr>
              <w:t>135,558</w:t>
            </w:r>
          </w:p>
        </w:tc>
      </w:tr>
      <w:tr>
        <w:trPr>
          <w:trHeight w:val="189"/>
        </w:trPr>
        <w:tc>
          <w:tcPr>
            <w:tcW w:w="4180" w:type="dxa"/>
            <w:vAlign w:val="bottom"/>
          </w:tcPr>
          <w:p>
            <w:pPr>
              <w:ind w:left="40"/>
              <w:spacing w:after="0" w:line="189" w:lineRule="exact"/>
              <w:rPr>
                <w:sz w:val="20"/>
                <w:szCs w:val="20"/>
                <w:color w:val="auto"/>
              </w:rPr>
            </w:pPr>
            <w:r>
              <w:rPr>
                <w:rFonts w:ascii="Verdana" w:cs="Verdana" w:eastAsia="Verdana" w:hAnsi="Verdana"/>
                <w:sz w:val="16"/>
                <w:szCs w:val="16"/>
                <w:color w:val="auto"/>
              </w:rPr>
              <w:t>Transportation, gathering, processing and</w:t>
            </w: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9"/>
        </w:trPr>
        <w:tc>
          <w:tcPr>
            <w:tcW w:w="4180" w:type="dxa"/>
            <w:vAlign w:val="bottom"/>
          </w:tcPr>
          <w:p>
            <w:pPr>
              <w:ind w:left="40"/>
              <w:spacing w:after="0" w:line="240" w:lineRule="exact"/>
              <w:rPr>
                <w:sz w:val="20"/>
                <w:szCs w:val="20"/>
                <w:color w:val="auto"/>
              </w:rPr>
            </w:pPr>
            <w:r>
              <w:rPr>
                <w:rFonts w:ascii="Verdana" w:cs="Verdana" w:eastAsia="Verdana" w:hAnsi="Verdana"/>
                <w:sz w:val="16"/>
                <w:szCs w:val="16"/>
                <w:color w:val="auto"/>
              </w:rPr>
              <w:t>disposal agreements with non-affiliates</w:t>
            </w:r>
            <w:r>
              <w:rPr>
                <w:rFonts w:ascii="Verdana" w:cs="Verdana" w:eastAsia="Verdana" w:hAnsi="Verdana"/>
                <w:sz w:val="20"/>
                <w:szCs w:val="20"/>
                <w:color w:val="auto"/>
                <w:vertAlign w:val="superscript"/>
              </w:rPr>
              <w:t>(6)</w:t>
            </w:r>
          </w:p>
        </w:tc>
        <w:tc>
          <w:tcPr>
            <w:tcW w:w="1060" w:type="dxa"/>
            <w:vAlign w:val="bottom"/>
          </w:tcPr>
          <w:p>
            <w:pPr>
              <w:jc w:val="right"/>
              <w:ind w:right="42"/>
              <w:spacing w:after="0"/>
              <w:rPr>
                <w:sz w:val="20"/>
                <w:szCs w:val="20"/>
                <w:color w:val="auto"/>
              </w:rPr>
            </w:pPr>
            <w:r>
              <w:rPr>
                <w:rFonts w:ascii="Verdana" w:cs="Verdana" w:eastAsia="Verdana" w:hAnsi="Verdana"/>
                <w:sz w:val="16"/>
                <w:szCs w:val="16"/>
                <w:color w:val="214E93"/>
              </w:rPr>
              <w:t>2,320,113</w:t>
            </w:r>
          </w:p>
        </w:tc>
        <w:tc>
          <w:tcPr>
            <w:tcW w:w="260" w:type="dxa"/>
            <w:vAlign w:val="bottom"/>
          </w:tcPr>
          <w:p>
            <w:pPr>
              <w:spacing w:after="0"/>
              <w:rPr>
                <w:sz w:val="20"/>
                <w:szCs w:val="20"/>
                <w:color w:val="auto"/>
              </w:rPr>
            </w:pPr>
          </w:p>
        </w:tc>
        <w:tc>
          <w:tcPr>
            <w:tcW w:w="820" w:type="dxa"/>
            <w:vAlign w:val="bottom"/>
          </w:tcPr>
          <w:p>
            <w:pPr>
              <w:jc w:val="right"/>
              <w:ind w:right="23"/>
              <w:spacing w:after="0"/>
              <w:rPr>
                <w:sz w:val="20"/>
                <w:szCs w:val="20"/>
                <w:color w:val="auto"/>
              </w:rPr>
            </w:pPr>
            <w:r>
              <w:rPr>
                <w:rFonts w:ascii="Verdana" w:cs="Verdana" w:eastAsia="Verdana" w:hAnsi="Verdana"/>
                <w:sz w:val="16"/>
                <w:szCs w:val="16"/>
                <w:color w:val="214E93"/>
              </w:rPr>
              <w:t>144,567</w:t>
            </w:r>
          </w:p>
        </w:tc>
        <w:tc>
          <w:tcPr>
            <w:tcW w:w="22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Verdana" w:cs="Verdana" w:eastAsia="Verdana" w:hAnsi="Verdana"/>
                <w:sz w:val="16"/>
                <w:szCs w:val="16"/>
                <w:color w:val="214E93"/>
              </w:rPr>
              <w:t>582,695</w:t>
            </w:r>
          </w:p>
        </w:tc>
        <w:tc>
          <w:tcPr>
            <w:tcW w:w="1100" w:type="dxa"/>
            <w:vAlign w:val="bottom"/>
          </w:tcPr>
          <w:p>
            <w:pPr>
              <w:jc w:val="right"/>
              <w:ind w:right="42"/>
              <w:spacing w:after="0"/>
              <w:rPr>
                <w:sz w:val="20"/>
                <w:szCs w:val="20"/>
                <w:color w:val="auto"/>
              </w:rPr>
            </w:pPr>
            <w:r>
              <w:rPr>
                <w:rFonts w:ascii="Verdana" w:cs="Verdana" w:eastAsia="Verdana" w:hAnsi="Verdana"/>
                <w:sz w:val="16"/>
                <w:szCs w:val="16"/>
                <w:color w:val="214E93"/>
              </w:rPr>
              <w:t>452,288</w:t>
            </w:r>
          </w:p>
        </w:tc>
        <w:tc>
          <w:tcPr>
            <w:tcW w:w="1040" w:type="dxa"/>
            <w:vAlign w:val="bottom"/>
            <w:gridSpan w:val="2"/>
          </w:tcPr>
          <w:p>
            <w:pPr>
              <w:jc w:val="right"/>
              <w:ind w:right="3"/>
              <w:spacing w:after="0"/>
              <w:rPr>
                <w:sz w:val="20"/>
                <w:szCs w:val="20"/>
                <w:color w:val="auto"/>
              </w:rPr>
            </w:pPr>
            <w:r>
              <w:rPr>
                <w:rFonts w:ascii="Verdana" w:cs="Verdana" w:eastAsia="Verdana" w:hAnsi="Verdana"/>
                <w:sz w:val="16"/>
                <w:szCs w:val="16"/>
                <w:color w:val="214E93"/>
              </w:rPr>
              <w:t>1,140,563</w:t>
            </w:r>
          </w:p>
        </w:tc>
      </w:tr>
      <w:tr>
        <w:trPr>
          <w:trHeight w:val="189"/>
        </w:trPr>
        <w:tc>
          <w:tcPr>
            <w:tcW w:w="4180" w:type="dxa"/>
            <w:vAlign w:val="bottom"/>
          </w:tcPr>
          <w:p>
            <w:pPr>
              <w:ind w:left="40"/>
              <w:spacing w:after="0" w:line="189" w:lineRule="exact"/>
              <w:rPr>
                <w:sz w:val="20"/>
                <w:szCs w:val="20"/>
                <w:color w:val="auto"/>
              </w:rPr>
            </w:pPr>
            <w:r>
              <w:rPr>
                <w:rFonts w:ascii="Verdana" w:cs="Verdana" w:eastAsia="Verdana" w:hAnsi="Verdana"/>
                <w:sz w:val="16"/>
                <w:szCs w:val="16"/>
                <w:color w:val="auto"/>
              </w:rPr>
              <w:t>Transportation, gathering, processing and</w:t>
            </w: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6"/>
        </w:trPr>
        <w:tc>
          <w:tcPr>
            <w:tcW w:w="4180" w:type="dxa"/>
            <w:vAlign w:val="bottom"/>
          </w:tcPr>
          <w:p>
            <w:pPr>
              <w:ind w:left="40"/>
              <w:spacing w:after="0" w:line="236" w:lineRule="exact"/>
              <w:rPr>
                <w:sz w:val="20"/>
                <w:szCs w:val="20"/>
                <w:color w:val="auto"/>
              </w:rPr>
            </w:pPr>
            <w:r>
              <w:rPr>
                <w:rFonts w:ascii="Verdana" w:cs="Verdana" w:eastAsia="Verdana" w:hAnsi="Verdana"/>
                <w:sz w:val="16"/>
                <w:szCs w:val="16"/>
                <w:color w:val="auto"/>
              </w:rPr>
              <w:t>disposal agreements with San Mateo</w:t>
            </w:r>
            <w:r>
              <w:rPr>
                <w:rFonts w:ascii="Verdana" w:cs="Verdana" w:eastAsia="Verdana" w:hAnsi="Verdana"/>
                <w:sz w:val="20"/>
                <w:szCs w:val="20"/>
                <w:color w:val="auto"/>
                <w:vertAlign w:val="superscript"/>
              </w:rPr>
              <w:t>(7)</w:t>
            </w:r>
          </w:p>
        </w:tc>
        <w:tc>
          <w:tcPr>
            <w:tcW w:w="1060" w:type="dxa"/>
            <w:vAlign w:val="bottom"/>
          </w:tcPr>
          <w:p>
            <w:pPr>
              <w:jc w:val="right"/>
              <w:ind w:right="42"/>
              <w:spacing w:after="0"/>
              <w:rPr>
                <w:sz w:val="20"/>
                <w:szCs w:val="20"/>
                <w:color w:val="auto"/>
              </w:rPr>
            </w:pPr>
            <w:r>
              <w:rPr>
                <w:rFonts w:ascii="Verdana" w:cs="Verdana" w:eastAsia="Verdana" w:hAnsi="Verdana"/>
                <w:sz w:val="16"/>
                <w:szCs w:val="16"/>
                <w:color w:val="214E93"/>
              </w:rPr>
              <w:t>743,907</w:t>
            </w:r>
          </w:p>
        </w:tc>
        <w:tc>
          <w:tcPr>
            <w:tcW w:w="260" w:type="dxa"/>
            <w:vAlign w:val="bottom"/>
          </w:tcPr>
          <w:p>
            <w:pPr>
              <w:spacing w:after="0"/>
              <w:rPr>
                <w:sz w:val="20"/>
                <w:szCs w:val="20"/>
                <w:color w:val="auto"/>
              </w:rPr>
            </w:pPr>
          </w:p>
        </w:tc>
        <w:tc>
          <w:tcPr>
            <w:tcW w:w="820" w:type="dxa"/>
            <w:vAlign w:val="bottom"/>
          </w:tcPr>
          <w:p>
            <w:pPr>
              <w:jc w:val="right"/>
              <w:ind w:right="23"/>
              <w:spacing w:after="0"/>
              <w:rPr>
                <w:sz w:val="20"/>
                <w:szCs w:val="20"/>
                <w:color w:val="auto"/>
              </w:rPr>
            </w:pPr>
            <w:r>
              <w:rPr>
                <w:rFonts w:ascii="Verdana" w:cs="Verdana" w:eastAsia="Verdana" w:hAnsi="Verdana"/>
                <w:sz w:val="16"/>
                <w:szCs w:val="16"/>
                <w:color w:val="214E93"/>
              </w:rPr>
              <w:t>56,812</w:t>
            </w:r>
          </w:p>
        </w:tc>
        <w:tc>
          <w:tcPr>
            <w:tcW w:w="22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Verdana" w:cs="Verdana" w:eastAsia="Verdana" w:hAnsi="Verdana"/>
                <w:sz w:val="16"/>
                <w:szCs w:val="16"/>
                <w:color w:val="214E93"/>
              </w:rPr>
              <w:t>279,080</w:t>
            </w:r>
          </w:p>
        </w:tc>
        <w:tc>
          <w:tcPr>
            <w:tcW w:w="1100" w:type="dxa"/>
            <w:vAlign w:val="bottom"/>
          </w:tcPr>
          <w:p>
            <w:pPr>
              <w:jc w:val="right"/>
              <w:ind w:right="42"/>
              <w:spacing w:after="0"/>
              <w:rPr>
                <w:sz w:val="20"/>
                <w:szCs w:val="20"/>
                <w:color w:val="auto"/>
              </w:rPr>
            </w:pPr>
            <w:r>
              <w:rPr>
                <w:rFonts w:ascii="Verdana" w:cs="Verdana" w:eastAsia="Verdana" w:hAnsi="Verdana"/>
                <w:sz w:val="16"/>
                <w:szCs w:val="16"/>
                <w:color w:val="214E93"/>
              </w:rPr>
              <w:t>206,590</w:t>
            </w:r>
          </w:p>
        </w:tc>
        <w:tc>
          <w:tcPr>
            <w:tcW w:w="240" w:type="dxa"/>
            <w:vAlign w:val="bottom"/>
          </w:tcPr>
          <w:p>
            <w:pPr>
              <w:spacing w:after="0"/>
              <w:rPr>
                <w:sz w:val="20"/>
                <w:szCs w:val="20"/>
                <w:color w:val="auto"/>
              </w:rPr>
            </w:pPr>
          </w:p>
        </w:tc>
        <w:tc>
          <w:tcPr>
            <w:tcW w:w="800" w:type="dxa"/>
            <w:vAlign w:val="bottom"/>
          </w:tcPr>
          <w:p>
            <w:pPr>
              <w:jc w:val="right"/>
              <w:ind w:right="3"/>
              <w:spacing w:after="0"/>
              <w:rPr>
                <w:sz w:val="20"/>
                <w:szCs w:val="20"/>
                <w:color w:val="auto"/>
              </w:rPr>
            </w:pPr>
            <w:r>
              <w:rPr>
                <w:rFonts w:ascii="Verdana" w:cs="Verdana" w:eastAsia="Verdana" w:hAnsi="Verdana"/>
                <w:sz w:val="16"/>
                <w:szCs w:val="16"/>
                <w:color w:val="214E93"/>
              </w:rPr>
              <w:t>201,425</w:t>
            </w:r>
          </w:p>
        </w:tc>
      </w:tr>
      <w:tr>
        <w:trPr>
          <w:trHeight w:val="217"/>
        </w:trPr>
        <w:tc>
          <w:tcPr>
            <w:tcW w:w="418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Midstream contracts</w:t>
            </w:r>
          </w:p>
        </w:tc>
        <w:tc>
          <w:tcPr>
            <w:tcW w:w="1060" w:type="dxa"/>
            <w:vAlign w:val="bottom"/>
            <w:tcBorders>
              <w:bottom w:val="single" w:sz="8" w:color="auto"/>
            </w:tcBorders>
          </w:tcPr>
          <w:p>
            <w:pPr>
              <w:jc w:val="right"/>
              <w:ind w:right="42"/>
              <w:spacing w:after="0"/>
              <w:rPr>
                <w:sz w:val="20"/>
                <w:szCs w:val="20"/>
                <w:color w:val="auto"/>
              </w:rPr>
            </w:pPr>
            <w:r>
              <w:rPr>
                <w:rFonts w:ascii="Verdana" w:cs="Verdana" w:eastAsia="Verdana" w:hAnsi="Verdana"/>
                <w:sz w:val="16"/>
                <w:szCs w:val="16"/>
                <w:color w:val="214E93"/>
              </w:rPr>
              <w:t>11,638</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
              <w:spacing w:after="0"/>
              <w:rPr>
                <w:sz w:val="20"/>
                <w:szCs w:val="20"/>
                <w:color w:val="auto"/>
              </w:rPr>
            </w:pPr>
            <w:r>
              <w:rPr>
                <w:rFonts w:ascii="Verdana" w:cs="Verdana" w:eastAsia="Verdana" w:hAnsi="Verdana"/>
                <w:sz w:val="16"/>
                <w:szCs w:val="16"/>
                <w:color w:val="214E93"/>
              </w:rPr>
              <w:t>11,638</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2"/>
              <w:spacing w:after="0"/>
              <w:rPr>
                <w:sz w:val="20"/>
                <w:szCs w:val="20"/>
                <w:color w:val="auto"/>
              </w:rPr>
            </w:pPr>
            <w:r>
              <w:rPr>
                <w:rFonts w:ascii="Verdana" w:cs="Verdana" w:eastAsia="Verdana" w:hAnsi="Verdana"/>
                <w:sz w:val="16"/>
                <w:szCs w:val="16"/>
                <w:color w:val="214E93"/>
              </w:rPr>
              <w:t>—</w:t>
            </w:r>
          </w:p>
        </w:tc>
        <w:tc>
          <w:tcPr>
            <w:tcW w:w="1100" w:type="dxa"/>
            <w:vAlign w:val="bottom"/>
            <w:tcBorders>
              <w:bottom w:val="single" w:sz="8" w:color="auto"/>
            </w:tcBorders>
          </w:tcPr>
          <w:p>
            <w:pPr>
              <w:jc w:val="right"/>
              <w:ind w:right="42"/>
              <w:spacing w:after="0"/>
              <w:rPr>
                <w:sz w:val="20"/>
                <w:szCs w:val="20"/>
                <w:color w:val="auto"/>
              </w:rPr>
            </w:pPr>
            <w:r>
              <w:rPr>
                <w:rFonts w:ascii="Verdana" w:cs="Verdana" w:eastAsia="Verdana" w:hAnsi="Verdana"/>
                <w:sz w:val="16"/>
                <w:szCs w:val="16"/>
                <w:color w:val="214E93"/>
              </w:rPr>
              <w:t>—</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
              <w:spacing w:after="0"/>
              <w:rPr>
                <w:sz w:val="20"/>
                <w:szCs w:val="20"/>
                <w:color w:val="auto"/>
              </w:rPr>
            </w:pPr>
            <w:r>
              <w:rPr>
                <w:rFonts w:ascii="Verdana" w:cs="Verdana" w:eastAsia="Verdana" w:hAnsi="Verdana"/>
                <w:sz w:val="16"/>
                <w:szCs w:val="16"/>
                <w:color w:val="214E93"/>
              </w:rPr>
              <w:t>—</w:t>
            </w:r>
          </w:p>
        </w:tc>
      </w:tr>
      <w:tr>
        <w:trPr>
          <w:trHeight w:val="217"/>
        </w:trPr>
        <w:tc>
          <w:tcPr>
            <w:tcW w:w="4180" w:type="dxa"/>
            <w:vAlign w:val="bottom"/>
            <w:tcBorders>
              <w:bottom w:val="single" w:sz="8" w:color="214E93"/>
            </w:tcBorders>
          </w:tcPr>
          <w:p>
            <w:pPr>
              <w:ind w:left="40"/>
              <w:spacing w:after="0"/>
              <w:rPr>
                <w:sz w:val="20"/>
                <w:szCs w:val="20"/>
                <w:color w:val="auto"/>
              </w:rPr>
            </w:pPr>
            <w:r>
              <w:rPr>
                <w:rFonts w:ascii="Verdana" w:cs="Verdana" w:eastAsia="Verdana" w:hAnsi="Verdana"/>
                <w:sz w:val="16"/>
                <w:szCs w:val="16"/>
                <w:color w:val="auto"/>
              </w:rPr>
              <w:t>Total contractual cash obligations</w:t>
            </w:r>
          </w:p>
        </w:tc>
        <w:tc>
          <w:tcPr>
            <w:tcW w:w="1060" w:type="dxa"/>
            <w:vAlign w:val="bottom"/>
            <w:tcBorders>
              <w:bottom w:val="single" w:sz="8" w:color="214E93"/>
            </w:tcBorders>
          </w:tcPr>
          <w:p>
            <w:pPr>
              <w:jc w:val="right"/>
              <w:ind w:right="2"/>
              <w:spacing w:after="0"/>
              <w:rPr>
                <w:sz w:val="20"/>
                <w:szCs w:val="20"/>
                <w:color w:val="auto"/>
              </w:rPr>
            </w:pPr>
            <w:r>
              <w:rPr>
                <w:rFonts w:ascii="Verdana" w:cs="Verdana" w:eastAsia="Verdana" w:hAnsi="Verdana"/>
                <w:sz w:val="16"/>
                <w:szCs w:val="16"/>
                <w:color w:val="214E93"/>
              </w:rPr>
              <w:t>$6,929,324</w:t>
            </w:r>
          </w:p>
        </w:tc>
        <w:tc>
          <w:tcPr>
            <w:tcW w:w="26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w:t>
            </w:r>
          </w:p>
        </w:tc>
        <w:tc>
          <w:tcPr>
            <w:tcW w:w="820" w:type="dxa"/>
            <w:vAlign w:val="bottom"/>
            <w:tcBorders>
              <w:bottom w:val="single" w:sz="8" w:color="214E93"/>
            </w:tcBorders>
          </w:tcPr>
          <w:p>
            <w:pPr>
              <w:jc w:val="right"/>
              <w:ind w:right="23"/>
              <w:spacing w:after="0"/>
              <w:rPr>
                <w:sz w:val="20"/>
                <w:szCs w:val="20"/>
                <w:color w:val="auto"/>
              </w:rPr>
            </w:pPr>
            <w:r>
              <w:rPr>
                <w:rFonts w:ascii="Verdana" w:cs="Verdana" w:eastAsia="Verdana" w:hAnsi="Verdana"/>
                <w:sz w:val="16"/>
                <w:szCs w:val="16"/>
                <w:color w:val="214E93"/>
              </w:rPr>
              <w:t>324,528</w:t>
            </w:r>
          </w:p>
        </w:tc>
        <w:tc>
          <w:tcPr>
            <w:tcW w:w="1100" w:type="dxa"/>
            <w:vAlign w:val="bottom"/>
            <w:tcBorders>
              <w:bottom w:val="single" w:sz="8" w:color="214E93"/>
            </w:tcBorders>
            <w:gridSpan w:val="2"/>
          </w:tcPr>
          <w:p>
            <w:pPr>
              <w:ind w:left="100"/>
              <w:spacing w:after="0"/>
              <w:rPr>
                <w:sz w:val="20"/>
                <w:szCs w:val="20"/>
                <w:color w:val="auto"/>
              </w:rPr>
            </w:pPr>
            <w:r>
              <w:rPr>
                <w:rFonts w:ascii="Verdana" w:cs="Verdana" w:eastAsia="Verdana" w:hAnsi="Verdana"/>
                <w:sz w:val="16"/>
                <w:szCs w:val="16"/>
                <w:color w:val="214E93"/>
              </w:rPr>
              <w:t>$1,380,899</w:t>
            </w:r>
          </w:p>
        </w:tc>
        <w:tc>
          <w:tcPr>
            <w:tcW w:w="1100" w:type="dxa"/>
            <w:vAlign w:val="bottom"/>
            <w:tcBorders>
              <w:bottom w:val="single" w:sz="8" w:color="214E93"/>
            </w:tcBorders>
          </w:tcPr>
          <w:p>
            <w:pPr>
              <w:jc w:val="right"/>
              <w:ind w:right="2"/>
              <w:spacing w:after="0"/>
              <w:rPr>
                <w:sz w:val="20"/>
                <w:szCs w:val="20"/>
                <w:color w:val="auto"/>
              </w:rPr>
            </w:pPr>
            <w:r>
              <w:rPr>
                <w:rFonts w:ascii="Verdana" w:cs="Verdana" w:eastAsia="Verdana" w:hAnsi="Verdana"/>
                <w:sz w:val="16"/>
                <w:szCs w:val="16"/>
                <w:color w:val="214E93"/>
              </w:rPr>
              <w:t>$2,023,933</w:t>
            </w:r>
          </w:p>
        </w:tc>
        <w:tc>
          <w:tcPr>
            <w:tcW w:w="1040" w:type="dxa"/>
            <w:vAlign w:val="bottom"/>
            <w:tcBorders>
              <w:bottom w:val="single" w:sz="8" w:color="214E93"/>
            </w:tcBorders>
            <w:gridSpan w:val="2"/>
          </w:tcPr>
          <w:p>
            <w:pPr>
              <w:ind w:left="100"/>
              <w:spacing w:after="0"/>
              <w:rPr>
                <w:sz w:val="20"/>
                <w:szCs w:val="20"/>
                <w:color w:val="auto"/>
              </w:rPr>
            </w:pPr>
            <w:r>
              <w:rPr>
                <w:rFonts w:ascii="Verdana" w:cs="Verdana" w:eastAsia="Verdana" w:hAnsi="Verdana"/>
                <w:sz w:val="16"/>
                <w:szCs w:val="16"/>
                <w:color w:val="214E93"/>
                <w:w w:val="98"/>
              </w:rPr>
              <w:t>$3,199,964</w:t>
            </w:r>
          </w:p>
        </w:tc>
      </w:tr>
    </w:tbl>
    <w:p>
      <w:pPr>
        <w:spacing w:after="0" w:line="20" w:lineRule="exact"/>
        <w:rPr>
          <w:sz w:val="20"/>
          <w:szCs w:val="20"/>
          <w:color w:val="auto"/>
        </w:rPr>
      </w:pPr>
    </w:p>
    <w:p>
      <w:pPr>
        <w:spacing w:after="0" w:line="119" w:lineRule="exact"/>
        <w:rPr>
          <w:sz w:val="20"/>
          <w:szCs w:val="20"/>
          <w:color w:val="auto"/>
        </w:rPr>
      </w:pPr>
    </w:p>
    <w:p>
      <w:pPr>
        <w:ind w:left="1200" w:right="120" w:hanging="350"/>
        <w:spacing w:after="0" w:line="230" w:lineRule="auto"/>
        <w:tabs>
          <w:tab w:leader="none" w:pos="1200" w:val="left"/>
        </w:tabs>
        <w:numPr>
          <w:ilvl w:val="0"/>
          <w:numId w:val="68"/>
        </w:numPr>
        <w:rPr>
          <w:rFonts w:ascii="Calibri" w:cs="Calibri" w:eastAsia="Calibri" w:hAnsi="Calibri"/>
          <w:sz w:val="14"/>
          <w:szCs w:val="14"/>
          <w:color w:val="auto"/>
        </w:rPr>
      </w:pPr>
      <w:r>
        <w:rPr>
          <w:rFonts w:ascii="Calibri" w:cs="Calibri" w:eastAsia="Calibri" w:hAnsi="Calibri"/>
          <w:sz w:val="14"/>
          <w:szCs w:val="14"/>
          <w:color w:val="auto"/>
        </w:rPr>
        <w:t>The amounts included in the table above represent principal maturities only. At December 31, 2025, we had $398.0 million in borrowings outstanding under the Credit Agreement and approximately $53.8 million in outstanding letters of credit issued pursuant to the Credit Agreement. The outstanding borrowings under the Credit Agreement mature on March 22, 2029. At December 31, 2025, San Mateo had $883.0 million of borrowings outstanding under the San Mateo Credit Facility and approximately $15.4 million in outstanding letters of credit issued pursuant to the San Mateo Credit Facility. The outstanding borrowings under the San Mateo Credit Facility mature on November 26, 2029. Assuming the amounts outstanding and interest rates of 5.63% and 5.72%, respectively, for the Credit Agreement and the San Mateo Credit Facility at December 31, 2025, the interest expense for such facilities is expected to be approximately $22.4 million and $50.5 million, respectively, each year until maturity.</w:t>
      </w:r>
    </w:p>
    <w:p>
      <w:pPr>
        <w:spacing w:after="0" w:line="75" w:lineRule="exact"/>
        <w:rPr>
          <w:rFonts w:ascii="Calibri" w:cs="Calibri" w:eastAsia="Calibri" w:hAnsi="Calibri"/>
          <w:sz w:val="14"/>
          <w:szCs w:val="14"/>
          <w:color w:val="auto"/>
        </w:rPr>
      </w:pPr>
    </w:p>
    <w:p>
      <w:pPr>
        <w:ind w:left="1200" w:hanging="350"/>
        <w:spacing w:after="0"/>
        <w:tabs>
          <w:tab w:leader="none" w:pos="1200" w:val="left"/>
        </w:tabs>
        <w:numPr>
          <w:ilvl w:val="0"/>
          <w:numId w:val="68"/>
        </w:numPr>
        <w:rPr>
          <w:rFonts w:ascii="Calibri" w:cs="Calibri" w:eastAsia="Calibri" w:hAnsi="Calibri"/>
          <w:sz w:val="14"/>
          <w:szCs w:val="14"/>
          <w:color w:val="auto"/>
        </w:rPr>
      </w:pPr>
      <w:r>
        <w:rPr>
          <w:rFonts w:ascii="Calibri" w:cs="Calibri" w:eastAsia="Calibri" w:hAnsi="Calibri"/>
          <w:sz w:val="14"/>
          <w:szCs w:val="14"/>
          <w:color w:val="auto"/>
        </w:rPr>
        <w:t>The amounts included in the table above represent principal maturities only. Interest expense on the $500.0 million of outstanding 2028 Notes as of</w:t>
      </w:r>
    </w:p>
    <w:p>
      <w:pPr>
        <w:spacing w:after="0" w:line="8" w:lineRule="exact"/>
        <w:rPr>
          <w:rFonts w:ascii="Calibri" w:cs="Calibri" w:eastAsia="Calibri" w:hAnsi="Calibri"/>
          <w:sz w:val="14"/>
          <w:szCs w:val="14"/>
          <w:color w:val="auto"/>
        </w:rPr>
      </w:pPr>
    </w:p>
    <w:p>
      <w:pPr>
        <w:jc w:val="both"/>
        <w:ind w:left="1200"/>
        <w:spacing w:after="0" w:line="228" w:lineRule="auto"/>
        <w:rPr>
          <w:rFonts w:ascii="Calibri" w:cs="Calibri" w:eastAsia="Calibri" w:hAnsi="Calibri"/>
          <w:sz w:val="14"/>
          <w:szCs w:val="14"/>
          <w:color w:val="auto"/>
        </w:rPr>
      </w:pPr>
      <w:r>
        <w:rPr>
          <w:rFonts w:ascii="Calibri" w:cs="Calibri" w:eastAsia="Calibri" w:hAnsi="Calibri"/>
          <w:sz w:val="14"/>
          <w:szCs w:val="14"/>
          <w:color w:val="auto"/>
        </w:rPr>
        <w:t>December 31, 2025 is expected to be approximately $34.4 million each year until maturity. Interest expense on the $900.0 million of outstanding 2032 Notes as of December 31, 2025 is expected to be approximately $58.5 million each year until maturity. Interest expense on the $750.0 million of outstanding 2033 Notes as of December 31, 2025 is expected to be approximately $46.9 million each year until maturity.</w:t>
      </w:r>
    </w:p>
    <w:p>
      <w:pPr>
        <w:spacing w:after="0" w:line="73" w:lineRule="exact"/>
        <w:rPr>
          <w:rFonts w:ascii="Calibri" w:cs="Calibri" w:eastAsia="Calibri" w:hAnsi="Calibri"/>
          <w:sz w:val="14"/>
          <w:szCs w:val="14"/>
          <w:color w:val="auto"/>
        </w:rPr>
      </w:pPr>
    </w:p>
    <w:p>
      <w:pPr>
        <w:ind w:left="1200" w:hanging="350"/>
        <w:spacing w:after="0"/>
        <w:tabs>
          <w:tab w:leader="none" w:pos="1200" w:val="left"/>
        </w:tabs>
        <w:numPr>
          <w:ilvl w:val="0"/>
          <w:numId w:val="68"/>
        </w:numPr>
        <w:rPr>
          <w:rFonts w:ascii="Calibri" w:cs="Calibri" w:eastAsia="Calibri" w:hAnsi="Calibri"/>
          <w:sz w:val="14"/>
          <w:szCs w:val="14"/>
          <w:color w:val="auto"/>
        </w:rPr>
      </w:pPr>
      <w:r>
        <w:rPr>
          <w:rFonts w:ascii="Calibri" w:cs="Calibri" w:eastAsia="Calibri" w:hAnsi="Calibri"/>
          <w:sz w:val="14"/>
          <w:szCs w:val="14"/>
          <w:color w:val="auto"/>
        </w:rPr>
        <w:t>At December 31, 2025, we had outstanding commitments to participate in the drilling and completion of various non-operated wells.</w:t>
      </w:r>
    </w:p>
    <w:p>
      <w:pPr>
        <w:spacing w:after="0" w:line="86" w:lineRule="exact"/>
        <w:rPr>
          <w:rFonts w:ascii="Calibri" w:cs="Calibri" w:eastAsia="Calibri" w:hAnsi="Calibri"/>
          <w:sz w:val="14"/>
          <w:szCs w:val="14"/>
          <w:color w:val="auto"/>
        </w:rPr>
      </w:pPr>
    </w:p>
    <w:p>
      <w:pPr>
        <w:ind w:left="1200" w:right="420" w:hanging="350"/>
        <w:spacing w:after="0" w:line="226" w:lineRule="auto"/>
        <w:tabs>
          <w:tab w:leader="none" w:pos="1200" w:val="left"/>
        </w:tabs>
        <w:numPr>
          <w:ilvl w:val="0"/>
          <w:numId w:val="68"/>
        </w:numPr>
        <w:rPr>
          <w:rFonts w:ascii="Calibri" w:cs="Calibri" w:eastAsia="Calibri" w:hAnsi="Calibri"/>
          <w:sz w:val="14"/>
          <w:szCs w:val="14"/>
          <w:color w:val="auto"/>
        </w:rPr>
      </w:pPr>
      <w:r>
        <w:rPr>
          <w:rFonts w:ascii="Calibri" w:cs="Calibri" w:eastAsia="Calibri" w:hAnsi="Calibri"/>
          <w:sz w:val="14"/>
          <w:szCs w:val="14"/>
          <w:color w:val="auto"/>
        </w:rPr>
        <w:t>We do not own or operate our own drilling rigs, but instead we enter into contracts with third parties for such drilling rigs. See Note 14 to the consolidated financial statements in this Annual Report for more information regarding these contractual commitments.</w:t>
      </w:r>
    </w:p>
    <w:p>
      <w:pPr>
        <w:spacing w:after="0" w:line="73" w:lineRule="exact"/>
        <w:rPr>
          <w:rFonts w:ascii="Calibri" w:cs="Calibri" w:eastAsia="Calibri" w:hAnsi="Calibri"/>
          <w:sz w:val="14"/>
          <w:szCs w:val="14"/>
          <w:color w:val="auto"/>
        </w:rPr>
      </w:pPr>
    </w:p>
    <w:p>
      <w:pPr>
        <w:ind w:left="1200" w:hanging="350"/>
        <w:spacing w:after="0"/>
        <w:tabs>
          <w:tab w:leader="none" w:pos="1200" w:val="left"/>
        </w:tabs>
        <w:numPr>
          <w:ilvl w:val="0"/>
          <w:numId w:val="68"/>
        </w:numPr>
        <w:rPr>
          <w:rFonts w:ascii="Calibri" w:cs="Calibri" w:eastAsia="Calibri" w:hAnsi="Calibri"/>
          <w:sz w:val="14"/>
          <w:szCs w:val="14"/>
          <w:color w:val="auto"/>
        </w:rPr>
      </w:pPr>
      <w:r>
        <w:rPr>
          <w:rFonts w:ascii="Calibri" w:cs="Calibri" w:eastAsia="Calibri" w:hAnsi="Calibri"/>
          <w:sz w:val="14"/>
          <w:szCs w:val="14"/>
          <w:color w:val="auto"/>
        </w:rPr>
        <w:t>The amounts included in the table above represent discounted cash flow estimates for future asset retirement obligations at December 31, 2025.</w:t>
      </w:r>
    </w:p>
    <w:p>
      <w:pPr>
        <w:spacing w:after="0" w:line="86" w:lineRule="exact"/>
        <w:rPr>
          <w:rFonts w:ascii="Calibri" w:cs="Calibri" w:eastAsia="Calibri" w:hAnsi="Calibri"/>
          <w:sz w:val="14"/>
          <w:szCs w:val="14"/>
          <w:color w:val="auto"/>
        </w:rPr>
      </w:pPr>
    </w:p>
    <w:p>
      <w:pPr>
        <w:ind w:left="1200" w:right="120" w:hanging="350"/>
        <w:spacing w:after="0" w:line="229" w:lineRule="auto"/>
        <w:tabs>
          <w:tab w:leader="none" w:pos="1200" w:val="left"/>
        </w:tabs>
        <w:numPr>
          <w:ilvl w:val="0"/>
          <w:numId w:val="68"/>
        </w:numPr>
        <w:rPr>
          <w:rFonts w:ascii="Calibri" w:cs="Calibri" w:eastAsia="Calibri" w:hAnsi="Calibri"/>
          <w:sz w:val="14"/>
          <w:szCs w:val="14"/>
          <w:color w:val="auto"/>
        </w:rPr>
      </w:pPr>
      <w:r>
        <w:rPr>
          <w:rFonts w:ascii="Calibri" w:cs="Calibri" w:eastAsia="Calibri" w:hAnsi="Calibri"/>
          <w:sz w:val="14"/>
          <w:szCs w:val="14"/>
          <w:color w:val="auto"/>
        </w:rPr>
        <w:t>From time to time, we enter into agreements with third parties whereby we commit to deliver anticipated natural gas and oil production and produced water from certain portions of our acreage for transportation, gathering, processing, fractionation, sales and disposal. Certain of these agreements contain minimum volume commitments, including contracts related to firm transportation on Energy Transfer’s Hugh Brinson Pipeline. If we do not meet the minimum volume commitments under these agreements, we would be required to pay deficiency fees. See Note 14 to the consolidated financial statements in this Annual Report for more information about these contractual commitments.</w:t>
      </w:r>
    </w:p>
    <w:p>
      <w:pPr>
        <w:spacing w:after="0" w:line="90" w:lineRule="exact"/>
        <w:rPr>
          <w:rFonts w:ascii="Calibri" w:cs="Calibri" w:eastAsia="Calibri" w:hAnsi="Calibri"/>
          <w:sz w:val="14"/>
          <w:szCs w:val="14"/>
          <w:color w:val="auto"/>
        </w:rPr>
      </w:pPr>
    </w:p>
    <w:p>
      <w:pPr>
        <w:ind w:left="1200" w:right="80" w:hanging="350"/>
        <w:spacing w:after="0" w:line="230" w:lineRule="auto"/>
        <w:tabs>
          <w:tab w:leader="none" w:pos="1200" w:val="left"/>
        </w:tabs>
        <w:numPr>
          <w:ilvl w:val="0"/>
          <w:numId w:val="68"/>
        </w:numPr>
        <w:rPr>
          <w:rFonts w:ascii="Calibri" w:cs="Calibri" w:eastAsia="Calibri" w:hAnsi="Calibri"/>
          <w:sz w:val="14"/>
          <w:szCs w:val="14"/>
          <w:color w:val="auto"/>
        </w:rPr>
      </w:pPr>
      <w:r>
        <w:rPr>
          <w:rFonts w:ascii="Calibri" w:cs="Calibri" w:eastAsia="Calibri" w:hAnsi="Calibri"/>
          <w:sz w:val="14"/>
          <w:szCs w:val="14"/>
          <w:color w:val="auto"/>
        </w:rPr>
        <w:t>We dedicated to San Mateo our current and certain future leasehold interests in the Rustler Breaks asset area and the Wolf portion of the West Texas asset area and acreage in the Greater Stebbins Area and Stateline asset area pursuant to 15-year, fixed-fee oil transportation, oil, natural gas and produced water gathering and produced water disposal agreements. In addition, we dedicated to San Mateo our current and certain future leasehold interests in the Rustler Breaks asset area and acreage in the Greater Stebbins Area and Stateline asset area pursuant to 15-year, fixed-fee natural gas processing agreements. In connection with the Pronto Transaction, we dedicated to San Mateo our current and certain future leasehold interests in the Ranger and Antelope Ridge asset areas pursuant to 15-year, fixed fee natural gas gathering, compression, treating and processing agreements with San Mateo whereby San Mateo will gather, compress, treat and process natural gas produced from our operated wells in northern Lea County, New Mexico. See Note 14 to the consolidated financial statements in this Annual Report for more information regarding these contractual commitments.</w:t>
      </w:r>
    </w:p>
    <w:p>
      <w:pPr>
        <w:sectPr>
          <w:pgSz w:w="11880" w:h="15480" w:orient="portrait"/>
          <w:cols w:equalWidth="0" w:num="1">
            <w:col w:w="10280"/>
          </w:cols>
          <w:pgMar w:left="44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II</w:t>
      </w:r>
    </w:p>
    <w:p>
      <w:pPr>
        <w:sectPr>
          <w:pgSz w:w="11880" w:h="15480" w:orient="portrait"/>
          <w:cols w:equalWidth="0" w:num="1">
            <w:col w:w="10280"/>
          </w:cols>
          <w:pgMar w:left="440" w:top="498" w:right="1160" w:bottom="0" w:gutter="0" w:footer="0" w:header="0"/>
          <w:type w:val="continuous"/>
        </w:sectPr>
      </w:pPr>
    </w:p>
    <w:bookmarkStart w:id="108" w:name="page109"/>
    <w:bookmarkEnd w:id="108"/>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95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16" o:spid="_x0000_s12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Verdana" w:cs="Verdana" w:eastAsia="Verdana" w:hAnsi="Verdana"/>
          <w:sz w:val="20"/>
          <w:szCs w:val="20"/>
          <w:color w:val="214E93"/>
        </w:rPr>
        <w:t>GENERAL OUTLOOK AND TRENDS</w:t>
      </w:r>
    </w:p>
    <w:p>
      <w:pPr>
        <w:spacing w:after="0" w:line="209" w:lineRule="exact"/>
        <w:rPr>
          <w:sz w:val="20"/>
          <w:szCs w:val="20"/>
          <w:color w:val="auto"/>
        </w:rPr>
      </w:pPr>
    </w:p>
    <w:p>
      <w:pPr>
        <w:ind w:right="860" w:firstLine="241"/>
        <w:spacing w:after="0" w:line="268" w:lineRule="auto"/>
        <w:rPr>
          <w:sz w:val="20"/>
          <w:szCs w:val="20"/>
          <w:color w:val="auto"/>
        </w:rPr>
      </w:pPr>
      <w:r>
        <w:rPr>
          <w:rFonts w:ascii="Calibri" w:cs="Calibri" w:eastAsia="Calibri" w:hAnsi="Calibri"/>
          <w:sz w:val="18"/>
          <w:szCs w:val="18"/>
          <w:color w:val="auto"/>
        </w:rPr>
        <w:t>Our business success and financial results are dependent on many factors beyond our control, such as economic, political and regulatory developments, as well as competition from other sources of energy. For example, the current administration and Congress have altered, and may continue to alter, our current regulatory framework and may impact our business and the oil and natural gas industry generally. Commodity price volatility, in particular, is a significant risk to our business, cash flows and results of operations. Commodity prices are affected by changes in market supply and demand, which are impacted by overall economic activity, ongoing military conflicts, including the ongoing military conflicts between Russia and Ukraine and in the Middle East, political instability, particularly in China and in the Middle East, the actions of OPEC+, weather, pipeline capacity constraints, inventory storage levels, oil and natural gas price differentials and other factors.</w:t>
      </w:r>
    </w:p>
    <w:p>
      <w:pPr>
        <w:spacing w:after="0" w:line="217" w:lineRule="exact"/>
        <w:rPr>
          <w:sz w:val="20"/>
          <w:szCs w:val="20"/>
          <w:color w:val="auto"/>
        </w:rPr>
      </w:pPr>
    </w:p>
    <w:p>
      <w:pPr>
        <w:ind w:right="800" w:firstLine="241"/>
        <w:spacing w:after="0" w:line="269" w:lineRule="auto"/>
        <w:rPr>
          <w:sz w:val="20"/>
          <w:szCs w:val="20"/>
          <w:color w:val="auto"/>
        </w:rPr>
      </w:pPr>
      <w:r>
        <w:rPr>
          <w:rFonts w:ascii="Calibri" w:cs="Calibri" w:eastAsia="Calibri" w:hAnsi="Calibri"/>
          <w:sz w:val="18"/>
          <w:szCs w:val="18"/>
          <w:color w:val="auto"/>
        </w:rPr>
        <w:t>The prices we receive for oil, natural gas and NGLs heavily influence our revenues, profitability, cash flow available for capital expenditures, the repayment of debt, the payment of cash dividends, if any, the repurchase of our common stock, if any, access to capital, borrowing capacity under our Credit Agreement and future rate of growth. Oil, natural gas and NGL prices are subject to wide fluctuations in response to relatively minor changes in supply and demand. Historically, the markets for oil, natural gas and NGLs have been volatile, and these markets will likely continue to be volatile in the future. Declines in oil, natural gas or NGL prices not only reduce our revenues, but could also reduce the amount of oil, natural gas and NGLs we can produce economically and, as a result, could have a material adverse effect on our financial condition, results of operations, cash flows and reserves and our ability to comply with the financial covenants under our Credit Agreement. See “Risk Factors—Risks Related to our Financial Condition— Our success is dependent on the prices of oil, natural gas and NGLs. Low oil, natural gas and NGL prices and the continued volatility in these prices may adversely affect our financial condition and our ability to meet our capital expenditure requirements and financial obligations.”</w:t>
      </w:r>
    </w:p>
    <w:p>
      <w:pPr>
        <w:spacing w:after="0" w:line="214" w:lineRule="exact"/>
        <w:rPr>
          <w:sz w:val="20"/>
          <w:szCs w:val="20"/>
          <w:color w:val="auto"/>
        </w:rPr>
      </w:pPr>
    </w:p>
    <w:p>
      <w:pPr>
        <w:ind w:right="720" w:firstLine="241"/>
        <w:spacing w:after="0" w:line="267" w:lineRule="auto"/>
        <w:rPr>
          <w:sz w:val="20"/>
          <w:szCs w:val="20"/>
          <w:color w:val="auto"/>
        </w:rPr>
      </w:pPr>
      <w:r>
        <w:rPr>
          <w:rFonts w:ascii="Calibri" w:cs="Calibri" w:eastAsia="Calibri" w:hAnsi="Calibri"/>
          <w:sz w:val="18"/>
          <w:szCs w:val="18"/>
          <w:color w:val="auto"/>
        </w:rPr>
        <w:t>For the year ended December 31, 2025, oil prices averaged $64.73 per Bbl, as compared to $75.76 per Bbl in 2024, ranging from a high of $80.04 per Bbl in mid-January to a low of $55.27 per Bbl in mid-December, based upon the WTI oil futures contract price for the earliest delivery date. We realized a weighted average oil price of $64.99 per Bbl (with no realized gains or losses from oil derivatives) for our oil production for the year ended December 31, 2025, as compared to $75.89 per Bbl (with no realized gains or losses from oil derivatives) for the year ended December 31, 2024. At February 24, 2026, the WTI oil futures contract price for the earliest delivery date had increased from year-end 2025, closing at $65.63 per Bbl, but was lower compared to $70.70 per Bbl on February 24, 2025.</w:t>
      </w:r>
    </w:p>
    <w:p>
      <w:pPr>
        <w:spacing w:after="0" w:line="220" w:lineRule="exact"/>
        <w:rPr>
          <w:sz w:val="20"/>
          <w:szCs w:val="20"/>
          <w:color w:val="auto"/>
        </w:rPr>
      </w:pPr>
    </w:p>
    <w:p>
      <w:pPr>
        <w:ind w:right="740" w:firstLine="241"/>
        <w:spacing w:after="0" w:line="268" w:lineRule="auto"/>
        <w:rPr>
          <w:sz w:val="20"/>
          <w:szCs w:val="20"/>
          <w:color w:val="auto"/>
        </w:rPr>
      </w:pPr>
      <w:r>
        <w:rPr>
          <w:rFonts w:ascii="Calibri" w:cs="Calibri" w:eastAsia="Calibri" w:hAnsi="Calibri"/>
          <w:sz w:val="18"/>
          <w:szCs w:val="18"/>
          <w:color w:val="auto"/>
        </w:rPr>
        <w:t>For the year ended December 31, 2025, natural gas prices averaged $3.62 per MMBtu, as compared to $2.40 per MMBtu in 2024, based upon the NYMEX Henry Hub natural gas futures contract price for the earliest delivery date. During 2025, natural gas prices ranged from a low of $2.70 per MMBtu in late August to a high of $5.29 per MMBtu in early December. We report production volumes in two streams, oil and natural gas (which includes both dry gas and NGLs). NGL prices were also lower in 2025 as compared to 2024, which contributed to lower realized weighted average natural gas prices for the year ended December 31, 2025. We realized a weighted average natural gas price of $2.08 per Mcf ($2.20 per Mcf including realized gains from natural gas derivatives) for our natural gas production for the year ended December 31, 2025, as compared to $2.38 per Mcf ($2.47 per Mcf including realized losses from natural gas derivatives) for the year ended December 31, 2024. At February 24, 2026, the NYMEX Henry Hub natural gas futures contract price for the earliest delivery date had decreased from year-end 2025, closing at $2.92 per MMBtu, and was lower as compared to $3.99 per MMBtu at February 24, 2025.</w:t>
      </w:r>
    </w:p>
    <w:p>
      <w:pPr>
        <w:spacing w:after="0" w:line="222" w:lineRule="exact"/>
        <w:rPr>
          <w:sz w:val="20"/>
          <w:szCs w:val="20"/>
          <w:color w:val="auto"/>
        </w:rPr>
      </w:pPr>
    </w:p>
    <w:p>
      <w:pPr>
        <w:ind w:right="740" w:firstLine="241"/>
        <w:spacing w:after="0" w:line="267" w:lineRule="auto"/>
        <w:rPr>
          <w:sz w:val="20"/>
          <w:szCs w:val="20"/>
          <w:color w:val="auto"/>
        </w:rPr>
      </w:pPr>
      <w:r>
        <w:rPr>
          <w:rFonts w:ascii="Calibri" w:cs="Calibri" w:eastAsia="Calibri" w:hAnsi="Calibri"/>
          <w:sz w:val="18"/>
          <w:szCs w:val="18"/>
          <w:color w:val="auto"/>
        </w:rPr>
        <w:t>The prices we receive for oil and natural gas production often reflect a discount to the relevant benchmark prices, such as the WTI oil price or the NYMEX Henry Hub natural gas price. The difference between the benchmark price and the price we receive is called a differential. At December 31, 2025, most of our oil production from the Delaware Basin was sold based on prices established in Midland, Texas, and a significant portion of our natural gas production from the Delaware Basin was sold based on Houston Ship Channel pricing, while the remainder of our Delaware Basin natural gas production was sold primarily based on prices established at the Waha hub in far West Texas.</w:t>
      </w:r>
    </w:p>
    <w:p>
      <w:pPr>
        <w:spacing w:after="0" w:line="217" w:lineRule="exact"/>
        <w:rPr>
          <w:sz w:val="20"/>
          <w:szCs w:val="20"/>
          <w:color w:val="auto"/>
        </w:rPr>
      </w:pPr>
    </w:p>
    <w:p>
      <w:pPr>
        <w:ind w:right="800" w:firstLine="241"/>
        <w:spacing w:after="0" w:line="261" w:lineRule="auto"/>
        <w:rPr>
          <w:sz w:val="20"/>
          <w:szCs w:val="20"/>
          <w:color w:val="auto"/>
        </w:rPr>
      </w:pPr>
      <w:r>
        <w:rPr>
          <w:rFonts w:ascii="Calibri" w:cs="Calibri" w:eastAsia="Calibri" w:hAnsi="Calibri"/>
          <w:sz w:val="18"/>
          <w:szCs w:val="18"/>
          <w:color w:val="auto"/>
        </w:rPr>
        <w:t>The Midland-Cushing (Oklahoma) oil price differential has been highly volatile in recent years. At February 24, 2026, this oil price differential was approximately +$0.66 per Bbl. At February 24, 2026, we had no derivative contracts in place to mitigate our exposure to this Midland-Cushing (Oklahoma) oil price differential for 2026.</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880"/>
        <w:spacing w:after="0"/>
        <w:rPr>
          <w:sz w:val="20"/>
          <w:szCs w:val="20"/>
          <w:color w:val="auto"/>
        </w:rPr>
      </w:pPr>
      <w:r>
        <w:rPr>
          <w:rFonts w:ascii="Calibri" w:cs="Calibri" w:eastAsia="Calibri" w:hAnsi="Calibri"/>
          <w:sz w:val="17"/>
          <w:szCs w:val="17"/>
          <w:color w:val="auto"/>
        </w:rPr>
        <w:t>FORM 10-K PART II</w:t>
      </w:r>
    </w:p>
    <w:p>
      <w:pPr>
        <w:sectPr>
          <w:pgSz w:w="11880" w:h="15480" w:orient="portrait"/>
          <w:cols w:equalWidth="0" w:num="1">
            <w:col w:w="10280"/>
          </w:cols>
          <w:pgMar w:left="1160" w:top="498" w:right="440" w:bottom="0" w:gutter="0" w:footer="0" w:header="0"/>
          <w:type w:val="continuous"/>
        </w:sectPr>
      </w:pPr>
    </w:p>
    <w:bookmarkStart w:id="109" w:name="page110"/>
    <w:bookmarkEnd w:id="109"/>
    <w:p>
      <w:pPr>
        <w:spacing w:after="0"/>
        <w:tabs>
          <w:tab w:leader="none" w:pos="740" w:val="left"/>
        </w:tabs>
        <w:rPr>
          <w:sz w:val="20"/>
          <w:szCs w:val="20"/>
          <w:color w:val="auto"/>
        </w:rPr>
      </w:pPr>
      <w:r>
        <w:rPr>
          <w:rFonts w:ascii="Calibri" w:cs="Calibri" w:eastAsia="Calibri" w:hAnsi="Calibri"/>
          <w:sz w:val="18"/>
          <w:szCs w:val="18"/>
          <w:color w:val="auto"/>
        </w:rPr>
        <w:t>96</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19" o:spid="_x0000_s12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20" w:right="40" w:firstLine="241"/>
        <w:spacing w:after="0" w:line="269" w:lineRule="auto"/>
        <w:rPr>
          <w:sz w:val="20"/>
          <w:szCs w:val="20"/>
          <w:color w:val="auto"/>
        </w:rPr>
      </w:pPr>
      <w:r>
        <w:rPr>
          <w:rFonts w:ascii="Calibri" w:cs="Calibri" w:eastAsia="Calibri" w:hAnsi="Calibri"/>
          <w:sz w:val="18"/>
          <w:szCs w:val="18"/>
          <w:color w:val="auto"/>
        </w:rPr>
        <w:t>Certain volumes of our Delaware Basin natural gas production are exposed to the Waha-Henry Hub basis differential, which has also been highly volatile in recent years. In recent years, concerns about natural gas pipeline takeaway capacity out of the Delaware Basin began to increase and a result, the Waha-Henry Hub basis differential began to widen. The Waha-Henry Hub basis differential averaged ($2.96) per MMBtu for the year ended December 31, 2025. Between December 31, 2025 and February 24, 2026, this natural gas price differential remained wide at approximately ($5.11) per MMBtu. A significant portion of our Delaware Basin natural gas production, however, is sold at Houston Ship Channel pricing and is not exposed to Waha pricing. At certain times, we may also sell a portion of our natural gas production into other markets to improve our realized natural gas pricing. For example, in the fourth quarter of 2025, the Company entered into an agreement to transport natural gas on Energy Transfer’s Hugh Brinson Pipeline. The Hugh Brinson Pipeline is expected to provide direct access from the Waha hub in the Permian Basin to Henry Hub markets along the Louisiana Gulf Coast. Further, approximately 4% of our reported natural gas production for the year ended December 31, 2025 was attributable to the Haynesville shale play, which is not exposed to Waha pricing. In addition, most of our natural gas volumes in the Delaware Basin are processed for NGLs, resulting in a further reduction in the reported natural gas volumes exposed to Waha pricing.</w:t>
      </w:r>
    </w:p>
    <w:p>
      <w:pPr>
        <w:spacing w:after="0" w:line="218" w:lineRule="exact"/>
        <w:rPr>
          <w:sz w:val="20"/>
          <w:szCs w:val="20"/>
          <w:color w:val="auto"/>
        </w:rPr>
      </w:pPr>
    </w:p>
    <w:p>
      <w:pPr>
        <w:ind w:left="720" w:right="140" w:firstLine="241"/>
        <w:spacing w:after="0" w:line="267" w:lineRule="auto"/>
        <w:rPr>
          <w:sz w:val="20"/>
          <w:szCs w:val="20"/>
          <w:color w:val="auto"/>
        </w:rPr>
      </w:pPr>
      <w:r>
        <w:rPr>
          <w:rFonts w:ascii="Calibri" w:cs="Calibri" w:eastAsia="Calibri" w:hAnsi="Calibri"/>
          <w:sz w:val="18"/>
          <w:szCs w:val="18"/>
          <w:color w:val="auto"/>
        </w:rPr>
        <w:t>From time to time, we use derivative financial instruments to mitigate our exposure to commodity price risk associated with oil, natural gas and NGL prices. Even so, decisions as to whether, at what price and what production volumes to hedge are difficult and depend on market conditions and our forecast of future production and oil, natural gas and NGL prices, and we may not always employ the optimal hedging strategy. This, in turn, may affect the liquidity that can be accessed through the borrowing base under the Credit Agreement and through the capital markets. During the year ended December 31, 2025, we realized gains on our natural gas basis differential derivative contracts of approximately $21.7 million resulting primarily from natural gas basis differentials that were below the fixed prices of our natural gas basis differential swap contracts.</w:t>
      </w:r>
    </w:p>
    <w:p>
      <w:pPr>
        <w:spacing w:after="0" w:line="220" w:lineRule="exact"/>
        <w:rPr>
          <w:sz w:val="20"/>
          <w:szCs w:val="20"/>
          <w:color w:val="auto"/>
        </w:rPr>
      </w:pPr>
    </w:p>
    <w:p>
      <w:pPr>
        <w:ind w:left="720" w:right="40" w:firstLine="241"/>
        <w:spacing w:after="0" w:line="268" w:lineRule="auto"/>
        <w:rPr>
          <w:sz w:val="20"/>
          <w:szCs w:val="20"/>
          <w:color w:val="auto"/>
        </w:rPr>
      </w:pPr>
      <w:r>
        <w:rPr>
          <w:rFonts w:ascii="Calibri" w:cs="Calibri" w:eastAsia="Calibri" w:hAnsi="Calibri"/>
          <w:sz w:val="18"/>
          <w:szCs w:val="18"/>
          <w:color w:val="auto"/>
        </w:rPr>
        <w:t>We have at times, including in the fourth quarter of 2025, experienced pipeline-related interruptions to our oil, natural gas or NGL production or produced water disposal. In certain recent periods, shortages of NGL fractionation capacity were experienced by certain operators in the Delaware Basin. Although we did not encounter such fractionation capacity problems, we can provide no assurances that such problems will not arise. If we do experience any material interruptions with produced water disposal, takeaway capacity or NGL fractionation, our oil and natural gas revenues, business, financial condition, results of operations and cash flows could be adversely affected. Should we experience future periods of negative pricing for natural gas as we have experienced historically, including in 2024 and 2025, we may again temporarily shut in certain high gas-oil ratio wells and take other actions to mitigate the impact on our realized natural gas prices and results.</w:t>
      </w:r>
    </w:p>
    <w:p>
      <w:pPr>
        <w:spacing w:after="0" w:line="217" w:lineRule="exact"/>
        <w:rPr>
          <w:sz w:val="20"/>
          <w:szCs w:val="20"/>
          <w:color w:val="auto"/>
        </w:rPr>
      </w:pPr>
    </w:p>
    <w:p>
      <w:pPr>
        <w:ind w:left="720" w:right="40" w:firstLine="241"/>
        <w:spacing w:after="0" w:line="269" w:lineRule="auto"/>
        <w:rPr>
          <w:sz w:val="20"/>
          <w:szCs w:val="20"/>
          <w:color w:val="auto"/>
        </w:rPr>
      </w:pPr>
      <w:r>
        <w:rPr>
          <w:rFonts w:ascii="Calibri" w:cs="Calibri" w:eastAsia="Calibri" w:hAnsi="Calibri"/>
          <w:sz w:val="18"/>
          <w:szCs w:val="18"/>
          <w:color w:val="auto"/>
        </w:rPr>
        <w:t>We have at times experienced inflation in the costs of certain oilfield services, materials and equipment, including diesel, steel, labor, trucking, sand, personnel and completion costs, among others. Should oil prices increase, we may be subject to additional service cost inflation in future periods, which may increase our costs to drill, complete, equip and operate wells. In addition, supply chain disruptions, tariffs and trade restrictions and other inflationary pressures experienced in recent periods throughout the United States and global economy and in the oil and natural gas industry may limit our ability to procure the necessary products and services we need for drilling, completing and producing wells in a timely and cost-effective manner, which could result in reduced margins and delays to our operations and could, in turn, adversely affect our business, financial condition, results of operations and cash flows. See “Risk Factors—Risks Related to our Financial Condition—Our industry and the broader U.S. economy have experienced higher than expected inflationary pressures in recent years. Should these conditions persist, it may impact our ability to procure services, materials and equipment on a cost-effective basis, or at all, and, as a result, our business, financial condition, results of operations and cash flows could be materially and adversely affected” and “Risk Factors—Risks Related to Laws and Regulations—Changes in U.S. foreign trade policies, including the imposition of additional tariffs and other trade barriers, and efforts to withdraw from or materially modify international trade agreements, may materially and adversely affect our business, operations and financial condition.”</w:t>
      </w:r>
    </w:p>
    <w:p>
      <w:pPr>
        <w:spacing w:after="0" w:line="220" w:lineRule="exact"/>
        <w:rPr>
          <w:sz w:val="20"/>
          <w:szCs w:val="20"/>
          <w:color w:val="auto"/>
        </w:rPr>
      </w:pPr>
    </w:p>
    <w:p>
      <w:pPr>
        <w:ind w:left="720" w:firstLine="241"/>
        <w:spacing w:after="0" w:line="267" w:lineRule="auto"/>
        <w:rPr>
          <w:sz w:val="20"/>
          <w:szCs w:val="20"/>
          <w:color w:val="auto"/>
        </w:rPr>
      </w:pPr>
      <w:r>
        <w:rPr>
          <w:rFonts w:ascii="Calibri" w:cs="Calibri" w:eastAsia="Calibri" w:hAnsi="Calibri"/>
          <w:sz w:val="18"/>
          <w:szCs w:val="18"/>
          <w:color w:val="auto"/>
        </w:rPr>
        <w:t>Our oil and natural gas exploration, development, production, midstream and related operations are subject to extensive federal, state and local laws, rules and regulations. Failure to comply with these laws, rules and regulations can result in substantial monetary penalties or delay or suspension of operations. The regulatory burden on the oil and natural gas industry increases our cost of doing business and affects our profitability. Because these laws, rules and regulations are frequently amended or reinterpreted and new laws, rules and regulations are proposed or promulgated, we are unable to predict the future cost or impact of complying with the laws, rules and regulations to which we are, or will become, subject. For more information about the Company’s regulatory matters, see “Business—Regulation” and “Risk Factors—Risks Related to Laws and Regulations”.</w:t>
      </w:r>
    </w:p>
    <w:p>
      <w:pPr>
        <w:sectPr>
          <w:pgSz w:w="11880" w:h="15480" w:orient="portrait"/>
          <w:cols w:equalWidth="0" w:num="1">
            <w:col w:w="10300"/>
          </w:cols>
          <w:pgMar w:left="440" w:top="498"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II</w:t>
      </w:r>
    </w:p>
    <w:p>
      <w:pPr>
        <w:sectPr>
          <w:pgSz w:w="11880" w:h="15480" w:orient="portrait"/>
          <w:cols w:equalWidth="0" w:num="1">
            <w:col w:w="10300"/>
          </w:cols>
          <w:pgMar w:left="440" w:top="498" w:right="1140" w:bottom="0" w:gutter="0" w:footer="0" w:header="0"/>
          <w:type w:val="continuous"/>
        </w:sectPr>
      </w:pPr>
    </w:p>
    <w:bookmarkStart w:id="110" w:name="page111"/>
    <w:bookmarkEnd w:id="110"/>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97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0" o:spid="_x0000_s12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780" w:firstLine="241"/>
        <w:spacing w:after="0" w:line="267" w:lineRule="auto"/>
        <w:rPr>
          <w:sz w:val="20"/>
          <w:szCs w:val="20"/>
          <w:color w:val="auto"/>
        </w:rPr>
      </w:pPr>
      <w:r>
        <w:rPr>
          <w:rFonts w:ascii="Calibri" w:cs="Calibri" w:eastAsia="Calibri" w:hAnsi="Calibri"/>
          <w:sz w:val="18"/>
          <w:szCs w:val="18"/>
          <w:color w:val="auto"/>
        </w:rPr>
        <w:t>Certain segments of the investor community have at times expressed negative sentiment towards investing in the oil and natural gas industry and some investors, including certain pension funds, sovereign wealth funds, university endowments and family foundations, have stated policies to reduce or eliminate their investments in the oil and natural gas sector based on social and environmental considerations. See “Risk Factors—Risks Related to our Common Stock—Attention to ESG and conservation matters and a negative shift in market perception towards the oil and natural gas industry could adversely affect demand for oil and natural gas and our stock price.”</w:t>
      </w:r>
    </w:p>
    <w:p>
      <w:pPr>
        <w:spacing w:after="0" w:line="217" w:lineRule="exact"/>
        <w:rPr>
          <w:sz w:val="20"/>
          <w:szCs w:val="20"/>
          <w:color w:val="auto"/>
        </w:rPr>
      </w:pPr>
    </w:p>
    <w:p>
      <w:pPr>
        <w:ind w:right="720" w:firstLine="241"/>
        <w:spacing w:after="0" w:line="268" w:lineRule="auto"/>
        <w:rPr>
          <w:sz w:val="20"/>
          <w:szCs w:val="20"/>
          <w:color w:val="auto"/>
        </w:rPr>
      </w:pPr>
      <w:r>
        <w:rPr>
          <w:rFonts w:ascii="Calibri" w:cs="Calibri" w:eastAsia="Calibri" w:hAnsi="Calibri"/>
          <w:sz w:val="18"/>
          <w:szCs w:val="18"/>
          <w:color w:val="auto"/>
        </w:rPr>
        <w:t>Like other oil and natural gas producing companies, our properties are subject to natural production declines. By their nature, our oil and natural gas wells will experience rapid initial production declines. We attempt to overcome these production declines by drilling to develop and identify additional reserves, by exploring for new sources of reserves and, at times, by acquisitions. During times of severe oil, natural gas and NGL price declines, however, drilling additional oil or natural gas wells may not be economic, and we may find it necessary to reduce capital expenditures and curtail drilling operations in order to preserve liquidity. A significant reduction in capital expenditures and drilling activities could materially impact our production volumes, revenues, reserves, cash flows and the availability under our Credit Agreement. See “Risk Factors—Risks Related to our Financial Condition—Our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w:t>
      </w:r>
    </w:p>
    <w:p>
      <w:pPr>
        <w:spacing w:after="0" w:line="222" w:lineRule="exact"/>
        <w:rPr>
          <w:sz w:val="20"/>
          <w:szCs w:val="20"/>
          <w:color w:val="auto"/>
        </w:rPr>
      </w:pPr>
    </w:p>
    <w:p>
      <w:pPr>
        <w:ind w:right="960" w:firstLine="241"/>
        <w:spacing w:after="0" w:line="264" w:lineRule="auto"/>
        <w:rPr>
          <w:sz w:val="20"/>
          <w:szCs w:val="20"/>
          <w:color w:val="auto"/>
        </w:rPr>
      </w:pPr>
      <w:r>
        <w:rPr>
          <w:rFonts w:ascii="Calibri" w:cs="Calibri" w:eastAsia="Calibri" w:hAnsi="Calibri"/>
          <w:sz w:val="18"/>
          <w:szCs w:val="18"/>
          <w:color w:val="auto"/>
        </w:rPr>
        <w:t>We strive to focus our efforts on increasing oil and natural gas reserves and production while controlling costs at a level that is appropriate for long-term operations. Our ability to find and develop sufficient quantities of oil and natural gas reserves at economical costs is critical to our long-term success. Future finding and development costs are subject to changes in the costs of acquiring, drilling and completing our prospects.</w:t>
      </w:r>
    </w:p>
    <w:p>
      <w:pPr>
        <w:spacing w:after="0" w:line="219" w:lineRule="exact"/>
        <w:rPr>
          <w:sz w:val="20"/>
          <w:szCs w:val="20"/>
          <w:color w:val="auto"/>
        </w:rPr>
      </w:pPr>
    </w:p>
    <w:p>
      <w:pPr>
        <w:spacing w:after="0"/>
        <w:rPr>
          <w:sz w:val="20"/>
          <w:szCs w:val="20"/>
          <w:color w:val="auto"/>
        </w:rPr>
      </w:pPr>
      <w:r>
        <w:rPr>
          <w:rFonts w:ascii="Verdana" w:cs="Verdana" w:eastAsia="Verdana" w:hAnsi="Verdana"/>
          <w:sz w:val="20"/>
          <w:szCs w:val="20"/>
          <w:color w:val="214E93"/>
        </w:rPr>
        <w:t>CRITICAL ACCOUNTING POLICIES AND ESTIMATES</w:t>
      </w:r>
    </w:p>
    <w:p>
      <w:pPr>
        <w:spacing w:after="0" w:line="209" w:lineRule="exact"/>
        <w:rPr>
          <w:sz w:val="20"/>
          <w:szCs w:val="20"/>
          <w:color w:val="auto"/>
        </w:rPr>
      </w:pPr>
    </w:p>
    <w:p>
      <w:pPr>
        <w:ind w:right="800" w:firstLine="241"/>
        <w:spacing w:after="0" w:line="267" w:lineRule="auto"/>
        <w:rPr>
          <w:sz w:val="20"/>
          <w:szCs w:val="20"/>
          <w:color w:val="auto"/>
        </w:rPr>
      </w:pPr>
      <w:r>
        <w:rPr>
          <w:rFonts w:ascii="Calibri" w:cs="Calibri" w:eastAsia="Calibri" w:hAnsi="Calibri"/>
          <w:sz w:val="18"/>
          <w:szCs w:val="18"/>
          <w:color w:val="auto"/>
        </w:rPr>
        <w:t>The preparation of financial statements in conformity with GAAP requires us to make estimates and assumptions that affect the reported amounts of certain assets, liabilities, revenues and expenses during each reporting period. We believe that our estimates and assumptions are reasonable and reliable and that the actual results will not differ significantly from those reported; however, such estimates and assumptions are subject to a number of risks and uncertainties, and such risks and uncertainties could cause the actual results to differ materially from our estimates. We consider the following to be our most critical accounting policies and estimates involving significant judgment or estimates by our management. See Note 2 to the consolidated financial statements in this Annual Report for further details on our accounting policies at December 31, 2025.</w:t>
      </w:r>
    </w:p>
    <w:p>
      <w:pPr>
        <w:spacing w:after="0" w:line="207"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Oil and Natural Gas Properties</w:t>
      </w:r>
    </w:p>
    <w:p>
      <w:pPr>
        <w:spacing w:after="0" w:line="208" w:lineRule="exact"/>
        <w:rPr>
          <w:sz w:val="20"/>
          <w:szCs w:val="20"/>
          <w:color w:val="auto"/>
        </w:rPr>
      </w:pPr>
    </w:p>
    <w:p>
      <w:pPr>
        <w:ind w:right="720" w:firstLine="241"/>
        <w:spacing w:after="0" w:line="267" w:lineRule="auto"/>
        <w:rPr>
          <w:sz w:val="20"/>
          <w:szCs w:val="20"/>
          <w:color w:val="auto"/>
        </w:rPr>
      </w:pPr>
      <w:r>
        <w:rPr>
          <w:rFonts w:ascii="Calibri" w:cs="Calibri" w:eastAsia="Calibri" w:hAnsi="Calibri"/>
          <w:sz w:val="18"/>
          <w:szCs w:val="18"/>
          <w:color w:val="auto"/>
        </w:rPr>
        <w:t>We use the full-cost method of accounting for our investments in oil and natural gas properties. Under this method, all costs associated with the acquisition, exploration and development of oil and natural gas properties and reserves, including unproved and unevaluated property costs, are capitalized as incurred and accumulated in a single cost center representing our activities, which are undertaken exclusively in the United States. Such costs include lease acquisition costs, geological and geophysical expenditures, lease rentals on undeveloped properties, costs of drilling both productive and non-productive wells, capitalized interest on qualifying projects and general and administrative expenses directly related to acquisition, exploration and development activities, but do not include any costs related to production, selling or general corporate administrative activities.</w:t>
      </w:r>
    </w:p>
    <w:p>
      <w:pPr>
        <w:spacing w:after="0" w:line="220" w:lineRule="exact"/>
        <w:rPr>
          <w:sz w:val="20"/>
          <w:szCs w:val="20"/>
          <w:color w:val="auto"/>
        </w:rPr>
      </w:pPr>
    </w:p>
    <w:p>
      <w:pPr>
        <w:ind w:right="840" w:firstLine="241"/>
        <w:spacing w:after="0" w:line="285" w:lineRule="auto"/>
        <w:rPr>
          <w:sz w:val="20"/>
          <w:szCs w:val="20"/>
          <w:color w:val="auto"/>
        </w:rPr>
      </w:pPr>
      <w:r>
        <w:rPr>
          <w:rFonts w:ascii="Calibri" w:cs="Calibri" w:eastAsia="Calibri" w:hAnsi="Calibri"/>
          <w:sz w:val="17"/>
          <w:szCs w:val="17"/>
          <w:color w:val="auto"/>
        </w:rPr>
        <w:t>Capitalized costs of oil and natural gas properties are depleted using the unit-of-production method based upon production and estimates of proved reserves quantities. Unproved and unevaluated property costs are excluded from the depletable base used to determine depletion. Unproved and unevaluated properties are assessed for possible impairment on a periodic basis based upon changes in operating or economic conditions. This assessment includes consideration of the following factors, among others: the assignment of proved reserves, geological and geophysical evaluations, intent to drill, remaining lease term and drilling activity and results. Upon impairment, the costs of the unproved and unevaluated properties are immediately included in the depletable base. Exploratory dry holes are included in the depletable base immediately upon the determination that the well is not productive.</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8880"/>
        <w:spacing w:after="0"/>
        <w:rPr>
          <w:sz w:val="20"/>
          <w:szCs w:val="20"/>
          <w:color w:val="auto"/>
        </w:rPr>
      </w:pPr>
      <w:r>
        <w:rPr>
          <w:rFonts w:ascii="Calibri" w:cs="Calibri" w:eastAsia="Calibri" w:hAnsi="Calibri"/>
          <w:sz w:val="17"/>
          <w:szCs w:val="17"/>
          <w:color w:val="auto"/>
        </w:rPr>
        <w:t>FORM 10-K PART II</w:t>
      </w:r>
    </w:p>
    <w:p>
      <w:pPr>
        <w:sectPr>
          <w:pgSz w:w="11880" w:h="15480" w:orient="portrait"/>
          <w:cols w:equalWidth="0" w:num="1">
            <w:col w:w="10280"/>
          </w:cols>
          <w:pgMar w:left="1160" w:top="498" w:right="440" w:bottom="0" w:gutter="0" w:footer="0" w:header="0"/>
          <w:type w:val="continuous"/>
        </w:sectPr>
      </w:pPr>
    </w:p>
    <w:bookmarkStart w:id="111" w:name="page112"/>
    <w:bookmarkEnd w:id="111"/>
    <w:p>
      <w:pPr>
        <w:spacing w:after="0"/>
        <w:tabs>
          <w:tab w:leader="none" w:pos="740" w:val="left"/>
        </w:tabs>
        <w:rPr>
          <w:sz w:val="20"/>
          <w:szCs w:val="20"/>
          <w:color w:val="auto"/>
        </w:rPr>
      </w:pPr>
      <w:r>
        <w:rPr>
          <w:rFonts w:ascii="Calibri" w:cs="Calibri" w:eastAsia="Calibri" w:hAnsi="Calibri"/>
          <w:sz w:val="18"/>
          <w:szCs w:val="18"/>
          <w:color w:val="auto"/>
        </w:rPr>
        <w:t>98</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2" o:spid="_x0000_s12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452120</wp:posOffset>
                </wp:positionH>
                <wp:positionV relativeFrom="paragraph">
                  <wp:posOffset>320675</wp:posOffset>
                </wp:positionV>
                <wp:extent cx="6812280" cy="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23" o:spid="_x0000_s12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pt,25.25pt" to="572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20"/>
        <w:spacing w:after="0"/>
        <w:rPr>
          <w:sz w:val="20"/>
          <w:szCs w:val="20"/>
          <w:color w:val="auto"/>
        </w:rPr>
      </w:pPr>
      <w:r>
        <w:rPr>
          <w:rFonts w:ascii="Calibri" w:cs="Calibri" w:eastAsia="Calibri" w:hAnsi="Calibri"/>
          <w:sz w:val="19"/>
          <w:szCs w:val="19"/>
          <w:i w:val="1"/>
          <w:iCs w:val="1"/>
          <w:color w:val="214E93"/>
        </w:rPr>
        <w:t>Ceiling Test</w:t>
      </w:r>
    </w:p>
    <w:p>
      <w:pPr>
        <w:spacing w:after="0" w:line="208" w:lineRule="exact"/>
        <w:rPr>
          <w:sz w:val="20"/>
          <w:szCs w:val="20"/>
          <w:color w:val="auto"/>
        </w:rPr>
      </w:pPr>
    </w:p>
    <w:p>
      <w:pPr>
        <w:ind w:left="720" w:right="400" w:firstLine="241"/>
        <w:spacing w:after="0" w:line="252" w:lineRule="auto"/>
        <w:rPr>
          <w:sz w:val="20"/>
          <w:szCs w:val="20"/>
          <w:color w:val="auto"/>
        </w:rPr>
      </w:pPr>
      <w:r>
        <w:rPr>
          <w:rFonts w:ascii="Calibri" w:cs="Calibri" w:eastAsia="Calibri" w:hAnsi="Calibri"/>
          <w:sz w:val="18"/>
          <w:szCs w:val="18"/>
          <w:color w:val="auto"/>
        </w:rPr>
        <w:t>The net capitalized costs of oil and natural gas properties are limited to the lower of unamortized costs less related deferred income taxes or the cost center “ceiling.” The cost center ceiling is defined as the sum of:</w:t>
      </w:r>
    </w:p>
    <w:p>
      <w:pPr>
        <w:spacing w:after="0" w:line="230" w:lineRule="exact"/>
        <w:rPr>
          <w:sz w:val="20"/>
          <w:szCs w:val="20"/>
          <w:color w:val="auto"/>
        </w:rPr>
      </w:pPr>
    </w:p>
    <w:p>
      <w:pPr>
        <w:ind w:left="1420" w:right="560" w:hanging="349"/>
        <w:spacing w:after="0" w:line="252" w:lineRule="auto"/>
        <w:tabs>
          <w:tab w:leader="none" w:pos="1420" w:val="left"/>
        </w:tabs>
        <w:numPr>
          <w:ilvl w:val="0"/>
          <w:numId w:val="69"/>
        </w:numPr>
        <w:rPr>
          <w:rFonts w:ascii="Calibri" w:cs="Calibri" w:eastAsia="Calibri" w:hAnsi="Calibri"/>
          <w:sz w:val="18"/>
          <w:szCs w:val="18"/>
          <w:color w:val="auto"/>
        </w:rPr>
      </w:pPr>
      <w:r>
        <w:rPr>
          <w:rFonts w:ascii="Calibri" w:cs="Calibri" w:eastAsia="Calibri" w:hAnsi="Calibri"/>
          <w:sz w:val="18"/>
          <w:szCs w:val="18"/>
          <w:color w:val="auto"/>
        </w:rPr>
        <w:t>the present value, discounted at 10%, of future net revenues of proved oil and natural gas reserves, reduced by the estimated costs of developing these reserves, plus</w:t>
      </w:r>
    </w:p>
    <w:p>
      <w:pPr>
        <w:spacing w:after="0" w:line="213" w:lineRule="exact"/>
        <w:rPr>
          <w:rFonts w:ascii="Calibri" w:cs="Calibri" w:eastAsia="Calibri" w:hAnsi="Calibri"/>
          <w:sz w:val="18"/>
          <w:szCs w:val="18"/>
          <w:color w:val="auto"/>
        </w:rPr>
      </w:pPr>
    </w:p>
    <w:p>
      <w:pPr>
        <w:ind w:left="1420" w:hanging="349"/>
        <w:spacing w:after="0"/>
        <w:tabs>
          <w:tab w:leader="none" w:pos="1420" w:val="left"/>
        </w:tabs>
        <w:numPr>
          <w:ilvl w:val="0"/>
          <w:numId w:val="69"/>
        </w:numPr>
        <w:rPr>
          <w:rFonts w:ascii="Calibri" w:cs="Calibri" w:eastAsia="Calibri" w:hAnsi="Calibri"/>
          <w:sz w:val="18"/>
          <w:szCs w:val="18"/>
          <w:color w:val="auto"/>
        </w:rPr>
      </w:pPr>
      <w:r>
        <w:rPr>
          <w:rFonts w:ascii="Calibri" w:cs="Calibri" w:eastAsia="Calibri" w:hAnsi="Calibri"/>
          <w:sz w:val="18"/>
          <w:szCs w:val="18"/>
          <w:color w:val="auto"/>
        </w:rPr>
        <w:t>unproved and unevaluated property costs not being amortized, plus</w:t>
      </w:r>
    </w:p>
    <w:p>
      <w:pPr>
        <w:spacing w:after="0" w:line="240" w:lineRule="exact"/>
        <w:rPr>
          <w:rFonts w:ascii="Calibri" w:cs="Calibri" w:eastAsia="Calibri" w:hAnsi="Calibri"/>
          <w:sz w:val="18"/>
          <w:szCs w:val="18"/>
          <w:color w:val="auto"/>
        </w:rPr>
      </w:pPr>
    </w:p>
    <w:p>
      <w:pPr>
        <w:ind w:left="1420" w:right="100" w:hanging="349"/>
        <w:spacing w:after="0" w:line="252" w:lineRule="auto"/>
        <w:tabs>
          <w:tab w:leader="none" w:pos="1420" w:val="left"/>
        </w:tabs>
        <w:numPr>
          <w:ilvl w:val="0"/>
          <w:numId w:val="69"/>
        </w:numPr>
        <w:rPr>
          <w:rFonts w:ascii="Calibri" w:cs="Calibri" w:eastAsia="Calibri" w:hAnsi="Calibri"/>
          <w:sz w:val="18"/>
          <w:szCs w:val="18"/>
          <w:color w:val="auto"/>
        </w:rPr>
      </w:pPr>
      <w:r>
        <w:rPr>
          <w:rFonts w:ascii="Calibri" w:cs="Calibri" w:eastAsia="Calibri" w:hAnsi="Calibri"/>
          <w:sz w:val="18"/>
          <w:szCs w:val="18"/>
          <w:color w:val="auto"/>
        </w:rPr>
        <w:t>the lower of cost or estimated fair value of unproved and unevaluated properties included in the costs being amortized, if any, less</w:t>
      </w:r>
    </w:p>
    <w:p>
      <w:pPr>
        <w:spacing w:after="0" w:line="213" w:lineRule="exact"/>
        <w:rPr>
          <w:rFonts w:ascii="Calibri" w:cs="Calibri" w:eastAsia="Calibri" w:hAnsi="Calibri"/>
          <w:sz w:val="18"/>
          <w:szCs w:val="18"/>
          <w:color w:val="auto"/>
        </w:rPr>
      </w:pPr>
    </w:p>
    <w:p>
      <w:pPr>
        <w:ind w:left="1420" w:hanging="349"/>
        <w:spacing w:after="0"/>
        <w:tabs>
          <w:tab w:leader="none" w:pos="1420" w:val="left"/>
        </w:tabs>
        <w:numPr>
          <w:ilvl w:val="0"/>
          <w:numId w:val="69"/>
        </w:numPr>
        <w:rPr>
          <w:rFonts w:ascii="Calibri" w:cs="Calibri" w:eastAsia="Calibri" w:hAnsi="Calibri"/>
          <w:sz w:val="18"/>
          <w:szCs w:val="18"/>
          <w:color w:val="auto"/>
        </w:rPr>
      </w:pPr>
      <w:r>
        <w:rPr>
          <w:rFonts w:ascii="Calibri" w:cs="Calibri" w:eastAsia="Calibri" w:hAnsi="Calibri"/>
          <w:sz w:val="18"/>
          <w:szCs w:val="18"/>
          <w:color w:val="auto"/>
        </w:rPr>
        <w:t>any income tax effects related to the properties involved.</w:t>
      </w:r>
    </w:p>
    <w:p>
      <w:pPr>
        <w:spacing w:after="0" w:line="241" w:lineRule="exact"/>
        <w:rPr>
          <w:sz w:val="20"/>
          <w:szCs w:val="20"/>
          <w:color w:val="auto"/>
        </w:rPr>
      </w:pPr>
    </w:p>
    <w:p>
      <w:pPr>
        <w:ind w:left="720" w:right="340" w:firstLine="241"/>
        <w:spacing w:after="0" w:line="261" w:lineRule="auto"/>
        <w:rPr>
          <w:sz w:val="20"/>
          <w:szCs w:val="20"/>
          <w:color w:val="auto"/>
        </w:rPr>
      </w:pPr>
      <w:r>
        <w:rPr>
          <w:rFonts w:ascii="Calibri" w:cs="Calibri" w:eastAsia="Calibri" w:hAnsi="Calibri"/>
          <w:sz w:val="18"/>
          <w:szCs w:val="18"/>
          <w:color w:val="auto"/>
        </w:rPr>
        <w:t>Any excess of our net capitalized costs above the cost center ceiling as described above is charged to operations as a full-cost ceiling impairment. Our derivative instruments are not considered in the ceiling test computation as we do not designate these instruments as hedge instruments for accounting purposes.</w:t>
      </w:r>
    </w:p>
    <w:p>
      <w:pPr>
        <w:spacing w:after="0" w:line="209" w:lineRule="exact"/>
        <w:rPr>
          <w:sz w:val="20"/>
          <w:szCs w:val="20"/>
          <w:color w:val="auto"/>
        </w:rPr>
      </w:pPr>
    </w:p>
    <w:p>
      <w:pPr>
        <w:ind w:left="720"/>
        <w:spacing w:after="0"/>
        <w:rPr>
          <w:sz w:val="20"/>
          <w:szCs w:val="20"/>
          <w:color w:val="auto"/>
        </w:rPr>
      </w:pPr>
      <w:r>
        <w:rPr>
          <w:rFonts w:ascii="Calibri" w:cs="Calibri" w:eastAsia="Calibri" w:hAnsi="Calibri"/>
          <w:sz w:val="19"/>
          <w:szCs w:val="19"/>
          <w:i w:val="1"/>
          <w:iCs w:val="1"/>
          <w:color w:val="214E93"/>
        </w:rPr>
        <w:t>Oil and Natural Gas Reserves Quantities and Standardized Measure of Future Net Revenue</w:t>
      </w:r>
    </w:p>
    <w:p>
      <w:pPr>
        <w:spacing w:after="0" w:line="208" w:lineRule="exact"/>
        <w:rPr>
          <w:sz w:val="20"/>
          <w:szCs w:val="20"/>
          <w:color w:val="auto"/>
        </w:rPr>
      </w:pPr>
    </w:p>
    <w:p>
      <w:pPr>
        <w:ind w:left="720" w:right="20" w:firstLine="241"/>
        <w:spacing w:after="0" w:line="286" w:lineRule="auto"/>
        <w:rPr>
          <w:sz w:val="20"/>
          <w:szCs w:val="20"/>
          <w:color w:val="auto"/>
        </w:rPr>
      </w:pPr>
      <w:r>
        <w:rPr>
          <w:rFonts w:ascii="Calibri" w:cs="Calibri" w:eastAsia="Calibri" w:hAnsi="Calibri"/>
          <w:sz w:val="17"/>
          <w:szCs w:val="17"/>
          <w:color w:val="auto"/>
        </w:rPr>
        <w:t>Our engineers and technical staff prepare our estimates of oil and natural gas reserves and associated future net revenues. While the applicable rules allow us to disclose proved, probable and possible reserves, we have elected to present only proved reserves in this Annual Report. The applicable rules define proved reserves as the quantities of oil and natural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201" w:lineRule="exact"/>
        <w:rPr>
          <w:sz w:val="20"/>
          <w:szCs w:val="20"/>
          <w:color w:val="auto"/>
        </w:rPr>
      </w:pPr>
    </w:p>
    <w:p>
      <w:pPr>
        <w:ind w:left="720" w:firstLine="241"/>
        <w:spacing w:after="0" w:line="269" w:lineRule="auto"/>
        <w:rPr>
          <w:sz w:val="20"/>
          <w:szCs w:val="20"/>
          <w:color w:val="auto"/>
        </w:rPr>
      </w:pPr>
      <w:r>
        <w:rPr>
          <w:rFonts w:ascii="Calibri" w:cs="Calibri" w:eastAsia="Calibri" w:hAnsi="Calibri"/>
          <w:sz w:val="18"/>
          <w:szCs w:val="18"/>
          <w:color w:val="auto"/>
        </w:rPr>
        <w:t>Our engineers and technical staff must make many subjective assumptions based on their professional judgment in developing reserves estimates. Reserves estimates are updated quarterly and consider recent production levels and other technical information about each well. Estimating oil and natural gas reserves is complex and inexact because of the numerous uncertainties inherent in the process. The process relies on interpretations of available geological, geophysical, petrophysical, engineering and production data. The extent, quality and reliability of both the data and the associated interpretations can vary. The process also requires certain economic assumptions, including assumptions related to oil and natural gas prices, development expenditures, operating expenses, capital expenditures, taxes and availability of funds. Actual future production, oil and natural gas prices, revenues, taxes, development expenditures, operating expenses and quantities of recoverable oil and natural gas will most likely vary from our estimates. Accordingly, reserves estimates are generally different from the quantities of oil and natural gas that are ultimately recovered. Any significant variance could materially and adversely affect our future reserves estimates, financial condition, results of operations and cash flows. We cannot predict the amounts or timing of future reserves revisions. If such revisions are significant, they could significantly affect future amortization of capitalized costs and result in an impairment of assets that may be material. See “Risk Factors—Risks Related to our Financial Condition—Our oil and natural gas reserves are estimated and may not reflect the actual volumes of oil and natural gas we will recover, and significant inaccuracies in these reserves estimates or underlying assumptions will materially affect the quantities and present value of our reserves” and “Risk Factors—Risks Related to our Financial Condition—We may be required to write down the carrying value of our proved properties under accounting rules, and these write-downs could adversely affect our financial condition.”</w:t>
      </w:r>
    </w:p>
    <w:p>
      <w:pPr>
        <w:spacing w:after="0" w:line="225" w:lineRule="exact"/>
        <w:rPr>
          <w:sz w:val="20"/>
          <w:szCs w:val="20"/>
          <w:color w:val="auto"/>
        </w:rPr>
      </w:pPr>
    </w:p>
    <w:p>
      <w:pPr>
        <w:ind w:left="720" w:right="100" w:firstLine="241"/>
        <w:spacing w:after="0" w:line="285" w:lineRule="auto"/>
        <w:rPr>
          <w:sz w:val="20"/>
          <w:szCs w:val="20"/>
          <w:color w:val="auto"/>
        </w:rPr>
      </w:pPr>
      <w:r>
        <w:rPr>
          <w:rFonts w:ascii="Calibri" w:cs="Calibri" w:eastAsia="Calibri" w:hAnsi="Calibri"/>
          <w:sz w:val="17"/>
          <w:szCs w:val="17"/>
          <w:color w:val="auto"/>
        </w:rPr>
        <w:t>Estimates of proved oil and natural gas reserves are key inputs used for the calculations of depletion, the ceiling test and the fair value assigned to proved oil and natural gas reserves acquired in a business combination. The estimated present value of future net cash flows from proved oil and natural gas reserves is highly dependent upon the quantities of proved reserves, the estimation of which requires substantial judgment. Oil and natural gas reserves are estimated using then-current operating and economic conditions, with no provision for price and cost escalations in future periods except by contractual arrangements. The associated commodity prices and the applicable discount rate used to determine the fair value assigned to proved oil and natural gas reserves</w:t>
      </w:r>
    </w:p>
    <w:p>
      <w:pPr>
        <w:sectPr>
          <w:pgSz w:w="11880" w:h="15480" w:orient="portrait"/>
          <w:cols w:equalWidth="0" w:num="1">
            <w:col w:w="10280"/>
          </w:cols>
          <w:pgMar w:left="44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0"/>
        <w:spacing w:after="0"/>
        <w:rPr>
          <w:sz w:val="20"/>
          <w:szCs w:val="20"/>
          <w:color w:val="auto"/>
        </w:rPr>
      </w:pPr>
      <w:r>
        <w:rPr>
          <w:rFonts w:ascii="Calibri" w:cs="Calibri" w:eastAsia="Calibri" w:hAnsi="Calibri"/>
          <w:sz w:val="17"/>
          <w:szCs w:val="17"/>
          <w:color w:val="auto"/>
        </w:rPr>
        <w:t>FORM 10-K PART II</w:t>
      </w:r>
    </w:p>
    <w:p>
      <w:pPr>
        <w:sectPr>
          <w:pgSz w:w="11880" w:h="15480" w:orient="portrait"/>
          <w:cols w:equalWidth="0" w:num="1">
            <w:col w:w="10280"/>
          </w:cols>
          <w:pgMar w:left="440" w:top="498" w:right="1160" w:bottom="0" w:gutter="0" w:footer="0" w:header="0"/>
          <w:type w:val="continuous"/>
        </w:sectPr>
      </w:pPr>
    </w:p>
    <w:bookmarkStart w:id="112" w:name="page113"/>
    <w:bookmarkEnd w:id="112"/>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480" w:type="dxa"/>
            <w:vAlign w:val="bottom"/>
          </w:tcPr>
          <w:p>
            <w:pPr>
              <w:jc w:val="right"/>
              <w:spacing w:after="0"/>
              <w:rPr>
                <w:sz w:val="20"/>
                <w:szCs w:val="20"/>
                <w:color w:val="auto"/>
              </w:rPr>
            </w:pPr>
            <w:r>
              <w:rPr>
                <w:rFonts w:ascii="Calibri" w:cs="Calibri" w:eastAsia="Calibri" w:hAnsi="Calibri"/>
                <w:sz w:val="18"/>
                <w:szCs w:val="18"/>
                <w:color w:val="auto"/>
              </w:rPr>
              <w:t>99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4" o:spid="_x0000_s12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25" o:spid="_x0000_s12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780"/>
        <w:spacing w:after="0" w:line="266" w:lineRule="auto"/>
        <w:rPr>
          <w:sz w:val="20"/>
          <w:szCs w:val="20"/>
          <w:color w:val="auto"/>
        </w:rPr>
      </w:pPr>
      <w:r>
        <w:rPr>
          <w:rFonts w:ascii="Calibri" w:cs="Calibri" w:eastAsia="Calibri" w:hAnsi="Calibri"/>
          <w:sz w:val="18"/>
          <w:szCs w:val="18"/>
          <w:color w:val="auto"/>
        </w:rPr>
        <w:t>acquired in a business combination are based upon a variety of factors on the date of acquisition. The associated commodity prices and the applicable discount rate used in estimates for depletion and the ceiling test are in accordance with guidelines established by the SEC. Under these guidelines, future net revenues are calculated using prices that represent the arithmetic averages of the first-day-of-the-month oil and natural gas prices for the previous 12-month period, and a 10% discount factor is used to determine the present value of future net revenues.</w:t>
      </w:r>
    </w:p>
    <w:p>
      <w:pPr>
        <w:spacing w:after="0" w:line="204"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Income Taxes</w:t>
      </w:r>
    </w:p>
    <w:p>
      <w:pPr>
        <w:spacing w:after="0" w:line="208" w:lineRule="exact"/>
        <w:rPr>
          <w:sz w:val="20"/>
          <w:szCs w:val="20"/>
          <w:color w:val="auto"/>
        </w:rPr>
      </w:pPr>
    </w:p>
    <w:p>
      <w:pPr>
        <w:ind w:right="780" w:firstLine="241"/>
        <w:spacing w:after="0" w:line="285" w:lineRule="auto"/>
        <w:rPr>
          <w:sz w:val="20"/>
          <w:szCs w:val="20"/>
          <w:color w:val="auto"/>
        </w:rPr>
      </w:pPr>
      <w:r>
        <w:rPr>
          <w:rFonts w:ascii="Calibri" w:cs="Calibri" w:eastAsia="Calibri" w:hAnsi="Calibri"/>
          <w:sz w:val="17"/>
          <w:szCs w:val="17"/>
          <w:color w:val="auto"/>
        </w:rPr>
        <w:t>We account for income taxes using the asset and liability approach for financial accounting and reporting. The amount of income taxes recorded requires interpretations of complex rules and regulations of federal and state taxing authorities. We have recognized deferred tax assets and liabilities for temporary differences, operating losses and tax carryforwards. We evaluate the probability of realizing the future benefits of our deferred tax assets and provide a valuation allowance for the portion of any deferred tax assets where the likelihood of realizing an income tax benefit in the future does not meet the more likely than not criteria for recognition.</w:t>
      </w:r>
    </w:p>
    <w:p>
      <w:pPr>
        <w:spacing w:after="0" w:line="203" w:lineRule="exact"/>
        <w:rPr>
          <w:sz w:val="20"/>
          <w:szCs w:val="20"/>
          <w:color w:val="auto"/>
        </w:rPr>
      </w:pPr>
    </w:p>
    <w:p>
      <w:pPr>
        <w:ind w:right="700" w:firstLine="241"/>
        <w:spacing w:after="0" w:line="264" w:lineRule="auto"/>
        <w:rPr>
          <w:sz w:val="20"/>
          <w:szCs w:val="20"/>
          <w:color w:val="auto"/>
        </w:rPr>
      </w:pPr>
      <w:r>
        <w:rPr>
          <w:rFonts w:ascii="Calibri" w:cs="Calibri" w:eastAsia="Calibri" w:hAnsi="Calibri"/>
          <w:sz w:val="18"/>
          <w:szCs w:val="18"/>
          <w:color w:val="auto"/>
        </w:rPr>
        <w:t>We account for uncertainty in income taxes by recognizing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benefit that has a greater than 50% likelihood of being realized upon ultimate settlement with the relevant tax authority.</w:t>
      </w:r>
    </w:p>
    <w:p>
      <w:pPr>
        <w:spacing w:after="0" w:line="207"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Purchase Accounting</w:t>
      </w:r>
    </w:p>
    <w:p>
      <w:pPr>
        <w:spacing w:after="0" w:line="208" w:lineRule="exact"/>
        <w:rPr>
          <w:sz w:val="20"/>
          <w:szCs w:val="20"/>
          <w:color w:val="auto"/>
        </w:rPr>
      </w:pPr>
    </w:p>
    <w:p>
      <w:pPr>
        <w:ind w:right="780" w:firstLine="241"/>
        <w:spacing w:after="0" w:line="252" w:lineRule="auto"/>
        <w:rPr>
          <w:sz w:val="20"/>
          <w:szCs w:val="20"/>
          <w:color w:val="auto"/>
        </w:rPr>
      </w:pPr>
      <w:r>
        <w:rPr>
          <w:rFonts w:ascii="Calibri" w:cs="Calibri" w:eastAsia="Calibri" w:hAnsi="Calibri"/>
          <w:sz w:val="18"/>
          <w:szCs w:val="18"/>
          <w:color w:val="auto"/>
        </w:rPr>
        <w:t>Periodically we acquire assets and assume liabilities in transactions accounted for as business combinations, such as the Advance Acquisition in 2023 and the Ameredev Acquisition in 2024.</w:t>
      </w:r>
    </w:p>
    <w:p>
      <w:pPr>
        <w:spacing w:after="0" w:line="230" w:lineRule="exact"/>
        <w:rPr>
          <w:sz w:val="20"/>
          <w:szCs w:val="20"/>
          <w:color w:val="auto"/>
        </w:rPr>
      </w:pPr>
    </w:p>
    <w:p>
      <w:pPr>
        <w:ind w:right="760" w:firstLine="241"/>
        <w:spacing w:after="0" w:line="267" w:lineRule="auto"/>
        <w:rPr>
          <w:sz w:val="20"/>
          <w:szCs w:val="20"/>
          <w:color w:val="auto"/>
        </w:rPr>
      </w:pPr>
      <w:r>
        <w:rPr>
          <w:rFonts w:ascii="Calibri" w:cs="Calibri" w:eastAsia="Calibri" w:hAnsi="Calibri"/>
          <w:sz w:val="18"/>
          <w:szCs w:val="18"/>
          <w:color w:val="auto"/>
        </w:rPr>
        <w:t>In estimating the fair value of assets acquired and liabilities assumed in these transactions, including the Advance Acquisition and the Ameredev Acquisition, we must make a number of estimates and assumptions and may engage third-party valuation experts. The most significant assumptions relate to the estimated fair values of oil and natural gas properties. Significant judgments and assumptions are inherent in these estimates and include, among other things, estimates of future production volumes, estimates of future commodity prices, expected development and operating costs, an estimate of a market-based weighted average cost of capital rate and recent market comparable transactions for unproved acreage.</w:t>
      </w:r>
    </w:p>
    <w:p>
      <w:pPr>
        <w:spacing w:after="0" w:line="203"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Recent Accounting Pronouncements</w:t>
      </w:r>
    </w:p>
    <w:p>
      <w:pPr>
        <w:spacing w:after="0" w:line="208" w:lineRule="exact"/>
        <w:rPr>
          <w:sz w:val="20"/>
          <w:szCs w:val="20"/>
          <w:color w:val="auto"/>
        </w:rPr>
      </w:pPr>
    </w:p>
    <w:p>
      <w:pPr>
        <w:ind w:right="2020" w:firstLine="241"/>
        <w:spacing w:after="0" w:line="252" w:lineRule="auto"/>
        <w:rPr>
          <w:sz w:val="20"/>
          <w:szCs w:val="20"/>
          <w:color w:val="auto"/>
        </w:rPr>
      </w:pPr>
      <w:r>
        <w:rPr>
          <w:rFonts w:ascii="Calibri" w:cs="Calibri" w:eastAsia="Calibri" w:hAnsi="Calibri"/>
          <w:sz w:val="18"/>
          <w:szCs w:val="18"/>
          <w:color w:val="auto"/>
        </w:rPr>
        <w:t>See Note 2 to the consolidated financial statements in this Annual Report for a description of recent accounting pronouncements.</w:t>
      </w:r>
    </w:p>
    <w:p>
      <w:pPr>
        <w:spacing w:after="0" w:line="228" w:lineRule="exact"/>
        <w:rPr>
          <w:sz w:val="20"/>
          <w:szCs w:val="20"/>
          <w:color w:val="auto"/>
        </w:rPr>
      </w:pPr>
    </w:p>
    <w:p>
      <w:pPr>
        <w:ind w:left="60"/>
        <w:spacing w:after="0"/>
        <w:rPr>
          <w:sz w:val="20"/>
          <w:szCs w:val="20"/>
          <w:color w:val="auto"/>
        </w:rPr>
      </w:pPr>
      <w:r>
        <w:rPr>
          <w:rFonts w:ascii="Verdana" w:cs="Verdana" w:eastAsia="Verdana" w:hAnsi="Verdana"/>
          <w:sz w:val="20"/>
          <w:szCs w:val="20"/>
          <w:color w:val="214E93"/>
        </w:rPr>
        <w:t>ITEM 7A. QUANTITATIVE AND QUALITATIVE DISCLOSURES ABOUT MARKET RISK.</w:t>
      </w:r>
    </w:p>
    <w:p>
      <w:pPr>
        <w:spacing w:after="0" w:line="209" w:lineRule="exact"/>
        <w:rPr>
          <w:sz w:val="20"/>
          <w:szCs w:val="20"/>
          <w:color w:val="auto"/>
        </w:rPr>
      </w:pPr>
    </w:p>
    <w:p>
      <w:pPr>
        <w:ind w:right="760" w:firstLine="241"/>
        <w:spacing w:after="0" w:line="261" w:lineRule="auto"/>
        <w:rPr>
          <w:sz w:val="20"/>
          <w:szCs w:val="20"/>
          <w:color w:val="auto"/>
        </w:rPr>
      </w:pPr>
      <w:r>
        <w:rPr>
          <w:rFonts w:ascii="Calibri" w:cs="Calibri" w:eastAsia="Calibri" w:hAnsi="Calibri"/>
          <w:sz w:val="18"/>
          <w:szCs w:val="18"/>
          <w:color w:val="auto"/>
        </w:rPr>
        <w:t>We are exposed to a variety of market risks including commodity price risk, interest rate risk and counterparty and customer risk. We address these risks through a program of risk management including the use of derivative financial instruments, but we do not enter into derivative financial instruments for trading purposes.</w:t>
      </w:r>
    </w:p>
    <w:p>
      <w:pPr>
        <w:spacing w:after="0" w:line="223" w:lineRule="exact"/>
        <w:rPr>
          <w:sz w:val="20"/>
          <w:szCs w:val="20"/>
          <w:color w:val="auto"/>
        </w:rPr>
      </w:pPr>
    </w:p>
    <w:p>
      <w:pPr>
        <w:ind w:right="840"/>
        <w:spacing w:after="0" w:line="264" w:lineRule="auto"/>
        <w:rPr>
          <w:sz w:val="20"/>
          <w:szCs w:val="20"/>
          <w:color w:val="auto"/>
        </w:rPr>
      </w:pPr>
      <w:r>
        <w:rPr>
          <w:rFonts w:ascii="Calibri" w:cs="Calibri" w:eastAsia="Calibri" w:hAnsi="Calibri"/>
          <w:sz w:val="18"/>
          <w:szCs w:val="18"/>
          <w:color w:val="214E93"/>
        </w:rPr>
        <w:t xml:space="preserve">Commodity price exposure. </w:t>
      </w:r>
      <w:r>
        <w:rPr>
          <w:rFonts w:ascii="Calibri" w:cs="Calibri" w:eastAsia="Calibri" w:hAnsi="Calibri"/>
          <w:sz w:val="18"/>
          <w:szCs w:val="18"/>
          <w:color w:val="000000"/>
        </w:rPr>
        <w:t>We are exposed to market risk as the prices of oil, natural gas and NGLs fluctuate as a result of changes</w:t>
      </w:r>
      <w:r>
        <w:rPr>
          <w:rFonts w:ascii="Calibri" w:cs="Calibri" w:eastAsia="Calibri" w:hAnsi="Calibri"/>
          <w:sz w:val="18"/>
          <w:szCs w:val="18"/>
          <w:color w:val="214E93"/>
        </w:rPr>
        <w:t xml:space="preserve"> </w:t>
      </w:r>
      <w:r>
        <w:rPr>
          <w:rFonts w:ascii="Calibri" w:cs="Calibri" w:eastAsia="Calibri" w:hAnsi="Calibri"/>
          <w:sz w:val="18"/>
          <w:szCs w:val="18"/>
          <w:color w:val="000000"/>
        </w:rPr>
        <w:t>in supply and demand and other factors. To partially reduce price risk caused by these market fluctuations, we have entered into derivative financial instruments in the past and expect to enter into derivative financial instruments in the future to cover a significant portion of our anticipated future production.</w:t>
      </w:r>
    </w:p>
    <w:p>
      <w:pPr>
        <w:spacing w:after="0" w:line="221" w:lineRule="exact"/>
        <w:rPr>
          <w:sz w:val="20"/>
          <w:szCs w:val="20"/>
          <w:color w:val="auto"/>
        </w:rPr>
      </w:pPr>
    </w:p>
    <w:p>
      <w:pPr>
        <w:ind w:right="780" w:firstLine="241"/>
        <w:spacing w:after="0" w:line="286" w:lineRule="auto"/>
        <w:rPr>
          <w:sz w:val="20"/>
          <w:szCs w:val="20"/>
          <w:color w:val="auto"/>
        </w:rPr>
      </w:pPr>
      <w:r>
        <w:rPr>
          <w:rFonts w:ascii="Calibri" w:cs="Calibri" w:eastAsia="Calibri" w:hAnsi="Calibri"/>
          <w:sz w:val="17"/>
          <w:szCs w:val="17"/>
          <w:color w:val="auto"/>
        </w:rPr>
        <w:t>We typically use costless (or zero-cost) collars, three-way collars and/or swap contracts to manage risks related to changes in oil, natural gas and NGL prices. Costless collars provide us with downside price protection through the purchase of a put option that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 In the case of a costless collar, the put option or options and the call option or options have different fixed price components. When the settlement</w:t>
      </w:r>
    </w:p>
    <w:p>
      <w:pPr>
        <w:sectPr>
          <w:pgSz w:w="11880" w:h="15480" w:orient="portrait"/>
          <w:cols w:equalWidth="0" w:num="1">
            <w:col w:w="10280"/>
          </w:cols>
          <w:pgMar w:left="1160" w:top="498" w:right="440" w:bottom="0" w:gutter="0" w:footer="0" w:header="0"/>
        </w:sectPr>
      </w:pPr>
    </w:p>
    <w:p>
      <w:pPr>
        <w:spacing w:after="0" w:line="200" w:lineRule="exact"/>
        <w:rPr>
          <w:sz w:val="20"/>
          <w:szCs w:val="20"/>
          <w:color w:val="auto"/>
        </w:rPr>
      </w:pPr>
    </w:p>
    <w:p>
      <w:pPr>
        <w:spacing w:after="0" w:line="384" w:lineRule="exact"/>
        <w:rPr>
          <w:sz w:val="20"/>
          <w:szCs w:val="20"/>
          <w:color w:val="auto"/>
        </w:rPr>
      </w:pPr>
    </w:p>
    <w:p>
      <w:pPr>
        <w:ind w:left="8880"/>
        <w:spacing w:after="0"/>
        <w:rPr>
          <w:sz w:val="20"/>
          <w:szCs w:val="20"/>
          <w:color w:val="auto"/>
        </w:rPr>
      </w:pPr>
      <w:r>
        <w:rPr>
          <w:rFonts w:ascii="Calibri" w:cs="Calibri" w:eastAsia="Calibri" w:hAnsi="Calibri"/>
          <w:sz w:val="17"/>
          <w:szCs w:val="17"/>
          <w:color w:val="auto"/>
        </w:rPr>
        <w:t>FORM 10-K PART II</w:t>
      </w:r>
    </w:p>
    <w:p>
      <w:pPr>
        <w:sectPr>
          <w:pgSz w:w="11880" w:h="15480" w:orient="portrait"/>
          <w:cols w:equalWidth="0" w:num="1">
            <w:col w:w="10280"/>
          </w:cols>
          <w:pgMar w:left="1160" w:top="498" w:right="440" w:bottom="0" w:gutter="0" w:footer="0" w:header="0"/>
          <w:type w:val="continuous"/>
        </w:sectPr>
      </w:pPr>
    </w:p>
    <w:bookmarkStart w:id="113" w:name="page114"/>
    <w:bookmarkEnd w:id="113"/>
    <w:p>
      <w:pPr>
        <w:spacing w:after="0"/>
        <w:tabs>
          <w:tab w:leader="none" w:pos="780" w:val="left"/>
        </w:tabs>
        <w:rPr>
          <w:sz w:val="20"/>
          <w:szCs w:val="20"/>
          <w:color w:val="auto"/>
        </w:rPr>
      </w:pPr>
      <w:r>
        <w:rPr>
          <w:rFonts w:ascii="Calibri" w:cs="Calibri" w:eastAsia="Calibri" w:hAnsi="Calibri"/>
          <w:sz w:val="18"/>
          <w:szCs w:val="18"/>
          <w:color w:val="auto"/>
        </w:rPr>
        <w:t>100</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477520</wp:posOffset>
                </wp:positionH>
                <wp:positionV relativeFrom="paragraph">
                  <wp:posOffset>320675</wp:posOffset>
                </wp:positionV>
                <wp:extent cx="6812280" cy="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6" o:spid="_x0000_s12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pt,25.25pt" to="574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477520</wp:posOffset>
                </wp:positionH>
                <wp:positionV relativeFrom="paragraph">
                  <wp:posOffset>320675</wp:posOffset>
                </wp:positionV>
                <wp:extent cx="6812280" cy="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27" o:spid="_x0000_s12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pt,25.25pt" to="574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60" w:right="20"/>
        <w:spacing w:after="0" w:line="266" w:lineRule="auto"/>
        <w:rPr>
          <w:sz w:val="20"/>
          <w:szCs w:val="20"/>
          <w:color w:val="auto"/>
        </w:rPr>
      </w:pPr>
      <w:r>
        <w:rPr>
          <w:rFonts w:ascii="Calibri" w:cs="Calibri" w:eastAsia="Calibri" w:hAnsi="Calibri"/>
          <w:sz w:val="18"/>
          <w:szCs w:val="18"/>
          <w:color w:val="auto"/>
        </w:rPr>
        <w:t>price is below the price floor established by the collar, we receive from our counterparty an amount equal to the difference between the settlement price and the price floor multiplied by the contract oil, natural gas or NGL volume. When the settlement price is above the price ceiling established by the costless collar, we pay our counterparty an amount equal to the difference between the settlement price and the price ceiling multiplied by the contract oil, natural gas or NGL volume. In a swap contract, a floating price is exchanged for a fixed price over a specified period, providing downside price protection.</w:t>
      </w:r>
    </w:p>
    <w:p>
      <w:pPr>
        <w:spacing w:after="0" w:line="218" w:lineRule="exact"/>
        <w:rPr>
          <w:sz w:val="20"/>
          <w:szCs w:val="20"/>
          <w:color w:val="auto"/>
        </w:rPr>
      </w:pPr>
    </w:p>
    <w:p>
      <w:pPr>
        <w:jc w:val="both"/>
        <w:ind w:left="760" w:right="20" w:firstLine="241"/>
        <w:spacing w:after="0" w:line="261" w:lineRule="auto"/>
        <w:rPr>
          <w:sz w:val="20"/>
          <w:szCs w:val="20"/>
          <w:color w:val="auto"/>
        </w:rPr>
      </w:pPr>
      <w:r>
        <w:rPr>
          <w:rFonts w:ascii="Calibri" w:cs="Calibri" w:eastAsia="Calibri" w:hAnsi="Calibri"/>
          <w:sz w:val="18"/>
          <w:szCs w:val="18"/>
          <w:color w:val="auto"/>
        </w:rPr>
        <w:t>We record all derivative financial instruments at fair value, which is determined using purchase and sale information available for similarly traded securities. Additionally, we have considered the credit standing of the counterparties in determining the fair value of our derivative financial instruments.</w:t>
      </w:r>
    </w:p>
    <w:p>
      <w:pPr>
        <w:spacing w:after="0" w:line="223" w:lineRule="exact"/>
        <w:rPr>
          <w:sz w:val="20"/>
          <w:szCs w:val="20"/>
          <w:color w:val="auto"/>
        </w:rPr>
      </w:pPr>
    </w:p>
    <w:p>
      <w:pPr>
        <w:ind w:left="760" w:right="140" w:firstLine="241"/>
        <w:spacing w:after="0" w:line="264" w:lineRule="auto"/>
        <w:rPr>
          <w:sz w:val="20"/>
          <w:szCs w:val="20"/>
          <w:color w:val="auto"/>
        </w:rPr>
      </w:pPr>
      <w:r>
        <w:rPr>
          <w:rFonts w:ascii="Calibri" w:cs="Calibri" w:eastAsia="Calibri" w:hAnsi="Calibri"/>
          <w:sz w:val="18"/>
          <w:szCs w:val="18"/>
          <w:color w:val="auto"/>
        </w:rPr>
        <w:t>At December 31, 2025, we had various costless collar contracts open and in place to mitigate our exposure to oil price volatility, each with an established price floor and ceiling. At December 31, 2025, we had natural gas basis differential swap contracts open and in place to mitigate our exposure to natural gas price volatility, with a specific term (calculation period), notional quantity (volume hedged) and fixed price. We had no open contracts associated with NGL prices at December 31, 2025.</w:t>
      </w:r>
    </w:p>
    <w:p>
      <w:pPr>
        <w:spacing w:after="0" w:line="221" w:lineRule="exact"/>
        <w:rPr>
          <w:sz w:val="20"/>
          <w:szCs w:val="20"/>
          <w:color w:val="auto"/>
        </w:rPr>
      </w:pPr>
    </w:p>
    <w:p>
      <w:pPr>
        <w:ind w:left="760" w:right="600" w:firstLine="241"/>
        <w:spacing w:after="0" w:line="252" w:lineRule="auto"/>
        <w:rPr>
          <w:sz w:val="20"/>
          <w:szCs w:val="20"/>
          <w:color w:val="auto"/>
        </w:rPr>
      </w:pPr>
      <w:r>
        <w:rPr>
          <w:rFonts w:ascii="Calibri" w:cs="Calibri" w:eastAsia="Calibri" w:hAnsi="Calibri"/>
          <w:sz w:val="18"/>
          <w:szCs w:val="18"/>
          <w:color w:val="auto"/>
        </w:rPr>
        <w:t>See Note 12 to the consolidated financial statements in this Annual Report for a summary of our open derivative financial instruments at December 31, 2025. Such information is incorporated herein by reference.</w:t>
      </w:r>
    </w:p>
    <w:p>
      <w:pPr>
        <w:spacing w:after="0" w:line="230" w:lineRule="exact"/>
        <w:rPr>
          <w:sz w:val="20"/>
          <w:szCs w:val="20"/>
          <w:color w:val="auto"/>
        </w:rPr>
      </w:pPr>
    </w:p>
    <w:p>
      <w:pPr>
        <w:ind w:left="760" w:right="20"/>
        <w:spacing w:after="0" w:line="269" w:lineRule="auto"/>
        <w:rPr>
          <w:sz w:val="20"/>
          <w:szCs w:val="20"/>
          <w:color w:val="auto"/>
        </w:rPr>
      </w:pPr>
      <w:r>
        <w:rPr>
          <w:rFonts w:ascii="Calibri" w:cs="Calibri" w:eastAsia="Calibri" w:hAnsi="Calibri"/>
          <w:sz w:val="18"/>
          <w:szCs w:val="18"/>
          <w:color w:val="214E93"/>
        </w:rPr>
        <w:t xml:space="preserve">Effect of Derivatives Legislation. </w:t>
      </w:r>
      <w:r>
        <w:rPr>
          <w:rFonts w:ascii="Calibri" w:cs="Calibri" w:eastAsia="Calibri" w:hAnsi="Calibri"/>
          <w:sz w:val="18"/>
          <w:szCs w:val="18"/>
          <w:color w:val="000000"/>
        </w:rPr>
        <w:t>The Dodd-Frank Act, among other things, established federal oversight and regulation of certain</w:t>
      </w:r>
      <w:r>
        <w:rPr>
          <w:rFonts w:ascii="Calibri" w:cs="Calibri" w:eastAsia="Calibri" w:hAnsi="Calibri"/>
          <w:sz w:val="18"/>
          <w:szCs w:val="18"/>
          <w:color w:val="214E93"/>
        </w:rPr>
        <w:t xml:space="preserve"> </w:t>
      </w:r>
      <w:r>
        <w:rPr>
          <w:rFonts w:ascii="Calibri" w:cs="Calibri" w:eastAsia="Calibri" w:hAnsi="Calibri"/>
          <w:sz w:val="18"/>
          <w:szCs w:val="18"/>
          <w:color w:val="000000"/>
        </w:rPr>
        <w:t>derivative products, including commodity hedges of the type we use. The Dodd-Frank Act requires the CFTC and the SEC to promulgate rules and regulations implementing the Dodd-Frank Act. Although the CFTC has finalized certain regulations, others remain to be finalized or implemented, and it is not possible at this time to predict when, or if, this will be accomplished. Based upon the limited assessments we are able to make with respect to the Dodd-Frank Act, there is the possibility that the Dodd-Frank Act could have a substantial and adverse impact on our ability to enter into and maintain these commodity hedges. In particular, the Dodd-Frank Act could result in the implementation of position limits and additional regulatory requirements on our derivative arrangements, which could include new margin, reporting and clearing requirements. In addition, this legislation could have a substantial impact on our counterparties and may increase the cost of our derivative arrangements in the future. See “Risk Factors— Risks Related to Laws and Regulations—Derivatives legislation adopted by Congress could have an adverse impact on our ability to hedge risks associated with our business.”</w:t>
      </w:r>
    </w:p>
    <w:p>
      <w:pPr>
        <w:spacing w:after="0" w:line="218" w:lineRule="exact"/>
        <w:rPr>
          <w:sz w:val="20"/>
          <w:szCs w:val="20"/>
          <w:color w:val="auto"/>
        </w:rPr>
      </w:pPr>
    </w:p>
    <w:p>
      <w:pPr>
        <w:ind w:left="760" w:right="60"/>
        <w:spacing w:after="0" w:line="272" w:lineRule="auto"/>
        <w:rPr>
          <w:sz w:val="20"/>
          <w:szCs w:val="20"/>
          <w:color w:val="auto"/>
        </w:rPr>
      </w:pPr>
      <w:r>
        <w:rPr>
          <w:rFonts w:ascii="Calibri" w:cs="Calibri" w:eastAsia="Calibri" w:hAnsi="Calibri"/>
          <w:sz w:val="18"/>
          <w:szCs w:val="18"/>
          <w:color w:val="214E93"/>
        </w:rPr>
        <w:t xml:space="preserve">Interest rate risk. </w:t>
      </w:r>
      <w:r>
        <w:rPr>
          <w:rFonts w:ascii="Calibri" w:cs="Calibri" w:eastAsia="Calibri" w:hAnsi="Calibri"/>
          <w:sz w:val="18"/>
          <w:szCs w:val="18"/>
          <w:color w:val="000000"/>
        </w:rPr>
        <w:t>We do not and have not used interest rate derivatives to alter interest rate exposure in an attempt to reduce</w:t>
      </w:r>
      <w:r>
        <w:rPr>
          <w:rFonts w:ascii="Calibri" w:cs="Calibri" w:eastAsia="Calibri" w:hAnsi="Calibri"/>
          <w:sz w:val="18"/>
          <w:szCs w:val="18"/>
          <w:color w:val="214E93"/>
        </w:rPr>
        <w:t xml:space="preserve"> </w:t>
      </w:r>
      <w:r>
        <w:rPr>
          <w:rFonts w:ascii="Calibri" w:cs="Calibri" w:eastAsia="Calibri" w:hAnsi="Calibri"/>
          <w:sz w:val="18"/>
          <w:szCs w:val="18"/>
          <w:color w:val="000000"/>
        </w:rPr>
        <w:t>interest rate expense on existing debt. At December 31, 2025, we had $398.0 million of outstanding borrowings under our Credit Agreement at an interest rate of 5.63%, $500.0 million of outstanding 2028 Notes at a coupon rate of 6.875%, $900.0 million of outstanding 2032 Notes at a coupon rate of 6.500%, $750.0 million of outstanding 2033 Notes at a coupon rate of 6.250% and $883.0 million of outstanding borrowings under the San Mateo Credit Facility at an interest rate of 5.72%. If we incur additional indebtedness in the future and at higher interest rates, we may use interest rate derivatives. Interest rate derivatives would be used solely to modify interest rate exposure and not to modify the overall leverage of the debt portfolio.</w:t>
      </w:r>
    </w:p>
    <w:p>
      <w:pPr>
        <w:spacing w:after="0" w:line="212" w:lineRule="exact"/>
        <w:rPr>
          <w:sz w:val="20"/>
          <w:szCs w:val="20"/>
          <w:color w:val="auto"/>
        </w:rPr>
      </w:pPr>
    </w:p>
    <w:p>
      <w:pPr>
        <w:ind w:left="760"/>
        <w:spacing w:after="0" w:line="267" w:lineRule="auto"/>
        <w:rPr>
          <w:sz w:val="20"/>
          <w:szCs w:val="20"/>
          <w:color w:val="auto"/>
        </w:rPr>
      </w:pPr>
      <w:r>
        <w:rPr>
          <w:rFonts w:ascii="Calibri" w:cs="Calibri" w:eastAsia="Calibri" w:hAnsi="Calibri"/>
          <w:sz w:val="18"/>
          <w:szCs w:val="18"/>
          <w:color w:val="214E93"/>
        </w:rPr>
        <w:t xml:space="preserve">Counterparty </w:t>
      </w:r>
      <w:r>
        <w:rPr>
          <w:rFonts w:ascii="Verdana" w:cs="Verdana" w:eastAsia="Verdana" w:hAnsi="Verdana"/>
          <w:sz w:val="15"/>
          <w:szCs w:val="15"/>
          <w:color w:val="214E93"/>
        </w:rPr>
        <w:t>and customer credit risk.</w:t>
      </w:r>
      <w:r>
        <w:rPr>
          <w:rFonts w:ascii="Calibri" w:cs="Calibri" w:eastAsia="Calibri" w:hAnsi="Calibri"/>
          <w:sz w:val="18"/>
          <w:szCs w:val="18"/>
          <w:color w:val="214E93"/>
        </w:rPr>
        <w:t xml:space="preserve"> </w:t>
      </w:r>
      <w:r>
        <w:rPr>
          <w:rFonts w:ascii="Calibri" w:cs="Calibri" w:eastAsia="Calibri" w:hAnsi="Calibri"/>
          <w:sz w:val="18"/>
          <w:szCs w:val="18"/>
          <w:color w:val="000000"/>
        </w:rPr>
        <w:t>Joint interest receivables arise from billing entities that own partial interests in the wells</w:t>
      </w:r>
      <w:r>
        <w:rPr>
          <w:rFonts w:ascii="Calibri" w:cs="Calibri" w:eastAsia="Calibri" w:hAnsi="Calibri"/>
          <w:sz w:val="18"/>
          <w:szCs w:val="18"/>
          <w:color w:val="214E93"/>
        </w:rPr>
        <w:t xml:space="preserve"> </w:t>
      </w:r>
      <w:r>
        <w:rPr>
          <w:rFonts w:ascii="Calibri" w:cs="Calibri" w:eastAsia="Calibri" w:hAnsi="Calibri"/>
          <w:sz w:val="18"/>
          <w:szCs w:val="18"/>
          <w:color w:val="000000"/>
        </w:rPr>
        <w:t>we operate. These entities participate in our wells primarily based on their ownership in leases on which we wish to drill. We have limited ability to control participation in our wells. We are also subject to credit risk due to concentration of our oil and natural gas receivables with several significant customers and San Mateo is subject to the credit risk of their customers. The inability or failure of our or San Mateo’s significant customers to meet their obligations or their insolvency or liquidation may adversely affect our financial condition, results of operations and cash flows. In addition, our derivative arrangements expose us to credit risk in the event of nonperformance by our counterparties.</w:t>
      </w:r>
    </w:p>
    <w:p>
      <w:pPr>
        <w:spacing w:after="0" w:line="220" w:lineRule="exact"/>
        <w:rPr>
          <w:sz w:val="20"/>
          <w:szCs w:val="20"/>
          <w:color w:val="auto"/>
        </w:rPr>
      </w:pPr>
    </w:p>
    <w:p>
      <w:pPr>
        <w:ind w:left="760" w:firstLine="241"/>
        <w:spacing w:after="0" w:line="285" w:lineRule="auto"/>
        <w:rPr>
          <w:sz w:val="20"/>
          <w:szCs w:val="20"/>
          <w:color w:val="auto"/>
        </w:rPr>
      </w:pPr>
      <w:r>
        <w:rPr>
          <w:rFonts w:ascii="Calibri" w:cs="Calibri" w:eastAsia="Calibri" w:hAnsi="Calibri"/>
          <w:sz w:val="17"/>
          <w:szCs w:val="17"/>
          <w:color w:val="auto"/>
        </w:rPr>
        <w:t>While we do not require our customers to post collateral and we do not have a formal process in place to evaluate and assess the credit standing of our significant customers for oil and natural gas receivables and the counterparties on our derivative instruments, we do evaluate the credit standing of such counterparties as we deem appropriate under the circumstances. This evaluation requires us to conduct the due diligence necessary to determine credit terms and credit limits, which may include (i) reviewing a counterparty’s credit rating, latest financial information and, in the case of a customer with which we have receivables, its historical payment record and the financial ability of its parent company to make payment if the customer cannot and (ii) undertaking the due diligence necessary to determine credit terms and credit limits. The counterparties on our derivative financial instruments in place at</w:t>
      </w:r>
    </w:p>
    <w:p>
      <w:pPr>
        <w:sectPr>
          <w:pgSz w:w="11880" w:h="15480" w:orient="portrait"/>
          <w:cols w:equalWidth="0" w:num="1">
            <w:col w:w="10320"/>
          </w:cols>
          <w:pgMar w:left="40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80"/>
        <w:spacing w:after="0"/>
        <w:rPr>
          <w:sz w:val="20"/>
          <w:szCs w:val="20"/>
          <w:color w:val="auto"/>
        </w:rPr>
      </w:pPr>
      <w:r>
        <w:rPr>
          <w:rFonts w:ascii="Calibri" w:cs="Calibri" w:eastAsia="Calibri" w:hAnsi="Calibri"/>
          <w:sz w:val="17"/>
          <w:szCs w:val="17"/>
          <w:color w:val="auto"/>
        </w:rPr>
        <w:t>FORM 10-K PART II</w:t>
      </w:r>
    </w:p>
    <w:p>
      <w:pPr>
        <w:sectPr>
          <w:pgSz w:w="11880" w:h="15480" w:orient="portrait"/>
          <w:cols w:equalWidth="0" w:num="1">
            <w:col w:w="10320"/>
          </w:cols>
          <w:pgMar w:left="400" w:top="498" w:right="1160" w:bottom="0" w:gutter="0" w:footer="0" w:header="0"/>
          <w:type w:val="continuous"/>
        </w:sectPr>
      </w:pPr>
    </w:p>
    <w:bookmarkStart w:id="114" w:name="page115"/>
    <w:bookmarkEnd w:id="114"/>
    <w:tbl>
      <w:tblPr>
        <w:tblLayout w:type="fixed"/>
        <w:tblInd w:w="7880" w:type="dxa"/>
        <w:tblCellMar>
          <w:top w:w="0" w:type="dxa"/>
          <w:left w:w="0" w:type="dxa"/>
          <w:bottom w:w="0" w:type="dxa"/>
          <w:right w:w="0" w:type="dxa"/>
        </w:tblCellMar>
      </w:tblPr>
      <w:tr>
        <w:trPr>
          <w:trHeight w:val="220"/>
        </w:trPr>
        <w:tc>
          <w:tcPr>
            <w:tcW w:w="190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540" w:type="dxa"/>
            <w:vAlign w:val="bottom"/>
          </w:tcPr>
          <w:p>
            <w:pPr>
              <w:jc w:val="right"/>
              <w:spacing w:after="0"/>
              <w:rPr>
                <w:sz w:val="20"/>
                <w:szCs w:val="20"/>
                <w:color w:val="auto"/>
              </w:rPr>
            </w:pPr>
            <w:r>
              <w:rPr>
                <w:rFonts w:ascii="Calibri" w:cs="Calibri" w:eastAsia="Calibri" w:hAnsi="Calibri"/>
                <w:sz w:val="18"/>
                <w:szCs w:val="18"/>
                <w:color w:val="auto"/>
              </w:rPr>
              <w:t>101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29" o:spid="_x0000_s12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880"/>
        <w:spacing w:after="0" w:line="261" w:lineRule="auto"/>
        <w:rPr>
          <w:sz w:val="20"/>
          <w:szCs w:val="20"/>
          <w:color w:val="auto"/>
        </w:rPr>
      </w:pPr>
      <w:r>
        <w:rPr>
          <w:rFonts w:ascii="Calibri" w:cs="Calibri" w:eastAsia="Calibri" w:hAnsi="Calibri"/>
          <w:sz w:val="18"/>
          <w:szCs w:val="18"/>
          <w:color w:val="auto"/>
        </w:rPr>
        <w:t>February 24, 2026 were Bank of America, PNC Bank, Truist Bank, The Bank of Nova Scotia, Royal Bank of Canada, Comerica Bank, BOKF (or affiliates thereof), The Toronto Dominion Bank, J.P. Morgan Chase Bank and Wells Fargo Bank, which are all lenders under our Credit Agreement.</w:t>
      </w:r>
    </w:p>
    <w:p>
      <w:pPr>
        <w:spacing w:after="0" w:line="226" w:lineRule="exact"/>
        <w:rPr>
          <w:sz w:val="20"/>
          <w:szCs w:val="20"/>
          <w:color w:val="auto"/>
        </w:rPr>
      </w:pPr>
    </w:p>
    <w:p>
      <w:pPr>
        <w:ind w:right="780"/>
        <w:spacing w:after="0" w:line="288" w:lineRule="auto"/>
        <w:rPr>
          <w:sz w:val="20"/>
          <w:szCs w:val="20"/>
          <w:color w:val="auto"/>
        </w:rPr>
      </w:pPr>
      <w:r>
        <w:rPr>
          <w:rFonts w:ascii="Calibri" w:cs="Calibri" w:eastAsia="Calibri" w:hAnsi="Calibri"/>
          <w:sz w:val="17"/>
          <w:szCs w:val="17"/>
          <w:color w:val="214E93"/>
        </w:rPr>
        <w:t xml:space="preserve">Impact of inflation. </w:t>
      </w:r>
      <w:r>
        <w:rPr>
          <w:rFonts w:ascii="Calibri" w:cs="Calibri" w:eastAsia="Calibri" w:hAnsi="Calibri"/>
          <w:sz w:val="17"/>
          <w:szCs w:val="17"/>
          <w:color w:val="000000"/>
        </w:rPr>
        <w:t>Although inflation in the U.S. softened in 2024 and 2025, prices for many services, materials and equipment have</w:t>
      </w:r>
      <w:r>
        <w:rPr>
          <w:rFonts w:ascii="Calibri" w:cs="Calibri" w:eastAsia="Calibri" w:hAnsi="Calibri"/>
          <w:sz w:val="17"/>
          <w:szCs w:val="17"/>
          <w:color w:val="214E93"/>
        </w:rPr>
        <w:t xml:space="preserve"> </w:t>
      </w:r>
      <w:r>
        <w:rPr>
          <w:rFonts w:ascii="Calibri" w:cs="Calibri" w:eastAsia="Calibri" w:hAnsi="Calibri"/>
          <w:sz w:val="17"/>
          <w:szCs w:val="17"/>
          <w:color w:val="000000"/>
        </w:rPr>
        <w:t>remained elevated relative to pre-2022 levels. We do not know how long these inflationary pressures may persist or the impact they may have on our business moving forward. We tend to specifically experience inflationary pressure on the cost of oilfield services and equipment with increases in oil and natural gas prices and with increases in drilling activity in our areas of operations, including the Wolfcamp and Bone Spring plays in the Delaware Basin and the Haynesville shale play. See “Risk Factors—Risks Related to our Financial Condition—Our industry and the broader U.S. economy have experienced higher than expected inflationary pressures in recent years related to increases in oil and natural gas prices, continued supply chain disruptions, labor shortages and geopolitical instability, among other pressures. Should these conditions persist, it may impact our ability to procure services, materials and equipment on a cost-effective basis, or at all, and, as a result, our business, financial condition, results of operations and cash flows could be materially and adversely affected” and “Risk Factors—Risks Related to our Operations—The unavailability or high cost of drilling rigs, completion equipment and services, supplies and personnel, including hydraulic fracturing equipment and personnel, could adversely affect our ability to establish and execute exploration and development plans within budget and on a timely basis, which could have a material adverse effect on our financial condition, results of operations and cash flows.”</w:t>
      </w:r>
    </w:p>
    <w:p>
      <w:pPr>
        <w:spacing w:after="0" w:line="204" w:lineRule="exact"/>
        <w:rPr>
          <w:sz w:val="20"/>
          <w:szCs w:val="20"/>
          <w:color w:val="auto"/>
        </w:rPr>
      </w:pPr>
    </w:p>
    <w:p>
      <w:pPr>
        <w:spacing w:after="0"/>
        <w:rPr>
          <w:sz w:val="20"/>
          <w:szCs w:val="20"/>
          <w:color w:val="auto"/>
        </w:rPr>
      </w:pPr>
      <w:r>
        <w:rPr>
          <w:rFonts w:ascii="Verdana" w:cs="Verdana" w:eastAsia="Verdana" w:hAnsi="Verdana"/>
          <w:sz w:val="20"/>
          <w:szCs w:val="20"/>
          <w:color w:val="214E93"/>
        </w:rPr>
        <w:t>ITEM 8. FINANCIAL STATEMENTS AND SUPPLEMENTARY DATA.</w:t>
      </w:r>
    </w:p>
    <w:p>
      <w:pPr>
        <w:spacing w:after="0" w:line="192" w:lineRule="exact"/>
        <w:rPr>
          <w:sz w:val="20"/>
          <w:szCs w:val="20"/>
          <w:color w:val="auto"/>
        </w:rPr>
      </w:pPr>
    </w:p>
    <w:p>
      <w:pPr>
        <w:ind w:left="240"/>
        <w:spacing w:after="0"/>
        <w:rPr>
          <w:sz w:val="20"/>
          <w:szCs w:val="20"/>
          <w:color w:val="auto"/>
        </w:rPr>
      </w:pPr>
      <w:r>
        <w:rPr>
          <w:rFonts w:ascii="Calibri" w:cs="Calibri" w:eastAsia="Calibri" w:hAnsi="Calibri"/>
          <w:sz w:val="18"/>
          <w:szCs w:val="18"/>
          <w:color w:val="auto"/>
        </w:rPr>
        <w:t>Our financial statements appear at the end of this Annual Report beginning on page F-1.</w:t>
      </w:r>
    </w:p>
    <w:p>
      <w:pPr>
        <w:spacing w:after="0" w:line="239" w:lineRule="exact"/>
        <w:rPr>
          <w:sz w:val="20"/>
          <w:szCs w:val="20"/>
          <w:color w:val="auto"/>
        </w:rPr>
      </w:pPr>
    </w:p>
    <w:p>
      <w:pPr>
        <w:ind w:right="1420"/>
        <w:spacing w:after="0" w:line="254" w:lineRule="auto"/>
        <w:rPr>
          <w:sz w:val="20"/>
          <w:szCs w:val="20"/>
          <w:color w:val="auto"/>
        </w:rPr>
      </w:pPr>
      <w:r>
        <w:rPr>
          <w:rFonts w:ascii="Verdana" w:cs="Verdana" w:eastAsia="Verdana" w:hAnsi="Verdana"/>
          <w:sz w:val="20"/>
          <w:szCs w:val="20"/>
          <w:color w:val="214E93"/>
        </w:rPr>
        <w:t>ITEM 9. CHANGES IN AND DISAGREEMENTS WITH ACCOUNTANTS ON ACCOUNTING AND FINANCIAL DISCLOSURE.</w:t>
      </w:r>
    </w:p>
    <w:p>
      <w:pPr>
        <w:spacing w:after="0" w:line="157" w:lineRule="exact"/>
        <w:rPr>
          <w:sz w:val="20"/>
          <w:szCs w:val="20"/>
          <w:color w:val="auto"/>
        </w:rPr>
      </w:pPr>
    </w:p>
    <w:p>
      <w:pPr>
        <w:ind w:left="240"/>
        <w:spacing w:after="0"/>
        <w:rPr>
          <w:sz w:val="20"/>
          <w:szCs w:val="20"/>
          <w:color w:val="auto"/>
        </w:rPr>
      </w:pPr>
      <w:r>
        <w:rPr>
          <w:rFonts w:ascii="Calibri" w:cs="Calibri" w:eastAsia="Calibri" w:hAnsi="Calibri"/>
          <w:sz w:val="18"/>
          <w:szCs w:val="18"/>
          <w:color w:val="auto"/>
        </w:rPr>
        <w:t>Not applicable.</w:t>
      </w:r>
    </w:p>
    <w:p>
      <w:pPr>
        <w:spacing w:after="0" w:line="239" w:lineRule="exact"/>
        <w:rPr>
          <w:sz w:val="20"/>
          <w:szCs w:val="20"/>
          <w:color w:val="auto"/>
        </w:rPr>
      </w:pPr>
    </w:p>
    <w:p>
      <w:pPr>
        <w:spacing w:after="0"/>
        <w:rPr>
          <w:sz w:val="20"/>
          <w:szCs w:val="20"/>
          <w:color w:val="auto"/>
        </w:rPr>
      </w:pPr>
      <w:r>
        <w:rPr>
          <w:rFonts w:ascii="Verdana" w:cs="Verdana" w:eastAsia="Verdana" w:hAnsi="Verdana"/>
          <w:sz w:val="20"/>
          <w:szCs w:val="20"/>
          <w:color w:val="214E93"/>
        </w:rPr>
        <w:t>ITEM 9A. CONTROLS AND PROCEDURES.</w:t>
      </w:r>
    </w:p>
    <w:p>
      <w:pPr>
        <w:spacing w:after="0" w:line="196"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Evaluation of Disclosure Controls and Procedures</w:t>
      </w:r>
    </w:p>
    <w:p>
      <w:pPr>
        <w:spacing w:after="0" w:line="208" w:lineRule="exact"/>
        <w:rPr>
          <w:sz w:val="20"/>
          <w:szCs w:val="20"/>
          <w:color w:val="auto"/>
        </w:rPr>
      </w:pPr>
    </w:p>
    <w:p>
      <w:pPr>
        <w:ind w:right="780" w:firstLine="241"/>
        <w:spacing w:after="0" w:line="268" w:lineRule="auto"/>
        <w:rPr>
          <w:sz w:val="20"/>
          <w:szCs w:val="20"/>
          <w:color w:val="auto"/>
        </w:rPr>
      </w:pPr>
      <w:r>
        <w:rPr>
          <w:rFonts w:ascii="Calibri" w:cs="Calibri" w:eastAsia="Calibri" w:hAnsi="Calibri"/>
          <w:sz w:val="18"/>
          <w:szCs w:val="18"/>
          <w:color w:val="auto"/>
        </w:rPr>
        <w:t>As of the end of the period covered by this Annual Report, we evaluated the effectiveness of the design and operation of the Company’s disclosure controls and procedures (as defined in Rule 13a-15(e) under the Exchange Act) under the supervision and with the participation of our management, including our Chief Executive Officer and our Chief Financial Officer. Based on that evaluation, our Chief Executive Officer and our Chief Financial Officer concluded that the Company’s disclosure controls and procedures were effective as of December 31, 2025 to ensure that (i) information required to be disclosed in the reports it files and submits under the Exchange Act is recorded, processed, summarized and reported within the time periods specified in the SEC’s rules and forms and that (ii) information required to be disclosed under the Exchange Act is accumulated and communicated to the Company’s management, including our Chief Executive Officer and our Chief Financial Officer, as appropriate to allow timely decisions regarding required disclosure.</w:t>
      </w:r>
    </w:p>
    <w:p>
      <w:pPr>
        <w:spacing w:after="0" w:line="205"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Changes in Internal Control over Financial Reporting</w:t>
      </w:r>
    </w:p>
    <w:p>
      <w:pPr>
        <w:spacing w:after="0" w:line="208" w:lineRule="exact"/>
        <w:rPr>
          <w:sz w:val="20"/>
          <w:szCs w:val="20"/>
          <w:color w:val="auto"/>
        </w:rPr>
      </w:pPr>
    </w:p>
    <w:p>
      <w:pPr>
        <w:ind w:right="780" w:firstLine="241"/>
        <w:spacing w:after="0" w:line="252" w:lineRule="auto"/>
        <w:rPr>
          <w:sz w:val="20"/>
          <w:szCs w:val="20"/>
          <w:color w:val="auto"/>
        </w:rPr>
      </w:pPr>
      <w:r>
        <w:rPr>
          <w:rFonts w:ascii="Calibri" w:cs="Calibri" w:eastAsia="Calibri" w:hAnsi="Calibri"/>
          <w:sz w:val="18"/>
          <w:szCs w:val="18"/>
          <w:color w:val="auto"/>
        </w:rPr>
        <w:t>During the quarter ended December 31, 2025, there were no changes in our internal controls that have materially affected or are reasonably likely to have a material effect on our internal control over financial reporting.</w:t>
      </w:r>
    </w:p>
    <w:p>
      <w:pPr>
        <w:spacing w:after="0" w:line="216"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Management’s Report on Internal Control over Financial Reporting</w:t>
      </w:r>
    </w:p>
    <w:p>
      <w:pPr>
        <w:spacing w:after="0" w:line="208" w:lineRule="exact"/>
        <w:rPr>
          <w:sz w:val="20"/>
          <w:szCs w:val="20"/>
          <w:color w:val="auto"/>
        </w:rPr>
      </w:pPr>
    </w:p>
    <w:p>
      <w:pPr>
        <w:ind w:right="760" w:firstLine="241"/>
        <w:spacing w:after="0" w:line="285" w:lineRule="auto"/>
        <w:rPr>
          <w:sz w:val="20"/>
          <w:szCs w:val="20"/>
          <w:color w:val="auto"/>
        </w:rPr>
      </w:pPr>
      <w:r>
        <w:rPr>
          <w:rFonts w:ascii="Calibri" w:cs="Calibri" w:eastAsia="Calibri" w:hAnsi="Calibri"/>
          <w:sz w:val="17"/>
          <w:szCs w:val="17"/>
          <w:color w:val="auto"/>
        </w:rPr>
        <w:t>Our management is responsible for establishing and maintaining adequate internal control over financial reporting as defined in Rules 13a-15(f) and 15d-15(f) of the Exchange Act, as amended. Under the supervision and with the participation of our management, including our Chief Executive Officer and our Chief Financial Officer, we assessed the effectiveness of our internal control over financial reporting as of the end of the period covered by this Annual Report based on the framework in 2013 “Internal Control — Integrated Framework” issued by the Committee of Sponsoring Organizations of the Treadway Commission. Based on that assessment, our Chief Executive Officer and our Chief Financial Officer concluded that our internal control over financial reporting</w:t>
      </w:r>
    </w:p>
    <w:p>
      <w:pPr>
        <w:sectPr>
          <w:pgSz w:w="11880" w:h="15480" w:orient="portrait"/>
          <w:cols w:equalWidth="0" w:num="1">
            <w:col w:w="10320"/>
          </w:cols>
          <w:pgMar w:left="1160" w:top="498"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880"/>
        <w:spacing w:after="0"/>
        <w:rPr>
          <w:sz w:val="20"/>
          <w:szCs w:val="20"/>
          <w:color w:val="auto"/>
        </w:rPr>
      </w:pPr>
      <w:r>
        <w:rPr>
          <w:rFonts w:ascii="Calibri" w:cs="Calibri" w:eastAsia="Calibri" w:hAnsi="Calibri"/>
          <w:sz w:val="17"/>
          <w:szCs w:val="17"/>
          <w:color w:val="auto"/>
        </w:rPr>
        <w:t>FORM 10-K PART II</w:t>
      </w:r>
    </w:p>
    <w:p>
      <w:pPr>
        <w:sectPr>
          <w:pgSz w:w="11880" w:h="15480" w:orient="portrait"/>
          <w:cols w:equalWidth="0" w:num="1">
            <w:col w:w="10320"/>
          </w:cols>
          <w:pgMar w:left="1160" w:top="498" w:right="400" w:bottom="0" w:gutter="0" w:footer="0" w:header="0"/>
          <w:type w:val="continuous"/>
        </w:sectPr>
      </w:pPr>
    </w:p>
    <w:bookmarkStart w:id="115" w:name="page116"/>
    <w:bookmarkEnd w:id="115"/>
    <w:p>
      <w:pPr>
        <w:spacing w:after="0"/>
        <w:tabs>
          <w:tab w:leader="none" w:pos="780" w:val="left"/>
        </w:tabs>
        <w:rPr>
          <w:sz w:val="20"/>
          <w:szCs w:val="20"/>
          <w:color w:val="auto"/>
        </w:rPr>
      </w:pPr>
      <w:r>
        <w:rPr>
          <w:rFonts w:ascii="Calibri" w:cs="Calibri" w:eastAsia="Calibri" w:hAnsi="Calibri"/>
          <w:sz w:val="18"/>
          <w:szCs w:val="18"/>
          <w:color w:val="auto"/>
        </w:rPr>
        <w:t>102</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477520</wp:posOffset>
                </wp:positionH>
                <wp:positionV relativeFrom="paragraph">
                  <wp:posOffset>320675</wp:posOffset>
                </wp:positionV>
                <wp:extent cx="6812280" cy="0"/>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30" o:spid="_x0000_s12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pt,25.25pt" to="574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477520</wp:posOffset>
                </wp:positionH>
                <wp:positionV relativeFrom="paragraph">
                  <wp:posOffset>320675</wp:posOffset>
                </wp:positionV>
                <wp:extent cx="6812280" cy="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31" o:spid="_x0000_s12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pt,25.25pt" to="574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60" w:right="60"/>
        <w:spacing w:after="0" w:line="252" w:lineRule="auto"/>
        <w:rPr>
          <w:sz w:val="20"/>
          <w:szCs w:val="20"/>
          <w:color w:val="auto"/>
        </w:rPr>
      </w:pPr>
      <w:r>
        <w:rPr>
          <w:rFonts w:ascii="Calibri" w:cs="Calibri" w:eastAsia="Calibri" w:hAnsi="Calibri"/>
          <w:sz w:val="18"/>
          <w:szCs w:val="18"/>
          <w:color w:val="auto"/>
        </w:rPr>
        <w:t>was effective to provide reasonable assurance regarding the reliability of our financial reporting and the preparation of our financial statements for external purposes in accordance with U.S. generally accepted accounting principles.</w:t>
      </w:r>
    </w:p>
    <w:p>
      <w:pPr>
        <w:spacing w:after="0" w:line="230" w:lineRule="exact"/>
        <w:rPr>
          <w:sz w:val="20"/>
          <w:szCs w:val="20"/>
          <w:color w:val="auto"/>
        </w:rPr>
      </w:pPr>
    </w:p>
    <w:p>
      <w:pPr>
        <w:ind w:left="760" w:right="620" w:firstLine="241"/>
        <w:spacing w:after="0" w:line="252" w:lineRule="auto"/>
        <w:rPr>
          <w:sz w:val="20"/>
          <w:szCs w:val="20"/>
          <w:color w:val="auto"/>
        </w:rPr>
      </w:pPr>
      <w:r>
        <w:rPr>
          <w:rFonts w:ascii="Calibri" w:cs="Calibri" w:eastAsia="Calibri" w:hAnsi="Calibri"/>
          <w:sz w:val="18"/>
          <w:szCs w:val="18"/>
          <w:color w:val="auto"/>
        </w:rPr>
        <w:t>KPMG, our independent registered public accounting firm, has issued an attestation report on our controls over financial reporting as of December 31, 2025 as included herein.</w:t>
      </w:r>
    </w:p>
    <w:p>
      <w:pPr>
        <w:spacing w:after="0" w:line="216" w:lineRule="exact"/>
        <w:rPr>
          <w:sz w:val="20"/>
          <w:szCs w:val="20"/>
          <w:color w:val="auto"/>
        </w:rPr>
      </w:pPr>
    </w:p>
    <w:p>
      <w:pPr>
        <w:ind w:left="760"/>
        <w:spacing w:after="0"/>
        <w:rPr>
          <w:sz w:val="20"/>
          <w:szCs w:val="20"/>
          <w:color w:val="auto"/>
        </w:rPr>
      </w:pPr>
      <w:r>
        <w:rPr>
          <w:rFonts w:ascii="Calibri" w:cs="Calibri" w:eastAsia="Calibri" w:hAnsi="Calibri"/>
          <w:sz w:val="19"/>
          <w:szCs w:val="19"/>
          <w:i w:val="1"/>
          <w:iCs w:val="1"/>
          <w:color w:val="214E93"/>
        </w:rPr>
        <w:t>Important Considerations</w:t>
      </w:r>
    </w:p>
    <w:p>
      <w:pPr>
        <w:spacing w:after="0" w:line="208" w:lineRule="exact"/>
        <w:rPr>
          <w:sz w:val="20"/>
          <w:szCs w:val="20"/>
          <w:color w:val="auto"/>
        </w:rPr>
      </w:pPr>
    </w:p>
    <w:p>
      <w:pPr>
        <w:ind w:left="760" w:firstLine="241"/>
        <w:spacing w:after="0" w:line="268" w:lineRule="auto"/>
        <w:rPr>
          <w:sz w:val="20"/>
          <w:szCs w:val="20"/>
          <w:color w:val="auto"/>
        </w:rPr>
      </w:pPr>
      <w:r>
        <w:rPr>
          <w:rFonts w:ascii="Calibri" w:cs="Calibri" w:eastAsia="Calibri" w:hAnsi="Calibri"/>
          <w:sz w:val="18"/>
          <w:szCs w:val="18"/>
          <w:color w:val="auto"/>
        </w:rPr>
        <w:t>The effectiveness of our disclosure controls and procedures and our internal control over financial reporting is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become inadequate because of changes in conditions and the risk that the degree of compliance with policies or procedures may deteriorate over time. Because of these limitations, there can be no assurance that any system of disclosure controls and procedures or internal control over financial reporting will be successful in preventing all errors or fraud or in making all material information known in a timely manner to the appropriate levels of management.</w:t>
      </w:r>
    </w:p>
    <w:p>
      <w:pPr>
        <w:sectPr>
          <w:pgSz w:w="11880" w:h="15480" w:orient="portrait"/>
          <w:cols w:equalWidth="0" w:num="1">
            <w:col w:w="10300"/>
          </w:cols>
          <w:pgMar w:left="400" w:top="49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80"/>
        <w:spacing w:after="0"/>
        <w:rPr>
          <w:sz w:val="20"/>
          <w:szCs w:val="20"/>
          <w:color w:val="auto"/>
        </w:rPr>
      </w:pPr>
      <w:r>
        <w:rPr>
          <w:rFonts w:ascii="Calibri" w:cs="Calibri" w:eastAsia="Calibri" w:hAnsi="Calibri"/>
          <w:sz w:val="17"/>
          <w:szCs w:val="17"/>
          <w:color w:val="auto"/>
        </w:rPr>
        <w:t>FORM 10-K PART II</w:t>
      </w:r>
    </w:p>
    <w:p>
      <w:pPr>
        <w:sectPr>
          <w:pgSz w:w="11880" w:h="15480" w:orient="portrait"/>
          <w:cols w:equalWidth="0" w:num="1">
            <w:col w:w="10300"/>
          </w:cols>
          <w:pgMar w:left="400" w:top="498" w:right="1180" w:bottom="0" w:gutter="0" w:footer="0" w:header="0"/>
          <w:type w:val="continuous"/>
        </w:sectPr>
      </w:pPr>
    </w:p>
    <w:bookmarkStart w:id="116" w:name="page117"/>
    <w:bookmarkEnd w:id="116"/>
    <w:tbl>
      <w:tblPr>
        <w:tblLayout w:type="fixed"/>
        <w:tblInd w:w="7880" w:type="dxa"/>
        <w:tblCellMar>
          <w:top w:w="0" w:type="dxa"/>
          <w:left w:w="0" w:type="dxa"/>
          <w:bottom w:w="0" w:type="dxa"/>
          <w:right w:w="0" w:type="dxa"/>
        </w:tblCellMar>
      </w:tblPr>
      <w:tr>
        <w:trPr>
          <w:trHeight w:val="220"/>
        </w:trPr>
        <w:tc>
          <w:tcPr>
            <w:tcW w:w="190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540" w:type="dxa"/>
            <w:vAlign w:val="bottom"/>
          </w:tcPr>
          <w:p>
            <w:pPr>
              <w:jc w:val="right"/>
              <w:spacing w:after="0"/>
              <w:rPr>
                <w:sz w:val="20"/>
                <w:szCs w:val="20"/>
                <w:color w:val="auto"/>
              </w:rPr>
            </w:pPr>
            <w:r>
              <w:rPr>
                <w:rFonts w:ascii="Calibri" w:cs="Calibri" w:eastAsia="Calibri" w:hAnsi="Calibri"/>
                <w:sz w:val="18"/>
                <w:szCs w:val="18"/>
                <w:color w:val="auto"/>
              </w:rPr>
              <w:t>103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32" o:spid="_x0000_s12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Verdana" w:cs="Verdana" w:eastAsia="Verdana" w:hAnsi="Verdana"/>
          <w:sz w:val="20"/>
          <w:szCs w:val="20"/>
          <w:color w:val="214E93"/>
        </w:rPr>
        <w:t>Report of Independent Registered Public Accounting Firm</w:t>
      </w:r>
    </w:p>
    <w:p>
      <w:pPr>
        <w:spacing w:after="0" w:line="192" w:lineRule="exact"/>
        <w:rPr>
          <w:sz w:val="20"/>
          <w:szCs w:val="20"/>
          <w:color w:val="auto"/>
        </w:rPr>
      </w:pPr>
    </w:p>
    <w:p>
      <w:pPr>
        <w:ind w:left="240"/>
        <w:spacing w:after="0"/>
        <w:rPr>
          <w:sz w:val="20"/>
          <w:szCs w:val="20"/>
          <w:color w:val="auto"/>
        </w:rPr>
      </w:pPr>
      <w:r>
        <w:rPr>
          <w:rFonts w:ascii="Calibri" w:cs="Calibri" w:eastAsia="Calibri" w:hAnsi="Calibri"/>
          <w:sz w:val="18"/>
          <w:szCs w:val="18"/>
          <w:color w:val="auto"/>
        </w:rPr>
        <w:t>To the Shareholders and Board of Directors</w:t>
      </w:r>
    </w:p>
    <w:p>
      <w:pPr>
        <w:spacing w:after="0" w:line="28" w:lineRule="exact"/>
        <w:rPr>
          <w:sz w:val="20"/>
          <w:szCs w:val="20"/>
          <w:color w:val="auto"/>
        </w:rPr>
      </w:pPr>
    </w:p>
    <w:p>
      <w:pPr>
        <w:ind w:left="240"/>
        <w:spacing w:after="0"/>
        <w:rPr>
          <w:sz w:val="20"/>
          <w:szCs w:val="20"/>
          <w:color w:val="auto"/>
        </w:rPr>
      </w:pPr>
      <w:r>
        <w:rPr>
          <w:rFonts w:ascii="Calibri" w:cs="Calibri" w:eastAsia="Calibri" w:hAnsi="Calibri"/>
          <w:sz w:val="18"/>
          <w:szCs w:val="18"/>
          <w:color w:val="auto"/>
        </w:rPr>
        <w:t>Matador Resources Company:</w:t>
      </w:r>
    </w:p>
    <w:p>
      <w:pPr>
        <w:spacing w:after="0" w:line="227"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Opinion on Internal Control Over Financial Reporting</w:t>
      </w:r>
    </w:p>
    <w:p>
      <w:pPr>
        <w:spacing w:after="0" w:line="208" w:lineRule="exact"/>
        <w:rPr>
          <w:sz w:val="20"/>
          <w:szCs w:val="20"/>
          <w:color w:val="auto"/>
        </w:rPr>
      </w:pPr>
    </w:p>
    <w:p>
      <w:pPr>
        <w:ind w:right="940" w:firstLine="241"/>
        <w:spacing w:after="0" w:line="266" w:lineRule="auto"/>
        <w:rPr>
          <w:sz w:val="20"/>
          <w:szCs w:val="20"/>
          <w:color w:val="auto"/>
        </w:rPr>
      </w:pPr>
      <w:r>
        <w:rPr>
          <w:rFonts w:ascii="Calibri" w:cs="Calibri" w:eastAsia="Calibri" w:hAnsi="Calibri"/>
          <w:sz w:val="18"/>
          <w:szCs w:val="18"/>
          <w:color w:val="auto"/>
        </w:rPr>
        <w:t>We have audited Matador Resources Company and subsidiaries’ (the Company) internal control over financial reporting as of December 31, 2025,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w:t>
      </w:r>
    </w:p>
    <w:p>
      <w:pPr>
        <w:spacing w:after="0" w:line="218" w:lineRule="exact"/>
        <w:rPr>
          <w:sz w:val="20"/>
          <w:szCs w:val="20"/>
          <w:color w:val="auto"/>
        </w:rPr>
      </w:pPr>
    </w:p>
    <w:p>
      <w:pPr>
        <w:ind w:right="840" w:firstLine="241"/>
        <w:spacing w:after="0" w:line="266" w:lineRule="auto"/>
        <w:rPr>
          <w:sz w:val="20"/>
          <w:szCs w:val="20"/>
          <w:color w:val="auto"/>
        </w:rPr>
      </w:pPr>
      <w:r>
        <w:rPr>
          <w:rFonts w:ascii="Calibri" w:cs="Calibri" w:eastAsia="Calibri" w:hAnsi="Calibri"/>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income, changes in shareholders’ equity, and cash flows for each of the years in the three-year period ended December 31, 2025, and the related notes (collectively, the consolidated financial statements), and our report dated February 26, 2026 expressed an unqualified opinion on those consolidated financial statements.</w:t>
      </w:r>
    </w:p>
    <w:p>
      <w:pPr>
        <w:spacing w:after="0" w:line="204"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Basis for Opinion</w:t>
      </w:r>
    </w:p>
    <w:p>
      <w:pPr>
        <w:spacing w:after="0" w:line="208" w:lineRule="exact"/>
        <w:rPr>
          <w:sz w:val="20"/>
          <w:szCs w:val="20"/>
          <w:color w:val="auto"/>
        </w:rPr>
      </w:pPr>
    </w:p>
    <w:p>
      <w:pPr>
        <w:ind w:right="800" w:firstLine="241"/>
        <w:spacing w:after="0" w:line="267" w:lineRule="auto"/>
        <w:rPr>
          <w:sz w:val="20"/>
          <w:szCs w:val="20"/>
          <w:color w:val="auto"/>
        </w:rPr>
      </w:pPr>
      <w:r>
        <w:rPr>
          <w:rFonts w:ascii="Calibri" w:cs="Calibri" w:eastAsia="Calibri" w:hAnsi="Calibri"/>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7" w:lineRule="exact"/>
        <w:rPr>
          <w:sz w:val="20"/>
          <w:szCs w:val="20"/>
          <w:color w:val="auto"/>
        </w:rPr>
      </w:pPr>
    </w:p>
    <w:p>
      <w:pPr>
        <w:ind w:right="800" w:firstLine="241"/>
        <w:spacing w:after="0" w:line="267" w:lineRule="auto"/>
        <w:rPr>
          <w:sz w:val="20"/>
          <w:szCs w:val="20"/>
          <w:color w:val="auto"/>
        </w:rPr>
      </w:pPr>
      <w:r>
        <w:rPr>
          <w:rFonts w:ascii="Calibri" w:cs="Calibri" w:eastAsia="Calibri" w:hAnsi="Calibri"/>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3"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Definition and Limitations of Internal Control Over Financial Reporting</w:t>
      </w:r>
    </w:p>
    <w:p>
      <w:pPr>
        <w:spacing w:after="0" w:line="208" w:lineRule="exact"/>
        <w:rPr>
          <w:sz w:val="20"/>
          <w:szCs w:val="20"/>
          <w:color w:val="auto"/>
        </w:rPr>
      </w:pPr>
    </w:p>
    <w:p>
      <w:pPr>
        <w:ind w:right="820" w:firstLine="241"/>
        <w:spacing w:after="0" w:line="268" w:lineRule="auto"/>
        <w:rPr>
          <w:sz w:val="20"/>
          <w:szCs w:val="20"/>
          <w:color w:val="auto"/>
        </w:rPr>
      </w:pPr>
      <w:r>
        <w:rPr>
          <w:rFonts w:ascii="Calibri" w:cs="Calibri" w:eastAsia="Calibri" w:hAnsi="Calibri"/>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ind w:right="780" w:firstLine="241"/>
        <w:spacing w:after="0" w:line="261" w:lineRule="auto"/>
        <w:rPr>
          <w:sz w:val="20"/>
          <w:szCs w:val="20"/>
          <w:color w:val="auto"/>
        </w:rPr>
      </w:pPr>
      <w:r>
        <w:rPr>
          <w:rFonts w:ascii="Calibri" w:cs="Calibri" w:eastAsia="Calibri" w:hAnsi="Calibri"/>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6" w:lineRule="exact"/>
        <w:rPr>
          <w:sz w:val="20"/>
          <w:szCs w:val="20"/>
          <w:color w:val="auto"/>
        </w:rPr>
      </w:pPr>
    </w:p>
    <w:p>
      <w:pPr>
        <w:ind w:left="240"/>
        <w:spacing w:after="0"/>
        <w:rPr>
          <w:sz w:val="20"/>
          <w:szCs w:val="20"/>
          <w:color w:val="auto"/>
        </w:rPr>
      </w:pPr>
      <w:r>
        <w:rPr>
          <w:rFonts w:ascii="Calibri" w:cs="Calibri" w:eastAsia="Calibri" w:hAnsi="Calibri"/>
          <w:sz w:val="18"/>
          <w:szCs w:val="18"/>
          <w:color w:val="auto"/>
        </w:rPr>
        <w:t>/s/ KPMG LLP</w:t>
      </w:r>
    </w:p>
    <w:p>
      <w:pPr>
        <w:spacing w:after="0" w:line="28" w:lineRule="exact"/>
        <w:rPr>
          <w:sz w:val="20"/>
          <w:szCs w:val="20"/>
          <w:color w:val="auto"/>
        </w:rPr>
      </w:pPr>
    </w:p>
    <w:p>
      <w:pPr>
        <w:ind w:left="240"/>
        <w:spacing w:after="0"/>
        <w:rPr>
          <w:sz w:val="20"/>
          <w:szCs w:val="20"/>
          <w:color w:val="auto"/>
        </w:rPr>
      </w:pPr>
      <w:r>
        <w:rPr>
          <w:rFonts w:ascii="Calibri" w:cs="Calibri" w:eastAsia="Calibri" w:hAnsi="Calibri"/>
          <w:sz w:val="18"/>
          <w:szCs w:val="18"/>
          <w:color w:val="auto"/>
        </w:rPr>
        <w:t>Dallas, Texas</w:t>
      </w:r>
    </w:p>
    <w:p>
      <w:pPr>
        <w:spacing w:after="0" w:line="224" w:lineRule="exact"/>
        <w:rPr>
          <w:sz w:val="20"/>
          <w:szCs w:val="20"/>
          <w:color w:val="auto"/>
        </w:rPr>
      </w:pPr>
    </w:p>
    <w:p>
      <w:pPr>
        <w:ind w:left="240"/>
        <w:spacing w:after="0"/>
        <w:rPr>
          <w:sz w:val="20"/>
          <w:szCs w:val="20"/>
          <w:color w:val="auto"/>
        </w:rPr>
      </w:pPr>
      <w:r>
        <w:rPr>
          <w:rFonts w:ascii="Calibri" w:cs="Calibri" w:eastAsia="Calibri" w:hAnsi="Calibri"/>
          <w:sz w:val="18"/>
          <w:szCs w:val="18"/>
          <w:color w:val="auto"/>
        </w:rPr>
        <w:t>February 26, 2026</w:t>
      </w:r>
    </w:p>
    <w:p>
      <w:pPr>
        <w:sectPr>
          <w:pgSz w:w="11880" w:h="15480" w:orient="portrait"/>
          <w:cols w:equalWidth="0" w:num="1">
            <w:col w:w="10320"/>
          </w:cols>
          <w:pgMar w:left="1160" w:top="498"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880"/>
        <w:spacing w:after="0"/>
        <w:rPr>
          <w:sz w:val="20"/>
          <w:szCs w:val="20"/>
          <w:color w:val="auto"/>
        </w:rPr>
      </w:pPr>
      <w:r>
        <w:rPr>
          <w:rFonts w:ascii="Calibri" w:cs="Calibri" w:eastAsia="Calibri" w:hAnsi="Calibri"/>
          <w:sz w:val="17"/>
          <w:szCs w:val="17"/>
          <w:color w:val="auto"/>
        </w:rPr>
        <w:t>FORM 10-K PART II</w:t>
      </w:r>
    </w:p>
    <w:p>
      <w:pPr>
        <w:sectPr>
          <w:pgSz w:w="11880" w:h="15480" w:orient="portrait"/>
          <w:cols w:equalWidth="0" w:num="1">
            <w:col w:w="10320"/>
          </w:cols>
          <w:pgMar w:left="1160" w:top="498" w:right="400" w:bottom="0" w:gutter="0" w:footer="0" w:header="0"/>
          <w:type w:val="continuous"/>
        </w:sectPr>
      </w:pPr>
    </w:p>
    <w:bookmarkStart w:id="117" w:name="page118"/>
    <w:bookmarkEnd w:id="117"/>
    <w:p>
      <w:pPr>
        <w:spacing w:after="0"/>
        <w:tabs>
          <w:tab w:leader="none" w:pos="780" w:val="left"/>
        </w:tabs>
        <w:rPr>
          <w:sz w:val="20"/>
          <w:szCs w:val="20"/>
          <w:color w:val="auto"/>
        </w:rPr>
      </w:pPr>
      <w:r>
        <w:rPr>
          <w:rFonts w:ascii="Calibri" w:cs="Calibri" w:eastAsia="Calibri" w:hAnsi="Calibri"/>
          <w:sz w:val="18"/>
          <w:szCs w:val="18"/>
          <w:color w:val="auto"/>
        </w:rPr>
        <w:t>104</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477520</wp:posOffset>
                </wp:positionH>
                <wp:positionV relativeFrom="paragraph">
                  <wp:posOffset>320675</wp:posOffset>
                </wp:positionV>
                <wp:extent cx="6812280" cy="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34" o:spid="_x0000_s12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pt,25.25pt" to="574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477520</wp:posOffset>
                </wp:positionH>
                <wp:positionV relativeFrom="paragraph">
                  <wp:posOffset>320675</wp:posOffset>
                </wp:positionV>
                <wp:extent cx="6812280" cy="0"/>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35" o:spid="_x0000_s12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pt,25.25pt" to="574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60"/>
        <w:spacing w:after="0"/>
        <w:rPr>
          <w:sz w:val="20"/>
          <w:szCs w:val="20"/>
          <w:color w:val="auto"/>
        </w:rPr>
      </w:pPr>
      <w:r>
        <w:rPr>
          <w:rFonts w:ascii="Verdana" w:cs="Verdana" w:eastAsia="Verdana" w:hAnsi="Verdana"/>
          <w:sz w:val="20"/>
          <w:szCs w:val="20"/>
          <w:color w:val="214E93"/>
        </w:rPr>
        <w:t>ITEM 9B. OTHER INFORMATION.</w:t>
      </w:r>
    </w:p>
    <w:p>
      <w:pPr>
        <w:spacing w:after="0" w:line="209" w:lineRule="exact"/>
        <w:rPr>
          <w:sz w:val="20"/>
          <w:szCs w:val="20"/>
          <w:color w:val="auto"/>
        </w:rPr>
      </w:pPr>
    </w:p>
    <w:p>
      <w:pPr>
        <w:jc w:val="both"/>
        <w:ind w:left="760" w:firstLine="241"/>
        <w:spacing w:after="0" w:line="261" w:lineRule="auto"/>
        <w:rPr>
          <w:sz w:val="20"/>
          <w:szCs w:val="20"/>
          <w:color w:val="auto"/>
        </w:rPr>
      </w:pPr>
      <w:r>
        <w:rPr>
          <w:rFonts w:ascii="Calibri" w:cs="Calibri" w:eastAsia="Calibri" w:hAnsi="Calibri"/>
          <w:sz w:val="18"/>
          <w:szCs w:val="18"/>
          <w:color w:val="auto"/>
        </w:rPr>
        <w:t>During the three months ended December 31, 2025, no director or officer (as defined in Rule 16a-1(f) under the Exchange Act) of the Company adopted, modified or terminated a “Rule 10b5-1 trading arrangement” or “non-Rule 10b5-1 trading arrangement,” as each term is defined in Item 408(a) of Regulation S-K.</w:t>
      </w:r>
    </w:p>
    <w:p>
      <w:pPr>
        <w:sectPr>
          <w:pgSz w:w="11880" w:h="15480" w:orient="portrait"/>
          <w:cols w:equalWidth="0" w:num="1">
            <w:col w:w="10260"/>
          </w:cols>
          <w:pgMar w:left="400" w:top="498"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0"/>
        <w:spacing w:after="0"/>
        <w:rPr>
          <w:sz w:val="20"/>
          <w:szCs w:val="20"/>
          <w:color w:val="auto"/>
        </w:rPr>
      </w:pPr>
      <w:r>
        <w:rPr>
          <w:rFonts w:ascii="Calibri" w:cs="Calibri" w:eastAsia="Calibri" w:hAnsi="Calibri"/>
          <w:sz w:val="17"/>
          <w:szCs w:val="17"/>
          <w:color w:val="auto"/>
        </w:rPr>
        <w:t>FORM 10-K PART II</w:t>
      </w:r>
    </w:p>
    <w:p>
      <w:pPr>
        <w:sectPr>
          <w:pgSz w:w="11880" w:h="15480" w:orient="portrait"/>
          <w:cols w:equalWidth="0" w:num="1">
            <w:col w:w="10260"/>
          </w:cols>
          <w:pgMar w:left="400" w:top="498" w:right="1220" w:bottom="0" w:gutter="0" w:footer="0" w:header="0"/>
          <w:type w:val="continuous"/>
        </w:sectPr>
      </w:pPr>
    </w:p>
    <w:bookmarkStart w:id="118" w:name="page119"/>
    <w:bookmarkEnd w:id="118"/>
    <w:tbl>
      <w:tblPr>
        <w:tblLayout w:type="fixed"/>
        <w:tblInd w:w="7880" w:type="dxa"/>
        <w:tblCellMar>
          <w:top w:w="0" w:type="dxa"/>
          <w:left w:w="0" w:type="dxa"/>
          <w:bottom w:w="0" w:type="dxa"/>
          <w:right w:w="0" w:type="dxa"/>
        </w:tblCellMar>
      </w:tblPr>
      <w:tr>
        <w:trPr>
          <w:trHeight w:val="220"/>
        </w:trPr>
        <w:tc>
          <w:tcPr>
            <w:tcW w:w="190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540" w:type="dxa"/>
            <w:vAlign w:val="bottom"/>
          </w:tcPr>
          <w:p>
            <w:pPr>
              <w:jc w:val="right"/>
              <w:spacing w:after="0"/>
              <w:rPr>
                <w:sz w:val="20"/>
                <w:szCs w:val="20"/>
                <w:color w:val="auto"/>
              </w:rPr>
            </w:pPr>
            <w:r>
              <w:rPr>
                <w:rFonts w:ascii="Calibri" w:cs="Calibri" w:eastAsia="Calibri" w:hAnsi="Calibri"/>
                <w:sz w:val="18"/>
                <w:szCs w:val="18"/>
                <w:color w:val="auto"/>
              </w:rPr>
              <w:t>105</w:t>
            </w:r>
          </w:p>
        </w:tc>
      </w:tr>
    </w:tbl>
    <w:p>
      <w:pPr>
        <w:spacing w:after="0" w:line="235" w:lineRule="exact"/>
        <w:rPr>
          <w:sz w:val="20"/>
          <w:szCs w:val="20"/>
          <w:color w:val="auto"/>
        </w:rPr>
      </w:pPr>
    </w:p>
    <w:p>
      <w:pPr>
        <w:ind w:left="40"/>
        <w:spacing w:after="0"/>
        <w:rPr>
          <w:sz w:val="20"/>
          <w:szCs w:val="20"/>
          <w:color w:val="auto"/>
        </w:rPr>
      </w:pPr>
      <w:r>
        <w:rPr>
          <w:rFonts w:ascii="Verdana" w:cs="Verdana" w:eastAsia="Verdana" w:hAnsi="Verdana"/>
          <w:sz w:val="20"/>
          <w:szCs w:val="20"/>
          <w:color w:val="214E93"/>
        </w:rPr>
        <w:t>PART III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17145</wp:posOffset>
                </wp:positionV>
                <wp:extent cx="6811645" cy="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36" o:spid="_x0000_s12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1.35pt" to="478.35pt,1.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17145</wp:posOffset>
                </wp:positionV>
                <wp:extent cx="6811645" cy="0"/>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37" o:spid="_x0000_s12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1.35pt" to="478.35pt,1.35pt" o:allowincell="f" strokecolor="#214E93" strokeweight="1pt"/>
            </w:pict>
          </mc:Fallback>
        </mc:AlternateContent>
      </w:r>
    </w:p>
    <w:p>
      <w:pPr>
        <w:spacing w:after="0" w:line="141" w:lineRule="exact"/>
        <w:rPr>
          <w:sz w:val="20"/>
          <w:szCs w:val="20"/>
          <w:color w:val="auto"/>
        </w:rPr>
      </w:pPr>
    </w:p>
    <w:p>
      <w:pPr>
        <w:spacing w:after="0"/>
        <w:rPr>
          <w:sz w:val="20"/>
          <w:szCs w:val="20"/>
          <w:color w:val="auto"/>
        </w:rPr>
      </w:pPr>
      <w:r>
        <w:rPr>
          <w:rFonts w:ascii="Verdana" w:cs="Verdana" w:eastAsia="Verdana" w:hAnsi="Verdana"/>
          <w:sz w:val="20"/>
          <w:szCs w:val="20"/>
          <w:color w:val="214E93"/>
        </w:rPr>
        <w:t>ITEM 10. DIRECTORS, EXECUTIVE OFFICERS AND CORPORATE GOVERNANCE.</w:t>
      </w:r>
    </w:p>
    <w:p>
      <w:pPr>
        <w:spacing w:after="0" w:line="209" w:lineRule="exact"/>
        <w:rPr>
          <w:sz w:val="20"/>
          <w:szCs w:val="20"/>
          <w:color w:val="auto"/>
        </w:rPr>
      </w:pPr>
    </w:p>
    <w:p>
      <w:pPr>
        <w:ind w:right="760" w:firstLine="241"/>
        <w:spacing w:after="0" w:line="266" w:lineRule="auto"/>
        <w:rPr>
          <w:sz w:val="20"/>
          <w:szCs w:val="20"/>
          <w:color w:val="auto"/>
        </w:rPr>
      </w:pPr>
      <w:r>
        <w:rPr>
          <w:rFonts w:ascii="Calibri" w:cs="Calibri" w:eastAsia="Calibri" w:hAnsi="Calibri"/>
          <w:sz w:val="18"/>
          <w:szCs w:val="18"/>
          <w:color w:val="auto"/>
        </w:rPr>
        <w:t>The information required in response to this Item 10 is incorporated herein by reference to our definitive proxy statement for our 2026 Annual Meeting of Shareholders to be filed with the SEC pursuant to Regulation 14A promulgated under the Exchange Act not later than 120 days after the end of the fiscal year covered by this Annual Report (our “Definitive Proxy Statement”). Such responsive information is expected to be included under the captions “Proposal 1—Election of Directors,” “Corporate Governance,” “Executive Compensation” and “Director Compensation.”</w:t>
      </w:r>
    </w:p>
    <w:p>
      <w:pPr>
        <w:spacing w:after="0" w:line="216" w:lineRule="exact"/>
        <w:rPr>
          <w:sz w:val="20"/>
          <w:szCs w:val="20"/>
          <w:color w:val="auto"/>
        </w:rPr>
      </w:pPr>
    </w:p>
    <w:p>
      <w:pPr>
        <w:spacing w:after="0"/>
        <w:rPr>
          <w:sz w:val="20"/>
          <w:szCs w:val="20"/>
          <w:color w:val="auto"/>
        </w:rPr>
      </w:pPr>
      <w:r>
        <w:rPr>
          <w:rFonts w:ascii="Verdana" w:cs="Verdana" w:eastAsia="Verdana" w:hAnsi="Verdana"/>
          <w:sz w:val="20"/>
          <w:szCs w:val="20"/>
          <w:color w:val="214E93"/>
        </w:rPr>
        <w:t>ITEM 11. EXECUTIVE COMPENSATION.</w:t>
      </w:r>
    </w:p>
    <w:p>
      <w:pPr>
        <w:spacing w:after="0" w:line="209" w:lineRule="exact"/>
        <w:rPr>
          <w:sz w:val="20"/>
          <w:szCs w:val="20"/>
          <w:color w:val="auto"/>
        </w:rPr>
      </w:pPr>
    </w:p>
    <w:p>
      <w:pPr>
        <w:ind w:right="800" w:firstLine="241"/>
        <w:spacing w:after="0" w:line="252" w:lineRule="auto"/>
        <w:rPr>
          <w:sz w:val="20"/>
          <w:szCs w:val="20"/>
          <w:color w:val="auto"/>
        </w:rPr>
      </w:pPr>
      <w:r>
        <w:rPr>
          <w:rFonts w:ascii="Calibri" w:cs="Calibri" w:eastAsia="Calibri" w:hAnsi="Calibri"/>
          <w:sz w:val="18"/>
          <w:szCs w:val="18"/>
          <w:color w:val="auto"/>
        </w:rPr>
        <w:t>The information required in response to this Item 11 is incorporated herein by reference to our Definitive Proxy Statement under the caption “Executive Compensation.”</w:t>
      </w:r>
    </w:p>
    <w:p>
      <w:pPr>
        <w:spacing w:after="0" w:line="228" w:lineRule="exact"/>
        <w:rPr>
          <w:sz w:val="20"/>
          <w:szCs w:val="20"/>
          <w:color w:val="auto"/>
        </w:rPr>
      </w:pPr>
    </w:p>
    <w:p>
      <w:pPr>
        <w:ind w:right="1060"/>
        <w:spacing w:after="0" w:line="254" w:lineRule="auto"/>
        <w:rPr>
          <w:sz w:val="20"/>
          <w:szCs w:val="20"/>
          <w:color w:val="auto"/>
        </w:rPr>
      </w:pPr>
      <w:r>
        <w:rPr>
          <w:rFonts w:ascii="Verdana" w:cs="Verdana" w:eastAsia="Verdana" w:hAnsi="Verdana"/>
          <w:sz w:val="20"/>
          <w:szCs w:val="20"/>
          <w:color w:val="214E93"/>
        </w:rPr>
        <w:t>ITEM 12. SECURITY OWNERSHIP OF CERTAIN BENEFICIAL OWNERS AND MANAGEMENT AND RELATED STOCKHOLDER MATTERS.</w:t>
      </w:r>
    </w:p>
    <w:p>
      <w:pPr>
        <w:spacing w:after="0" w:line="160"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Equity Compensation Plan Information</w:t>
      </w:r>
    </w:p>
    <w:p>
      <w:pPr>
        <w:spacing w:after="0" w:line="208" w:lineRule="exact"/>
        <w:rPr>
          <w:sz w:val="20"/>
          <w:szCs w:val="20"/>
          <w:color w:val="auto"/>
        </w:rPr>
      </w:pPr>
    </w:p>
    <w:p>
      <w:pPr>
        <w:ind w:right="1160" w:firstLine="241"/>
        <w:spacing w:after="0" w:line="252" w:lineRule="auto"/>
        <w:rPr>
          <w:sz w:val="20"/>
          <w:szCs w:val="20"/>
          <w:color w:val="auto"/>
        </w:rPr>
      </w:pPr>
      <w:r>
        <w:rPr>
          <w:rFonts w:ascii="Calibri" w:cs="Calibri" w:eastAsia="Calibri" w:hAnsi="Calibri"/>
          <w:sz w:val="18"/>
          <w:szCs w:val="18"/>
          <w:color w:val="auto"/>
        </w:rPr>
        <w:t>The following table presents the securities authorized for issuance under our equity compensation plans as of December 31, 2025.</w:t>
      </w:r>
    </w:p>
    <w:p>
      <w:pPr>
        <w:spacing w:after="0" w:line="89" w:lineRule="exact"/>
        <w:rPr>
          <w:sz w:val="20"/>
          <w:szCs w:val="20"/>
          <w:color w:val="auto"/>
        </w:rPr>
      </w:pPr>
    </w:p>
    <w:p>
      <w:pPr>
        <w:jc w:val="center"/>
        <w:ind w:right="240"/>
        <w:spacing w:after="0"/>
        <w:rPr>
          <w:sz w:val="20"/>
          <w:szCs w:val="20"/>
          <w:color w:val="auto"/>
        </w:rPr>
      </w:pPr>
      <w:r>
        <w:rPr>
          <w:rFonts w:ascii="Verdana" w:cs="Verdana" w:eastAsia="Verdana" w:hAnsi="Verdana"/>
          <w:sz w:val="14"/>
          <w:szCs w:val="14"/>
          <w:color w:val="auto"/>
        </w:rPr>
        <w:t>Equity Compensation Plan Information</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60" w:type="dxa"/>
            <w:vAlign w:val="bottom"/>
            <w:tcBorders>
              <w:top w:val="single" w:sz="8" w:color="214E93"/>
            </w:tcBorders>
          </w:tcPr>
          <w:p>
            <w:pPr>
              <w:spacing w:after="0"/>
              <w:rPr>
                <w:sz w:val="15"/>
                <w:szCs w:val="15"/>
                <w:color w:val="auto"/>
              </w:rPr>
            </w:pPr>
          </w:p>
        </w:tc>
        <w:tc>
          <w:tcPr>
            <w:tcW w:w="1760" w:type="dxa"/>
            <w:vAlign w:val="bottom"/>
            <w:tcBorders>
              <w:top w:val="single" w:sz="8" w:color="214E93"/>
            </w:tcBorders>
          </w:tcPr>
          <w:p>
            <w:pPr>
              <w:jc w:val="center"/>
              <w:ind w:left="108"/>
              <w:spacing w:after="0"/>
              <w:rPr>
                <w:sz w:val="20"/>
                <w:szCs w:val="20"/>
                <w:color w:val="auto"/>
              </w:rPr>
            </w:pPr>
            <w:r>
              <w:rPr>
                <w:rFonts w:ascii="Verdana" w:cs="Verdana" w:eastAsia="Verdana" w:hAnsi="Verdana"/>
                <w:sz w:val="14"/>
                <w:szCs w:val="14"/>
                <w:color w:val="auto"/>
                <w:w w:val="98"/>
              </w:rPr>
              <w:t>Number of Shares</w:t>
            </w:r>
          </w:p>
        </w:tc>
        <w:tc>
          <w:tcPr>
            <w:tcW w:w="220" w:type="dxa"/>
            <w:vAlign w:val="bottom"/>
            <w:tcBorders>
              <w:top w:val="single" w:sz="8" w:color="214E93"/>
            </w:tcBorders>
          </w:tcPr>
          <w:p>
            <w:pPr>
              <w:spacing w:after="0"/>
              <w:rPr>
                <w:sz w:val="15"/>
                <w:szCs w:val="15"/>
                <w:color w:val="auto"/>
              </w:rPr>
            </w:pPr>
          </w:p>
        </w:tc>
        <w:tc>
          <w:tcPr>
            <w:tcW w:w="1360" w:type="dxa"/>
            <w:vAlign w:val="bottom"/>
            <w:tcBorders>
              <w:top w:val="single" w:sz="8" w:color="214E93"/>
            </w:tcBorders>
          </w:tcPr>
          <w:p>
            <w:pPr>
              <w:spacing w:after="0"/>
              <w:rPr>
                <w:sz w:val="15"/>
                <w:szCs w:val="15"/>
                <w:color w:val="auto"/>
              </w:rPr>
            </w:pPr>
          </w:p>
        </w:tc>
        <w:tc>
          <w:tcPr>
            <w:tcW w:w="1580" w:type="dxa"/>
            <w:vAlign w:val="bottom"/>
            <w:tcBorders>
              <w:top w:val="single" w:sz="8" w:color="214E93"/>
            </w:tcBorders>
            <w:vMerge w:val="restart"/>
          </w:tcPr>
          <w:p>
            <w:pPr>
              <w:jc w:val="center"/>
              <w:spacing w:after="0"/>
              <w:rPr>
                <w:sz w:val="20"/>
                <w:szCs w:val="20"/>
                <w:color w:val="auto"/>
              </w:rPr>
            </w:pPr>
            <w:r>
              <w:rPr>
                <w:rFonts w:ascii="Verdana" w:cs="Verdana" w:eastAsia="Verdana" w:hAnsi="Verdana"/>
                <w:sz w:val="14"/>
                <w:szCs w:val="14"/>
                <w:color w:val="auto"/>
                <w:w w:val="96"/>
              </w:rPr>
              <w:t>Number of Shares</w:t>
            </w:r>
          </w:p>
        </w:tc>
        <w:tc>
          <w:tcPr>
            <w:tcW w:w="0" w:type="dxa"/>
            <w:vAlign w:val="bottom"/>
          </w:tcPr>
          <w:p>
            <w:pPr>
              <w:spacing w:after="0"/>
              <w:rPr>
                <w:sz w:val="1"/>
                <w:szCs w:val="1"/>
                <w:color w:val="auto"/>
              </w:rPr>
            </w:pPr>
          </w:p>
        </w:tc>
      </w:tr>
      <w:tr>
        <w:trPr>
          <w:trHeight w:val="165"/>
        </w:trPr>
        <w:tc>
          <w:tcPr>
            <w:tcW w:w="5160" w:type="dxa"/>
            <w:vAlign w:val="bottom"/>
          </w:tcPr>
          <w:p>
            <w:pPr>
              <w:spacing w:after="0"/>
              <w:rPr>
                <w:sz w:val="14"/>
                <w:szCs w:val="14"/>
                <w:color w:val="auto"/>
              </w:rPr>
            </w:pPr>
          </w:p>
        </w:tc>
        <w:tc>
          <w:tcPr>
            <w:tcW w:w="1760" w:type="dxa"/>
            <w:vAlign w:val="bottom"/>
          </w:tcPr>
          <w:p>
            <w:pPr>
              <w:jc w:val="center"/>
              <w:ind w:left="108"/>
              <w:spacing w:after="0" w:line="166" w:lineRule="exact"/>
              <w:rPr>
                <w:sz w:val="20"/>
                <w:szCs w:val="20"/>
                <w:color w:val="auto"/>
              </w:rPr>
            </w:pPr>
            <w:r>
              <w:rPr>
                <w:rFonts w:ascii="Verdana" w:cs="Verdana" w:eastAsia="Verdana" w:hAnsi="Verdana"/>
                <w:sz w:val="14"/>
                <w:szCs w:val="14"/>
                <w:color w:val="auto"/>
                <w:w w:val="97"/>
              </w:rPr>
              <w:t>to be Issued Upon</w:t>
            </w:r>
          </w:p>
        </w:tc>
        <w:tc>
          <w:tcPr>
            <w:tcW w:w="1580" w:type="dxa"/>
            <w:vAlign w:val="bottom"/>
            <w:gridSpan w:val="2"/>
          </w:tcPr>
          <w:p>
            <w:pPr>
              <w:jc w:val="center"/>
              <w:spacing w:after="0" w:line="166" w:lineRule="exact"/>
              <w:rPr>
                <w:sz w:val="20"/>
                <w:szCs w:val="20"/>
                <w:color w:val="auto"/>
              </w:rPr>
            </w:pPr>
            <w:r>
              <w:rPr>
                <w:rFonts w:ascii="Verdana" w:cs="Verdana" w:eastAsia="Verdana" w:hAnsi="Verdana"/>
                <w:sz w:val="14"/>
                <w:szCs w:val="14"/>
                <w:color w:val="auto"/>
                <w:w w:val="98"/>
              </w:rPr>
              <w:t>Weighted-Average</w:t>
            </w: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160" w:type="dxa"/>
            <w:vAlign w:val="bottom"/>
          </w:tcPr>
          <w:p>
            <w:pPr>
              <w:spacing w:after="0"/>
              <w:rPr>
                <w:sz w:val="14"/>
                <w:szCs w:val="14"/>
                <w:color w:val="auto"/>
              </w:rPr>
            </w:pPr>
          </w:p>
        </w:tc>
        <w:tc>
          <w:tcPr>
            <w:tcW w:w="1760" w:type="dxa"/>
            <w:vAlign w:val="bottom"/>
          </w:tcPr>
          <w:p>
            <w:pPr>
              <w:jc w:val="center"/>
              <w:ind w:left="108"/>
              <w:spacing w:after="0" w:line="166" w:lineRule="exact"/>
              <w:rPr>
                <w:sz w:val="20"/>
                <w:szCs w:val="20"/>
                <w:color w:val="auto"/>
              </w:rPr>
            </w:pPr>
            <w:r>
              <w:rPr>
                <w:rFonts w:ascii="Verdana" w:cs="Verdana" w:eastAsia="Verdana" w:hAnsi="Verdana"/>
                <w:sz w:val="14"/>
                <w:szCs w:val="14"/>
                <w:color w:val="auto"/>
                <w:w w:val="96"/>
              </w:rPr>
              <w:t>Exercise of</w:t>
            </w:r>
          </w:p>
        </w:tc>
        <w:tc>
          <w:tcPr>
            <w:tcW w:w="220" w:type="dxa"/>
            <w:vAlign w:val="bottom"/>
          </w:tcPr>
          <w:p>
            <w:pPr>
              <w:spacing w:after="0"/>
              <w:rPr>
                <w:sz w:val="14"/>
                <w:szCs w:val="14"/>
                <w:color w:val="auto"/>
              </w:rPr>
            </w:pPr>
          </w:p>
        </w:tc>
        <w:tc>
          <w:tcPr>
            <w:tcW w:w="1360" w:type="dxa"/>
            <w:vAlign w:val="bottom"/>
          </w:tcPr>
          <w:p>
            <w:pPr>
              <w:jc w:val="center"/>
              <w:ind w:right="106"/>
              <w:spacing w:after="0" w:line="166" w:lineRule="exact"/>
              <w:rPr>
                <w:sz w:val="20"/>
                <w:szCs w:val="20"/>
                <w:color w:val="auto"/>
              </w:rPr>
            </w:pPr>
            <w:r>
              <w:rPr>
                <w:rFonts w:ascii="Verdana" w:cs="Verdana" w:eastAsia="Verdana" w:hAnsi="Verdana"/>
                <w:sz w:val="14"/>
                <w:szCs w:val="14"/>
                <w:color w:val="auto"/>
                <w:w w:val="98"/>
              </w:rPr>
              <w:t>Exercise Price of</w:t>
            </w:r>
          </w:p>
        </w:tc>
        <w:tc>
          <w:tcPr>
            <w:tcW w:w="1580" w:type="dxa"/>
            <w:vAlign w:val="bottom"/>
          </w:tcPr>
          <w:p>
            <w:pPr>
              <w:jc w:val="center"/>
              <w:spacing w:after="0" w:line="166" w:lineRule="exact"/>
              <w:rPr>
                <w:sz w:val="20"/>
                <w:szCs w:val="20"/>
                <w:color w:val="auto"/>
              </w:rPr>
            </w:pPr>
            <w:r>
              <w:rPr>
                <w:rFonts w:ascii="Verdana" w:cs="Verdana" w:eastAsia="Verdana" w:hAnsi="Verdana"/>
                <w:sz w:val="14"/>
                <w:szCs w:val="14"/>
                <w:color w:val="auto"/>
                <w:w w:val="98"/>
              </w:rPr>
              <w:t>Remaining Available</w:t>
            </w:r>
          </w:p>
        </w:tc>
        <w:tc>
          <w:tcPr>
            <w:tcW w:w="0" w:type="dxa"/>
            <w:vAlign w:val="bottom"/>
          </w:tcPr>
          <w:p>
            <w:pPr>
              <w:spacing w:after="0"/>
              <w:rPr>
                <w:sz w:val="1"/>
                <w:szCs w:val="1"/>
                <w:color w:val="auto"/>
              </w:rPr>
            </w:pPr>
          </w:p>
        </w:tc>
      </w:tr>
      <w:tr>
        <w:trPr>
          <w:trHeight w:val="165"/>
        </w:trPr>
        <w:tc>
          <w:tcPr>
            <w:tcW w:w="5160" w:type="dxa"/>
            <w:vAlign w:val="bottom"/>
          </w:tcPr>
          <w:p>
            <w:pPr>
              <w:spacing w:after="0"/>
              <w:rPr>
                <w:sz w:val="14"/>
                <w:szCs w:val="14"/>
                <w:color w:val="auto"/>
              </w:rPr>
            </w:pPr>
          </w:p>
        </w:tc>
        <w:tc>
          <w:tcPr>
            <w:tcW w:w="1760" w:type="dxa"/>
            <w:vAlign w:val="bottom"/>
          </w:tcPr>
          <w:p>
            <w:pPr>
              <w:jc w:val="center"/>
              <w:ind w:left="128"/>
              <w:spacing w:after="0" w:line="166" w:lineRule="exact"/>
              <w:rPr>
                <w:sz w:val="20"/>
                <w:szCs w:val="20"/>
                <w:color w:val="auto"/>
              </w:rPr>
            </w:pPr>
            <w:r>
              <w:rPr>
                <w:rFonts w:ascii="Verdana" w:cs="Verdana" w:eastAsia="Verdana" w:hAnsi="Verdana"/>
                <w:sz w:val="14"/>
                <w:szCs w:val="14"/>
                <w:color w:val="auto"/>
                <w:w w:val="97"/>
              </w:rPr>
              <w:t>Outstanding</w:t>
            </w:r>
          </w:p>
        </w:tc>
        <w:tc>
          <w:tcPr>
            <w:tcW w:w="220" w:type="dxa"/>
            <w:vAlign w:val="bottom"/>
          </w:tcPr>
          <w:p>
            <w:pPr>
              <w:spacing w:after="0"/>
              <w:rPr>
                <w:sz w:val="14"/>
                <w:szCs w:val="14"/>
                <w:color w:val="auto"/>
              </w:rPr>
            </w:pPr>
          </w:p>
        </w:tc>
        <w:tc>
          <w:tcPr>
            <w:tcW w:w="1360" w:type="dxa"/>
            <w:vAlign w:val="bottom"/>
          </w:tcPr>
          <w:p>
            <w:pPr>
              <w:jc w:val="center"/>
              <w:ind w:right="126"/>
              <w:spacing w:after="0" w:line="166" w:lineRule="exact"/>
              <w:rPr>
                <w:sz w:val="20"/>
                <w:szCs w:val="20"/>
                <w:color w:val="auto"/>
              </w:rPr>
            </w:pPr>
            <w:r>
              <w:rPr>
                <w:rFonts w:ascii="Verdana" w:cs="Verdana" w:eastAsia="Verdana" w:hAnsi="Verdana"/>
                <w:sz w:val="14"/>
                <w:szCs w:val="14"/>
                <w:color w:val="auto"/>
                <w:w w:val="97"/>
              </w:rPr>
              <w:t>Outstanding</w:t>
            </w:r>
          </w:p>
        </w:tc>
        <w:tc>
          <w:tcPr>
            <w:tcW w:w="1580" w:type="dxa"/>
            <w:vAlign w:val="bottom"/>
          </w:tcPr>
          <w:p>
            <w:pPr>
              <w:jc w:val="center"/>
              <w:spacing w:after="0" w:line="166" w:lineRule="exact"/>
              <w:rPr>
                <w:sz w:val="20"/>
                <w:szCs w:val="20"/>
                <w:color w:val="auto"/>
              </w:rPr>
            </w:pPr>
            <w:r>
              <w:rPr>
                <w:rFonts w:ascii="Verdana" w:cs="Verdana" w:eastAsia="Verdana" w:hAnsi="Verdana"/>
                <w:sz w:val="14"/>
                <w:szCs w:val="14"/>
                <w:color w:val="auto"/>
                <w:w w:val="99"/>
              </w:rPr>
              <w:t>for Future Issuance</w:t>
            </w:r>
          </w:p>
        </w:tc>
        <w:tc>
          <w:tcPr>
            <w:tcW w:w="0" w:type="dxa"/>
            <w:vAlign w:val="bottom"/>
          </w:tcPr>
          <w:p>
            <w:pPr>
              <w:spacing w:after="0"/>
              <w:rPr>
                <w:sz w:val="1"/>
                <w:szCs w:val="1"/>
                <w:color w:val="auto"/>
              </w:rPr>
            </w:pPr>
          </w:p>
        </w:tc>
      </w:tr>
      <w:tr>
        <w:trPr>
          <w:trHeight w:val="165"/>
        </w:trPr>
        <w:tc>
          <w:tcPr>
            <w:tcW w:w="5160" w:type="dxa"/>
            <w:vAlign w:val="bottom"/>
          </w:tcPr>
          <w:p>
            <w:pPr>
              <w:spacing w:after="0"/>
              <w:rPr>
                <w:sz w:val="14"/>
                <w:szCs w:val="14"/>
                <w:color w:val="auto"/>
              </w:rPr>
            </w:pPr>
          </w:p>
        </w:tc>
        <w:tc>
          <w:tcPr>
            <w:tcW w:w="1760" w:type="dxa"/>
            <w:vAlign w:val="bottom"/>
          </w:tcPr>
          <w:p>
            <w:pPr>
              <w:jc w:val="center"/>
              <w:ind w:left="108"/>
              <w:spacing w:after="0" w:line="166" w:lineRule="exact"/>
              <w:rPr>
                <w:sz w:val="20"/>
                <w:szCs w:val="20"/>
                <w:color w:val="auto"/>
              </w:rPr>
            </w:pPr>
            <w:r>
              <w:rPr>
                <w:rFonts w:ascii="Verdana" w:cs="Verdana" w:eastAsia="Verdana" w:hAnsi="Verdana"/>
                <w:sz w:val="14"/>
                <w:szCs w:val="14"/>
                <w:color w:val="auto"/>
                <w:w w:val="98"/>
              </w:rPr>
              <w:t>Options, Warrants</w:t>
            </w:r>
          </w:p>
        </w:tc>
        <w:tc>
          <w:tcPr>
            <w:tcW w:w="1580" w:type="dxa"/>
            <w:vAlign w:val="bottom"/>
            <w:gridSpan w:val="2"/>
          </w:tcPr>
          <w:p>
            <w:pPr>
              <w:jc w:val="center"/>
              <w:spacing w:after="0" w:line="166" w:lineRule="exact"/>
              <w:rPr>
                <w:sz w:val="20"/>
                <w:szCs w:val="20"/>
                <w:color w:val="auto"/>
              </w:rPr>
            </w:pPr>
            <w:r>
              <w:rPr>
                <w:rFonts w:ascii="Verdana" w:cs="Verdana" w:eastAsia="Verdana" w:hAnsi="Verdana"/>
                <w:sz w:val="14"/>
                <w:szCs w:val="14"/>
                <w:color w:val="auto"/>
                <w:w w:val="98"/>
              </w:rPr>
              <w:t>Options, Warrants</w:t>
            </w:r>
          </w:p>
        </w:tc>
        <w:tc>
          <w:tcPr>
            <w:tcW w:w="1580" w:type="dxa"/>
            <w:vAlign w:val="bottom"/>
          </w:tcPr>
          <w:p>
            <w:pPr>
              <w:jc w:val="center"/>
              <w:spacing w:after="0" w:line="166" w:lineRule="exact"/>
              <w:rPr>
                <w:sz w:val="20"/>
                <w:szCs w:val="20"/>
                <w:color w:val="auto"/>
              </w:rPr>
            </w:pPr>
            <w:r>
              <w:rPr>
                <w:rFonts w:ascii="Verdana" w:cs="Verdana" w:eastAsia="Verdana" w:hAnsi="Verdana"/>
                <w:sz w:val="14"/>
                <w:szCs w:val="14"/>
                <w:color w:val="auto"/>
                <w:w w:val="96"/>
              </w:rPr>
              <w:t>Under Equity</w:t>
            </w:r>
          </w:p>
        </w:tc>
        <w:tc>
          <w:tcPr>
            <w:tcW w:w="0" w:type="dxa"/>
            <w:vAlign w:val="bottom"/>
          </w:tcPr>
          <w:p>
            <w:pPr>
              <w:spacing w:after="0"/>
              <w:rPr>
                <w:sz w:val="1"/>
                <w:szCs w:val="1"/>
                <w:color w:val="auto"/>
              </w:rPr>
            </w:pPr>
          </w:p>
        </w:tc>
      </w:tr>
      <w:tr>
        <w:trPr>
          <w:trHeight w:val="193"/>
        </w:trPr>
        <w:tc>
          <w:tcPr>
            <w:tcW w:w="5160" w:type="dxa"/>
            <w:vAlign w:val="bottom"/>
            <w:tcBorders>
              <w:bottom w:val="single" w:sz="8" w:color="214E93"/>
            </w:tcBorders>
          </w:tcPr>
          <w:p>
            <w:pPr>
              <w:ind w:left="2160"/>
              <w:spacing w:after="0"/>
              <w:rPr>
                <w:sz w:val="20"/>
                <w:szCs w:val="20"/>
                <w:color w:val="auto"/>
              </w:rPr>
            </w:pPr>
            <w:r>
              <w:rPr>
                <w:rFonts w:ascii="Verdana" w:cs="Verdana" w:eastAsia="Verdana" w:hAnsi="Verdana"/>
                <w:sz w:val="14"/>
                <w:szCs w:val="14"/>
                <w:color w:val="auto"/>
              </w:rPr>
              <w:t>Plan Category</w:t>
            </w:r>
          </w:p>
        </w:tc>
        <w:tc>
          <w:tcPr>
            <w:tcW w:w="1760" w:type="dxa"/>
            <w:vAlign w:val="bottom"/>
            <w:tcBorders>
              <w:bottom w:val="single" w:sz="8" w:color="214E93"/>
            </w:tcBorders>
          </w:tcPr>
          <w:p>
            <w:pPr>
              <w:jc w:val="center"/>
              <w:ind w:left="108"/>
              <w:spacing w:after="0"/>
              <w:rPr>
                <w:sz w:val="20"/>
                <w:szCs w:val="20"/>
                <w:color w:val="auto"/>
              </w:rPr>
            </w:pPr>
            <w:r>
              <w:rPr>
                <w:rFonts w:ascii="Verdana" w:cs="Verdana" w:eastAsia="Verdana" w:hAnsi="Verdana"/>
                <w:sz w:val="14"/>
                <w:szCs w:val="14"/>
                <w:color w:val="auto"/>
                <w:w w:val="98"/>
              </w:rPr>
              <w:t>and Rights</w:t>
            </w:r>
          </w:p>
        </w:tc>
        <w:tc>
          <w:tcPr>
            <w:tcW w:w="220" w:type="dxa"/>
            <w:vAlign w:val="bottom"/>
            <w:tcBorders>
              <w:bottom w:val="single" w:sz="8" w:color="214E93"/>
            </w:tcBorders>
          </w:tcPr>
          <w:p>
            <w:pPr>
              <w:spacing w:after="0"/>
              <w:rPr>
                <w:sz w:val="16"/>
                <w:szCs w:val="16"/>
                <w:color w:val="auto"/>
              </w:rPr>
            </w:pPr>
          </w:p>
        </w:tc>
        <w:tc>
          <w:tcPr>
            <w:tcW w:w="1360" w:type="dxa"/>
            <w:vAlign w:val="bottom"/>
            <w:tcBorders>
              <w:bottom w:val="single" w:sz="8" w:color="214E93"/>
            </w:tcBorders>
          </w:tcPr>
          <w:p>
            <w:pPr>
              <w:jc w:val="center"/>
              <w:ind w:right="106"/>
              <w:spacing w:after="0"/>
              <w:rPr>
                <w:sz w:val="20"/>
                <w:szCs w:val="20"/>
                <w:color w:val="auto"/>
              </w:rPr>
            </w:pPr>
            <w:r>
              <w:rPr>
                <w:rFonts w:ascii="Verdana" w:cs="Verdana" w:eastAsia="Verdana" w:hAnsi="Verdana"/>
                <w:sz w:val="14"/>
                <w:szCs w:val="14"/>
                <w:color w:val="auto"/>
                <w:w w:val="98"/>
              </w:rPr>
              <w:t>and Rights</w:t>
            </w:r>
          </w:p>
        </w:tc>
        <w:tc>
          <w:tcPr>
            <w:tcW w:w="158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auto"/>
                <w:w w:val="98"/>
              </w:rPr>
              <w:t>Compensation Plans</w:t>
            </w:r>
          </w:p>
        </w:tc>
        <w:tc>
          <w:tcPr>
            <w:tcW w:w="0" w:type="dxa"/>
            <w:vAlign w:val="bottom"/>
          </w:tcPr>
          <w:p>
            <w:pPr>
              <w:spacing w:after="0"/>
              <w:rPr>
                <w:sz w:val="1"/>
                <w:szCs w:val="1"/>
                <w:color w:val="auto"/>
              </w:rPr>
            </w:pPr>
          </w:p>
        </w:tc>
      </w:tr>
      <w:tr>
        <w:trPr>
          <w:trHeight w:val="233"/>
        </w:trPr>
        <w:tc>
          <w:tcPr>
            <w:tcW w:w="5160" w:type="dxa"/>
            <w:vAlign w:val="bottom"/>
          </w:tcPr>
          <w:p>
            <w:pPr>
              <w:ind w:left="40"/>
              <w:spacing w:after="0" w:line="232" w:lineRule="exact"/>
              <w:rPr>
                <w:sz w:val="20"/>
                <w:szCs w:val="20"/>
                <w:color w:val="auto"/>
              </w:rPr>
            </w:pPr>
            <w:r>
              <w:rPr>
                <w:rFonts w:ascii="Verdana" w:cs="Verdana" w:eastAsia="Verdana" w:hAnsi="Verdana"/>
                <w:sz w:val="16"/>
                <w:szCs w:val="16"/>
                <w:color w:val="auto"/>
              </w:rPr>
              <w:t>Equity compensation plans approved by security holders</w:t>
            </w:r>
            <w:r>
              <w:rPr>
                <w:rFonts w:ascii="Verdana" w:cs="Verdana" w:eastAsia="Verdana" w:hAnsi="Verdana"/>
                <w:sz w:val="20"/>
                <w:szCs w:val="20"/>
                <w:color w:val="auto"/>
                <w:vertAlign w:val="superscript"/>
              </w:rPr>
              <w:t>(1)(2)</w:t>
            </w:r>
          </w:p>
        </w:tc>
        <w:tc>
          <w:tcPr>
            <w:tcW w:w="1760" w:type="dxa"/>
            <w:vAlign w:val="bottom"/>
          </w:tcPr>
          <w:p>
            <w:pPr>
              <w:jc w:val="right"/>
              <w:ind w:right="48"/>
              <w:spacing w:after="0"/>
              <w:rPr>
                <w:sz w:val="20"/>
                <w:szCs w:val="20"/>
                <w:color w:val="auto"/>
              </w:rPr>
            </w:pPr>
            <w:r>
              <w:rPr>
                <w:rFonts w:ascii="Verdana" w:cs="Verdana" w:eastAsia="Verdana" w:hAnsi="Verdana"/>
                <w:sz w:val="16"/>
                <w:szCs w:val="16"/>
                <w:color w:val="214E93"/>
              </w:rPr>
              <w:t>1,297,593</w:t>
            </w:r>
          </w:p>
        </w:tc>
        <w:tc>
          <w:tcPr>
            <w:tcW w:w="22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1360" w:type="dxa"/>
            <w:vAlign w:val="bottom"/>
          </w:tcPr>
          <w:p>
            <w:pPr>
              <w:ind w:left="1100"/>
              <w:spacing w:after="0"/>
              <w:rPr>
                <w:sz w:val="20"/>
                <w:szCs w:val="20"/>
                <w:color w:val="auto"/>
              </w:rPr>
            </w:pPr>
            <w:r>
              <w:rPr>
                <w:rFonts w:ascii="Verdana" w:cs="Verdana" w:eastAsia="Verdana" w:hAnsi="Verdana"/>
                <w:sz w:val="16"/>
                <w:szCs w:val="16"/>
                <w:color w:val="214E93"/>
              </w:rPr>
              <w:t>—</w:t>
            </w:r>
          </w:p>
        </w:tc>
        <w:tc>
          <w:tcPr>
            <w:tcW w:w="1580" w:type="dxa"/>
            <w:vAlign w:val="bottom"/>
          </w:tcPr>
          <w:p>
            <w:pPr>
              <w:jc w:val="right"/>
              <w:ind w:right="7"/>
              <w:spacing w:after="0"/>
              <w:rPr>
                <w:sz w:val="20"/>
                <w:szCs w:val="20"/>
                <w:color w:val="auto"/>
              </w:rPr>
            </w:pPr>
            <w:r>
              <w:rPr>
                <w:rFonts w:ascii="Verdana" w:cs="Verdana" w:eastAsia="Verdana" w:hAnsi="Verdana"/>
                <w:sz w:val="16"/>
                <w:szCs w:val="16"/>
                <w:color w:val="214E93"/>
              </w:rPr>
              <w:t>6,739,067</w:t>
            </w:r>
          </w:p>
        </w:tc>
        <w:tc>
          <w:tcPr>
            <w:tcW w:w="0" w:type="dxa"/>
            <w:vAlign w:val="bottom"/>
          </w:tcPr>
          <w:p>
            <w:pPr>
              <w:spacing w:after="0"/>
              <w:rPr>
                <w:sz w:val="1"/>
                <w:szCs w:val="1"/>
                <w:color w:val="auto"/>
              </w:rPr>
            </w:pPr>
          </w:p>
        </w:tc>
      </w:tr>
      <w:tr>
        <w:trPr>
          <w:trHeight w:val="219"/>
        </w:trPr>
        <w:tc>
          <w:tcPr>
            <w:tcW w:w="516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Equity compensation plans not approved by security holders</w:t>
            </w:r>
          </w:p>
        </w:tc>
        <w:tc>
          <w:tcPr>
            <w:tcW w:w="1760" w:type="dxa"/>
            <w:vAlign w:val="bottom"/>
            <w:tcBorders>
              <w:bottom w:val="single" w:sz="8" w:color="auto"/>
            </w:tcBorders>
          </w:tcPr>
          <w:p>
            <w:pPr>
              <w:jc w:val="right"/>
              <w:ind w:right="48"/>
              <w:spacing w:after="0"/>
              <w:rPr>
                <w:sz w:val="20"/>
                <w:szCs w:val="20"/>
                <w:color w:val="auto"/>
              </w:rPr>
            </w:pPr>
            <w:r>
              <w:rPr>
                <w:rFonts w:ascii="Verdana" w:cs="Verdana" w:eastAsia="Verdana" w:hAnsi="Verdana"/>
                <w:sz w:val="16"/>
                <w:szCs w:val="16"/>
                <w:color w:val="214E93"/>
              </w:rPr>
              <w:t>—</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1100"/>
              <w:spacing w:after="0"/>
              <w:rPr>
                <w:sz w:val="20"/>
                <w:szCs w:val="20"/>
                <w:color w:val="auto"/>
              </w:rPr>
            </w:pPr>
            <w:r>
              <w:rPr>
                <w:rFonts w:ascii="Verdana" w:cs="Verdana" w:eastAsia="Verdana" w:hAnsi="Verdana"/>
                <w:sz w:val="16"/>
                <w:szCs w:val="16"/>
                <w:color w:val="214E93"/>
              </w:rPr>
              <w:t>—</w:t>
            </w:r>
          </w:p>
        </w:tc>
        <w:tc>
          <w:tcPr>
            <w:tcW w:w="1580" w:type="dxa"/>
            <w:vAlign w:val="bottom"/>
            <w:tcBorders>
              <w:bottom w:val="single" w:sz="8" w:color="auto"/>
            </w:tcBorders>
          </w:tcPr>
          <w:p>
            <w:pPr>
              <w:jc w:val="right"/>
              <w:ind w:right="7"/>
              <w:spacing w:after="0"/>
              <w:rPr>
                <w:sz w:val="20"/>
                <w:szCs w:val="20"/>
                <w:color w:val="auto"/>
              </w:rPr>
            </w:pPr>
            <w:r>
              <w:rPr>
                <w:rFonts w:ascii="Verdana" w:cs="Verdana" w:eastAsia="Verdana" w:hAnsi="Verdana"/>
                <w:sz w:val="16"/>
                <w:szCs w:val="16"/>
                <w:color w:val="214E93"/>
              </w:rPr>
              <w:t>—</w:t>
            </w:r>
          </w:p>
        </w:tc>
        <w:tc>
          <w:tcPr>
            <w:tcW w:w="0" w:type="dxa"/>
            <w:vAlign w:val="bottom"/>
          </w:tcPr>
          <w:p>
            <w:pPr>
              <w:spacing w:after="0"/>
              <w:rPr>
                <w:sz w:val="1"/>
                <w:szCs w:val="1"/>
                <w:color w:val="auto"/>
              </w:rPr>
            </w:pPr>
          </w:p>
        </w:tc>
      </w:tr>
      <w:tr>
        <w:trPr>
          <w:trHeight w:val="217"/>
        </w:trPr>
        <w:tc>
          <w:tcPr>
            <w:tcW w:w="5160" w:type="dxa"/>
            <w:vAlign w:val="bottom"/>
            <w:tcBorders>
              <w:bottom w:val="single" w:sz="8" w:color="214E93"/>
            </w:tcBorders>
          </w:tcPr>
          <w:p>
            <w:pPr>
              <w:ind w:left="160"/>
              <w:spacing w:after="0"/>
              <w:rPr>
                <w:sz w:val="20"/>
                <w:szCs w:val="20"/>
                <w:color w:val="auto"/>
              </w:rPr>
            </w:pPr>
            <w:r>
              <w:rPr>
                <w:rFonts w:ascii="Verdana" w:cs="Verdana" w:eastAsia="Verdana" w:hAnsi="Verdana"/>
                <w:sz w:val="16"/>
                <w:szCs w:val="16"/>
                <w:color w:val="auto"/>
              </w:rPr>
              <w:t>Total</w:t>
            </w:r>
          </w:p>
        </w:tc>
        <w:tc>
          <w:tcPr>
            <w:tcW w:w="1760" w:type="dxa"/>
            <w:vAlign w:val="bottom"/>
            <w:tcBorders>
              <w:bottom w:val="single" w:sz="8" w:color="214E93"/>
            </w:tcBorders>
          </w:tcPr>
          <w:p>
            <w:pPr>
              <w:jc w:val="right"/>
              <w:ind w:right="48"/>
              <w:spacing w:after="0"/>
              <w:rPr>
                <w:sz w:val="20"/>
                <w:szCs w:val="20"/>
                <w:color w:val="auto"/>
              </w:rPr>
            </w:pPr>
            <w:r>
              <w:rPr>
                <w:rFonts w:ascii="Verdana" w:cs="Verdana" w:eastAsia="Verdana" w:hAnsi="Verdana"/>
                <w:sz w:val="16"/>
                <w:szCs w:val="16"/>
                <w:color w:val="214E93"/>
              </w:rPr>
              <w:t>1,297,593</w:t>
            </w:r>
          </w:p>
        </w:tc>
        <w:tc>
          <w:tcPr>
            <w:tcW w:w="22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w:t>
            </w:r>
          </w:p>
        </w:tc>
        <w:tc>
          <w:tcPr>
            <w:tcW w:w="1360" w:type="dxa"/>
            <w:vAlign w:val="bottom"/>
            <w:tcBorders>
              <w:bottom w:val="single" w:sz="8" w:color="214E93"/>
            </w:tcBorders>
          </w:tcPr>
          <w:p>
            <w:pPr>
              <w:ind w:left="1100"/>
              <w:spacing w:after="0"/>
              <w:rPr>
                <w:sz w:val="20"/>
                <w:szCs w:val="20"/>
                <w:color w:val="auto"/>
              </w:rPr>
            </w:pPr>
            <w:r>
              <w:rPr>
                <w:rFonts w:ascii="Verdana" w:cs="Verdana" w:eastAsia="Verdana" w:hAnsi="Verdana"/>
                <w:sz w:val="16"/>
                <w:szCs w:val="16"/>
                <w:color w:val="214E93"/>
              </w:rPr>
              <w:t>—</w:t>
            </w:r>
          </w:p>
        </w:tc>
        <w:tc>
          <w:tcPr>
            <w:tcW w:w="1580" w:type="dxa"/>
            <w:vAlign w:val="bottom"/>
            <w:tcBorders>
              <w:bottom w:val="single" w:sz="8" w:color="214E93"/>
            </w:tcBorders>
          </w:tcPr>
          <w:p>
            <w:pPr>
              <w:jc w:val="right"/>
              <w:ind w:right="7"/>
              <w:spacing w:after="0"/>
              <w:rPr>
                <w:sz w:val="20"/>
                <w:szCs w:val="20"/>
                <w:color w:val="auto"/>
              </w:rPr>
            </w:pPr>
            <w:r>
              <w:rPr>
                <w:rFonts w:ascii="Verdana" w:cs="Verdana" w:eastAsia="Verdana" w:hAnsi="Verdana"/>
                <w:sz w:val="16"/>
                <w:szCs w:val="16"/>
                <w:color w:val="214E93"/>
              </w:rPr>
              <w:t>6,739,067</w:t>
            </w: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119" w:lineRule="exact"/>
        <w:rPr>
          <w:sz w:val="20"/>
          <w:szCs w:val="20"/>
          <w:color w:val="auto"/>
        </w:rPr>
      </w:pPr>
    </w:p>
    <w:p>
      <w:pPr>
        <w:ind w:left="480" w:right="1200" w:hanging="350"/>
        <w:spacing w:after="0" w:line="247" w:lineRule="auto"/>
        <w:tabs>
          <w:tab w:leader="none" w:pos="480" w:val="left"/>
        </w:tabs>
        <w:numPr>
          <w:ilvl w:val="0"/>
          <w:numId w:val="70"/>
        </w:numPr>
        <w:rPr>
          <w:rFonts w:ascii="Calibri" w:cs="Calibri" w:eastAsia="Calibri" w:hAnsi="Calibri"/>
          <w:sz w:val="13"/>
          <w:szCs w:val="13"/>
          <w:color w:val="auto"/>
        </w:rPr>
      </w:pPr>
      <w:r>
        <w:rPr>
          <w:rFonts w:ascii="Calibri" w:cs="Calibri" w:eastAsia="Calibri" w:hAnsi="Calibri"/>
          <w:sz w:val="13"/>
          <w:szCs w:val="13"/>
          <w:color w:val="auto"/>
        </w:rPr>
        <w:t>The Matador Resources Company 2019 Long-Term Incentive Plan (the “2019 Incentive Plan”) was adopted by our Board in April 2019 and approved by our shareholders on June 6, 2019. For a description of our 2019 Incentive Plan, see Note 9 to the consolidated financial statements in this Annual Report.</w:t>
      </w:r>
    </w:p>
    <w:p>
      <w:pPr>
        <w:spacing w:after="0" w:line="82" w:lineRule="exact"/>
        <w:rPr>
          <w:rFonts w:ascii="Calibri" w:cs="Calibri" w:eastAsia="Calibri" w:hAnsi="Calibri"/>
          <w:sz w:val="13"/>
          <w:szCs w:val="13"/>
          <w:color w:val="auto"/>
        </w:rPr>
      </w:pPr>
    </w:p>
    <w:p>
      <w:pPr>
        <w:ind w:left="480" w:right="800" w:hanging="350"/>
        <w:spacing w:after="0" w:line="226" w:lineRule="auto"/>
        <w:tabs>
          <w:tab w:leader="none" w:pos="480" w:val="left"/>
        </w:tabs>
        <w:numPr>
          <w:ilvl w:val="0"/>
          <w:numId w:val="70"/>
        </w:numPr>
        <w:rPr>
          <w:rFonts w:ascii="Calibri" w:cs="Calibri" w:eastAsia="Calibri" w:hAnsi="Calibri"/>
          <w:sz w:val="14"/>
          <w:szCs w:val="14"/>
          <w:color w:val="auto"/>
        </w:rPr>
      </w:pPr>
      <w:r>
        <w:rPr>
          <w:rFonts w:ascii="Calibri" w:cs="Calibri" w:eastAsia="Calibri" w:hAnsi="Calibri"/>
          <w:sz w:val="14"/>
          <w:szCs w:val="14"/>
          <w:color w:val="auto"/>
        </w:rPr>
        <w:t>The Matador Resources Company 2022 Employee Stock Purchase Plan (the “ESPP”) was adopted by our Board in April 2022 and approved by our shareholders on June 10, 2022. For a description of our ESPP, see Note 9 to the consolidated financial statements in this Annual Report.</w:t>
      </w:r>
    </w:p>
    <w:p>
      <w:pPr>
        <w:spacing w:after="0" w:line="88" w:lineRule="exact"/>
        <w:rPr>
          <w:sz w:val="20"/>
          <w:szCs w:val="20"/>
          <w:color w:val="auto"/>
        </w:rPr>
      </w:pPr>
    </w:p>
    <w:p>
      <w:pPr>
        <w:ind w:right="960" w:firstLine="31"/>
        <w:spacing w:after="0" w:line="226" w:lineRule="auto"/>
        <w:rPr>
          <w:sz w:val="20"/>
          <w:szCs w:val="20"/>
          <w:color w:val="auto"/>
        </w:rPr>
      </w:pPr>
      <w:r>
        <w:rPr>
          <w:rFonts w:ascii="Calibri" w:cs="Calibri" w:eastAsia="Calibri" w:hAnsi="Calibri"/>
          <w:sz w:val="14"/>
          <w:szCs w:val="14"/>
          <w:color w:val="auto"/>
        </w:rPr>
        <w:t>Other information required in response to this Item 12 is incorporated herein by reference to our Definitive Proxy Statement under the caption “Security Ownership of Certain Beneficial Owners and Management.”</w:t>
      </w:r>
    </w:p>
    <w:p>
      <w:pPr>
        <w:spacing w:after="0" w:line="195" w:lineRule="exact"/>
        <w:rPr>
          <w:sz w:val="20"/>
          <w:szCs w:val="20"/>
          <w:color w:val="auto"/>
        </w:rPr>
      </w:pPr>
    </w:p>
    <w:p>
      <w:pPr>
        <w:ind w:right="1960"/>
        <w:spacing w:after="0" w:line="254" w:lineRule="auto"/>
        <w:rPr>
          <w:sz w:val="20"/>
          <w:szCs w:val="20"/>
          <w:color w:val="auto"/>
        </w:rPr>
      </w:pPr>
      <w:r>
        <w:rPr>
          <w:rFonts w:ascii="Verdana" w:cs="Verdana" w:eastAsia="Verdana" w:hAnsi="Verdana"/>
          <w:sz w:val="20"/>
          <w:szCs w:val="20"/>
          <w:color w:val="214E93"/>
        </w:rPr>
        <w:t>ITEM 13. CERTAIN RELATIONSHIPS AND RELATED TRANSACTIONS, AND DIRECTOR INDEPENDENCE.</w:t>
      </w:r>
    </w:p>
    <w:p>
      <w:pPr>
        <w:spacing w:after="0" w:line="174" w:lineRule="exact"/>
        <w:rPr>
          <w:sz w:val="20"/>
          <w:szCs w:val="20"/>
          <w:color w:val="auto"/>
        </w:rPr>
      </w:pPr>
    </w:p>
    <w:p>
      <w:pPr>
        <w:ind w:right="800" w:firstLine="241"/>
        <w:spacing w:after="0" w:line="252" w:lineRule="auto"/>
        <w:rPr>
          <w:sz w:val="20"/>
          <w:szCs w:val="20"/>
          <w:color w:val="auto"/>
        </w:rPr>
      </w:pPr>
      <w:r>
        <w:rPr>
          <w:rFonts w:ascii="Calibri" w:cs="Calibri" w:eastAsia="Calibri" w:hAnsi="Calibri"/>
          <w:sz w:val="18"/>
          <w:szCs w:val="18"/>
          <w:color w:val="auto"/>
        </w:rPr>
        <w:t>The information required in response to this Item 13 is incorporated herein by reference to our Definitive Proxy Statement under the captions “Transactions with Related Persons” and “Corporate Governance—Independence of Directors.”</w:t>
      </w:r>
    </w:p>
    <w:p>
      <w:pPr>
        <w:spacing w:after="0" w:line="228" w:lineRule="exact"/>
        <w:rPr>
          <w:sz w:val="20"/>
          <w:szCs w:val="20"/>
          <w:color w:val="auto"/>
        </w:rPr>
      </w:pPr>
    </w:p>
    <w:p>
      <w:pPr>
        <w:spacing w:after="0"/>
        <w:rPr>
          <w:sz w:val="20"/>
          <w:szCs w:val="20"/>
          <w:color w:val="auto"/>
        </w:rPr>
      </w:pPr>
      <w:r>
        <w:rPr>
          <w:rFonts w:ascii="Verdana" w:cs="Verdana" w:eastAsia="Verdana" w:hAnsi="Verdana"/>
          <w:sz w:val="20"/>
          <w:szCs w:val="20"/>
          <w:color w:val="214E93"/>
        </w:rPr>
        <w:t>ITEM 14. PRINCIPAL ACCOUNTING FEES AND SERVICES.</w:t>
      </w:r>
    </w:p>
    <w:p>
      <w:pPr>
        <w:spacing w:after="0" w:line="209" w:lineRule="exact"/>
        <w:rPr>
          <w:sz w:val="20"/>
          <w:szCs w:val="20"/>
          <w:color w:val="auto"/>
        </w:rPr>
      </w:pPr>
    </w:p>
    <w:p>
      <w:pPr>
        <w:ind w:right="800" w:firstLine="241"/>
        <w:spacing w:after="0" w:line="252" w:lineRule="auto"/>
        <w:rPr>
          <w:sz w:val="20"/>
          <w:szCs w:val="20"/>
          <w:color w:val="auto"/>
        </w:rPr>
      </w:pPr>
      <w:r>
        <w:rPr>
          <w:rFonts w:ascii="Calibri" w:cs="Calibri" w:eastAsia="Calibri" w:hAnsi="Calibri"/>
          <w:sz w:val="18"/>
          <w:szCs w:val="18"/>
          <w:color w:val="auto"/>
        </w:rPr>
        <w:t>The information required in response to this Item 14 is incorporated herein by reference to our Definitive Proxy Statement under the caption “Proposal 3—Ratification of Appointment of KPMG LLP.”</w:t>
      </w:r>
    </w:p>
    <w:p>
      <w:pPr>
        <w:sectPr>
          <w:pgSz w:w="11880" w:h="15480" w:orient="portrait"/>
          <w:cols w:equalWidth="0" w:num="1">
            <w:col w:w="10320"/>
          </w:cols>
          <w:pgMar w:left="1160" w:top="498"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840"/>
        <w:spacing w:after="0"/>
        <w:rPr>
          <w:sz w:val="20"/>
          <w:szCs w:val="20"/>
          <w:color w:val="auto"/>
        </w:rPr>
      </w:pPr>
      <w:r>
        <w:rPr>
          <w:rFonts w:ascii="Calibri" w:cs="Calibri" w:eastAsia="Calibri" w:hAnsi="Calibri"/>
          <w:sz w:val="17"/>
          <w:szCs w:val="17"/>
          <w:color w:val="auto"/>
        </w:rPr>
        <w:t>FORM 10-K PART III</w:t>
      </w:r>
    </w:p>
    <w:p>
      <w:pPr>
        <w:sectPr>
          <w:pgSz w:w="11880" w:h="15480" w:orient="portrait"/>
          <w:cols w:equalWidth="0" w:num="1">
            <w:col w:w="10320"/>
          </w:cols>
          <w:pgMar w:left="1160" w:top="498" w:right="400" w:bottom="0" w:gutter="0" w:footer="0" w:header="0"/>
          <w:type w:val="continuous"/>
        </w:sectPr>
      </w:pPr>
    </w:p>
    <w:bookmarkStart w:id="119" w:name="page120"/>
    <w:bookmarkEnd w:id="119"/>
    <w:p>
      <w:pPr>
        <w:ind w:left="797" w:hanging="797"/>
        <w:spacing w:after="0"/>
        <w:tabs>
          <w:tab w:leader="none" w:pos="797" w:val="left"/>
        </w:tabs>
        <w:numPr>
          <w:ilvl w:val="0"/>
          <w:numId w:val="71"/>
        </w:numPr>
        <w:rPr>
          <w:rFonts w:ascii="Calibri" w:cs="Calibri" w:eastAsia="Calibri" w:hAnsi="Calibri"/>
          <w:sz w:val="18"/>
          <w:szCs w:val="18"/>
          <w:color w:val="auto"/>
        </w:rPr>
      </w:pPr>
      <w:r>
        <w:rPr>
          <w:rFonts w:ascii="Calibri" w:cs="Calibri" w:eastAsia="Calibri" w:hAnsi="Calibri"/>
          <w:sz w:val="18"/>
          <w:szCs w:val="18"/>
          <w:color w:val="auto"/>
        </w:rPr>
        <w:t>MATADOR RESOURCES COMPANY</w:t>
      </w:r>
    </w:p>
    <w:p>
      <w:pPr>
        <w:spacing w:after="0" w:line="235" w:lineRule="exact"/>
        <w:rPr>
          <w:rFonts w:ascii="Calibri" w:cs="Calibri" w:eastAsia="Calibri" w:hAnsi="Calibri"/>
          <w:sz w:val="18"/>
          <w:szCs w:val="18"/>
          <w:color w:val="auto"/>
        </w:rPr>
      </w:pPr>
    </w:p>
    <w:p>
      <w:pPr>
        <w:ind w:left="797"/>
        <w:spacing w:after="0"/>
        <w:rPr>
          <w:rFonts w:ascii="Calibri" w:cs="Calibri" w:eastAsia="Calibri" w:hAnsi="Calibri"/>
          <w:sz w:val="18"/>
          <w:szCs w:val="18"/>
          <w:color w:val="auto"/>
        </w:rPr>
      </w:pPr>
      <w:r>
        <w:rPr>
          <w:rFonts w:ascii="Verdana" w:cs="Verdana" w:eastAsia="Verdana" w:hAnsi="Verdana"/>
          <w:sz w:val="20"/>
          <w:szCs w:val="20"/>
          <w:color w:val="214E93"/>
        </w:rPr>
        <w:t>PART IV</w:t>
      </w:r>
    </w:p>
    <w:p>
      <w:pPr>
        <w:spacing w:after="0" w:line="161" w:lineRule="exact"/>
        <w:rPr>
          <w:rFonts w:ascii="Calibri" w:cs="Calibri" w:eastAsia="Calibri" w:hAnsi="Calibri"/>
          <w:sz w:val="18"/>
          <w:szCs w:val="18"/>
          <w:color w:val="auto"/>
        </w:rPr>
      </w:pPr>
    </w:p>
    <w:p>
      <w:pPr>
        <w:ind w:left="757"/>
        <w:spacing w:after="0"/>
        <w:rPr>
          <w:rFonts w:ascii="Calibri" w:cs="Calibri" w:eastAsia="Calibri" w:hAnsi="Calibri"/>
          <w:sz w:val="18"/>
          <w:szCs w:val="18"/>
          <w:color w:val="auto"/>
        </w:rPr>
      </w:pPr>
      <w:r>
        <w:rPr>
          <w:rFonts w:ascii="Verdana" w:cs="Verdana" w:eastAsia="Verdana" w:hAnsi="Verdana"/>
          <w:sz w:val="20"/>
          <w:szCs w:val="20"/>
          <w:color w:val="214E93"/>
        </w:rPr>
        <w:t>ITEM 15. EXHIBITS AND FINANCIAL STATEMENT SCHEDULES.</w:t>
      </w:r>
    </w:p>
    <w:p>
      <w:pPr>
        <w:spacing w:after="0" w:line="192" w:lineRule="exact"/>
        <w:rPr>
          <w:rFonts w:ascii="Calibri" w:cs="Calibri" w:eastAsia="Calibri" w:hAnsi="Calibri"/>
          <w:sz w:val="18"/>
          <w:szCs w:val="18"/>
          <w:color w:val="auto"/>
        </w:rPr>
      </w:pPr>
    </w:p>
    <w:p>
      <w:pPr>
        <w:ind w:left="997"/>
        <w:spacing w:after="0"/>
        <w:rPr>
          <w:rFonts w:ascii="Calibri" w:cs="Calibri" w:eastAsia="Calibri" w:hAnsi="Calibri"/>
          <w:sz w:val="18"/>
          <w:szCs w:val="18"/>
          <w:color w:val="auto"/>
        </w:rPr>
      </w:pPr>
      <w:r>
        <w:rPr>
          <w:rFonts w:ascii="Calibri" w:cs="Calibri" w:eastAsia="Calibri" w:hAnsi="Calibri"/>
          <w:sz w:val="18"/>
          <w:szCs w:val="18"/>
          <w:color w:val="auto"/>
        </w:rPr>
        <w:t>The following documents are filed as part of this Annual Report:</w:t>
      </w:r>
    </w:p>
    <w:p>
      <w:pPr>
        <w:spacing w:after="0" w:line="240" w:lineRule="exact"/>
        <w:rPr>
          <w:rFonts w:ascii="Calibri" w:cs="Calibri" w:eastAsia="Calibri" w:hAnsi="Calibri"/>
          <w:sz w:val="18"/>
          <w:szCs w:val="18"/>
          <w:color w:val="auto"/>
        </w:rPr>
      </w:pPr>
    </w:p>
    <w:p>
      <w:pPr>
        <w:jc w:val="both"/>
        <w:ind w:left="757" w:right="60" w:firstLine="238"/>
        <w:spacing w:after="0" w:line="264" w:lineRule="auto"/>
        <w:tabs>
          <w:tab w:leader="none" w:pos="1173" w:val="left"/>
        </w:tabs>
        <w:numPr>
          <w:ilvl w:val="1"/>
          <w:numId w:val="71"/>
        </w:numPr>
        <w:rPr>
          <w:rFonts w:ascii="Calibri" w:cs="Calibri" w:eastAsia="Calibri" w:hAnsi="Calibri"/>
          <w:sz w:val="18"/>
          <w:szCs w:val="18"/>
          <w:color w:val="auto"/>
        </w:rPr>
      </w:pPr>
      <w:r>
        <w:rPr>
          <w:rFonts w:ascii="Calibri" w:cs="Calibri" w:eastAsia="Calibri" w:hAnsi="Calibri"/>
          <w:sz w:val="18"/>
          <w:szCs w:val="18"/>
          <w:color w:val="auto"/>
        </w:rPr>
        <w:t>Index to Consolidated Financial Statements, Report of Independent Registered Public Accounting Firm, Consolidated Balance Sheets as of December 31, 2025 and 2024, Consolidated Statements of Income for the Years Ended December 31, 2025, 2024 and 2023, Consolidated Statements of Changes in Shareholders’ Equity for the Years Ended December 31, 2025, 2024 and 2023 and Consolidated Statements of Cash Flows for the Years Ended December 31, 2025, 2024 and 2023.</w:t>
      </w:r>
    </w:p>
    <w:p>
      <w:pPr>
        <w:spacing w:after="0" w:line="220" w:lineRule="exact"/>
        <w:rPr>
          <w:rFonts w:ascii="Calibri" w:cs="Calibri" w:eastAsia="Calibri" w:hAnsi="Calibri"/>
          <w:sz w:val="18"/>
          <w:szCs w:val="18"/>
          <w:color w:val="auto"/>
        </w:rPr>
      </w:pPr>
    </w:p>
    <w:p>
      <w:pPr>
        <w:ind w:left="757" w:firstLine="238"/>
        <w:spacing w:after="0" w:line="261" w:lineRule="auto"/>
        <w:tabs>
          <w:tab w:leader="none" w:pos="1173" w:val="left"/>
        </w:tabs>
        <w:numPr>
          <w:ilvl w:val="1"/>
          <w:numId w:val="71"/>
        </w:numPr>
        <w:rPr>
          <w:rFonts w:ascii="Calibri" w:cs="Calibri" w:eastAsia="Calibri" w:hAnsi="Calibri"/>
          <w:sz w:val="18"/>
          <w:szCs w:val="18"/>
          <w:color w:val="auto"/>
        </w:rPr>
      </w:pPr>
      <w:r>
        <w:rPr>
          <w:rFonts w:ascii="Calibri" w:cs="Calibri" w:eastAsia="Calibri" w:hAnsi="Calibri"/>
          <w:sz w:val="18"/>
          <w:szCs w:val="18"/>
          <w:color w:val="auto"/>
        </w:rPr>
        <w:t>Financial Statement Schedules: All other schedules for which provision is made in the applicable accounting regulations of the SEC are omitted because the required information is either not applicable, not required or is shown in the respective financial statements or in the notes thereto.</w:t>
      </w:r>
    </w:p>
    <w:p>
      <w:pPr>
        <w:spacing w:after="0" w:line="205" w:lineRule="exact"/>
        <w:rPr>
          <w:rFonts w:ascii="Calibri" w:cs="Calibri" w:eastAsia="Calibri" w:hAnsi="Calibri"/>
          <w:sz w:val="18"/>
          <w:szCs w:val="18"/>
          <w:color w:val="auto"/>
        </w:rPr>
      </w:pPr>
    </w:p>
    <w:p>
      <w:pPr>
        <w:ind w:left="1177" w:hanging="182"/>
        <w:spacing w:after="0"/>
        <w:tabs>
          <w:tab w:leader="none" w:pos="1177" w:val="left"/>
        </w:tabs>
        <w:numPr>
          <w:ilvl w:val="1"/>
          <w:numId w:val="71"/>
        </w:numPr>
        <w:rPr>
          <w:rFonts w:ascii="Calibri" w:cs="Calibri" w:eastAsia="Calibri" w:hAnsi="Calibri"/>
          <w:sz w:val="18"/>
          <w:szCs w:val="18"/>
          <w:color w:val="auto"/>
        </w:rPr>
      </w:pPr>
      <w:r>
        <w:rPr>
          <w:rFonts w:ascii="Calibri" w:cs="Calibri" w:eastAsia="Calibri" w:hAnsi="Calibri"/>
          <w:sz w:val="18"/>
          <w:szCs w:val="18"/>
          <w:color w:val="auto"/>
        </w:rPr>
        <w:t>Exhibits: The exhibits required to be filed by this Item 15 are set forth in the Exhibit Index included below.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476250</wp:posOffset>
                </wp:positionH>
                <wp:positionV relativeFrom="paragraph">
                  <wp:posOffset>-2132965</wp:posOffset>
                </wp:positionV>
                <wp:extent cx="6811645" cy="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38" o:spid="_x0000_s12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pt,-167.9499pt" to="573.85pt,-167.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476250</wp:posOffset>
                </wp:positionH>
                <wp:positionV relativeFrom="paragraph">
                  <wp:posOffset>-2132965</wp:posOffset>
                </wp:positionV>
                <wp:extent cx="6811645" cy="0"/>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39" o:spid="_x0000_s12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pt,-167.9499pt" to="573.85pt,-167.9499pt" o:allowincell="f" strokecolor="#214E93" strokeweight="1pt"/>
            </w:pict>
          </mc:Fallback>
        </mc:AlternateContent>
      </w:r>
    </w:p>
    <w:p>
      <w:pPr>
        <w:spacing w:after="0" w:line="219" w:lineRule="exact"/>
        <w:rPr>
          <w:sz w:val="20"/>
          <w:szCs w:val="20"/>
          <w:color w:val="auto"/>
        </w:rPr>
      </w:pPr>
    </w:p>
    <w:p>
      <w:pPr>
        <w:ind w:left="757"/>
        <w:spacing w:after="0"/>
        <w:rPr>
          <w:sz w:val="20"/>
          <w:szCs w:val="20"/>
          <w:color w:val="auto"/>
        </w:rPr>
      </w:pPr>
      <w:r>
        <w:rPr>
          <w:rFonts w:ascii="Verdana" w:cs="Verdana" w:eastAsia="Verdana" w:hAnsi="Verdana"/>
          <w:sz w:val="20"/>
          <w:szCs w:val="20"/>
          <w:color w:val="214E93"/>
        </w:rPr>
        <w:t>ITEM 16. FORM 10-K SUMMARY.</w:t>
      </w:r>
    </w:p>
    <w:p>
      <w:pPr>
        <w:spacing w:after="0" w:line="192" w:lineRule="exact"/>
        <w:rPr>
          <w:sz w:val="20"/>
          <w:szCs w:val="20"/>
          <w:color w:val="auto"/>
        </w:rPr>
      </w:pPr>
    </w:p>
    <w:p>
      <w:pPr>
        <w:ind w:left="997"/>
        <w:spacing w:after="0"/>
        <w:rPr>
          <w:sz w:val="20"/>
          <w:szCs w:val="20"/>
          <w:color w:val="auto"/>
        </w:rPr>
      </w:pPr>
      <w:r>
        <w:rPr>
          <w:rFonts w:ascii="Calibri" w:cs="Calibri" w:eastAsia="Calibri" w:hAnsi="Calibri"/>
          <w:sz w:val="18"/>
          <w:szCs w:val="18"/>
          <w:color w:val="auto"/>
        </w:rPr>
        <w:t>None.</w:t>
      </w:r>
    </w:p>
    <w:p>
      <w:pPr>
        <w:sectPr>
          <w:pgSz w:w="11880" w:h="15480" w:orient="portrait"/>
          <w:cols w:equalWidth="0" w:num="1">
            <w:col w:w="10197"/>
          </w:cols>
          <w:pgMar w:left="403" w:top="498"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7"/>
        <w:spacing w:after="0"/>
        <w:rPr>
          <w:sz w:val="20"/>
          <w:szCs w:val="20"/>
          <w:color w:val="auto"/>
        </w:rPr>
      </w:pPr>
      <w:r>
        <w:rPr>
          <w:rFonts w:ascii="Calibri" w:cs="Calibri" w:eastAsia="Calibri" w:hAnsi="Calibri"/>
          <w:sz w:val="17"/>
          <w:szCs w:val="17"/>
          <w:color w:val="auto"/>
        </w:rPr>
        <w:t>FORM 10-K PART IV</w:t>
      </w:r>
    </w:p>
    <w:p>
      <w:pPr>
        <w:sectPr>
          <w:pgSz w:w="11880" w:h="15480" w:orient="portrait"/>
          <w:cols w:equalWidth="0" w:num="1">
            <w:col w:w="10197"/>
          </w:cols>
          <w:pgMar w:left="403" w:top="498" w:right="1280" w:bottom="0" w:gutter="0" w:footer="0" w:header="0"/>
          <w:type w:val="continuous"/>
        </w:sectPr>
      </w:pPr>
    </w:p>
    <w:bookmarkStart w:id="120" w:name="page121"/>
    <w:bookmarkEnd w:id="120"/>
    <w:tbl>
      <w:tblPr>
        <w:tblLayout w:type="fixed"/>
        <w:tblInd w:w="0" w:type="dxa"/>
        <w:tblCellMar>
          <w:top w:w="0" w:type="dxa"/>
          <w:left w:w="0" w:type="dxa"/>
          <w:bottom w:w="0" w:type="dxa"/>
          <w:right w:w="0" w:type="dxa"/>
        </w:tblCellMar>
      </w:tblPr>
      <w:tr>
        <w:trPr>
          <w:trHeight w:val="220"/>
        </w:trPr>
        <w:tc>
          <w:tcPr>
            <w:tcW w:w="1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20" w:type="dxa"/>
            <w:vAlign w:val="bottom"/>
          </w:tcPr>
          <w:p>
            <w:pPr>
              <w:ind w:left="7140"/>
              <w:spacing w:after="0"/>
              <w:rPr>
                <w:sz w:val="20"/>
                <w:szCs w:val="20"/>
                <w:color w:val="auto"/>
              </w:rPr>
            </w:pPr>
            <w:r>
              <w:rPr>
                <w:rFonts w:ascii="Calibri" w:cs="Calibri" w:eastAsia="Calibri" w:hAnsi="Calibri"/>
                <w:sz w:val="18"/>
                <w:szCs w:val="18"/>
                <w:color w:val="auto"/>
                <w:w w:val="99"/>
              </w:rPr>
              <w:t>2025 ANNUAL REPORT</w:t>
            </w:r>
          </w:p>
        </w:tc>
        <w:tc>
          <w:tcPr>
            <w:tcW w:w="760" w:type="dxa"/>
            <w:vAlign w:val="bottom"/>
          </w:tcPr>
          <w:p>
            <w:pPr>
              <w:jc w:val="right"/>
              <w:spacing w:after="0"/>
              <w:rPr>
                <w:sz w:val="20"/>
                <w:szCs w:val="20"/>
                <w:color w:val="auto"/>
              </w:rPr>
            </w:pPr>
            <w:r>
              <w:rPr>
                <w:rFonts w:ascii="Calibri" w:cs="Calibri" w:eastAsia="Calibri" w:hAnsi="Calibri"/>
                <w:sz w:val="18"/>
                <w:szCs w:val="18"/>
                <w:color w:val="auto"/>
              </w:rPr>
              <w:t>107</w:t>
            </w:r>
          </w:p>
        </w:tc>
      </w:tr>
      <w:tr>
        <w:trPr>
          <w:trHeight w:val="496"/>
        </w:trPr>
        <w:tc>
          <w:tcPr>
            <w:tcW w:w="1160" w:type="dxa"/>
            <w:vAlign w:val="bottom"/>
            <w:tcBorders>
              <w:bottom w:val="single" w:sz="8" w:color="214E93"/>
            </w:tcBorders>
          </w:tcPr>
          <w:p>
            <w:pPr>
              <w:spacing w:after="0"/>
              <w:rPr>
                <w:sz w:val="24"/>
                <w:szCs w:val="24"/>
                <w:color w:val="auto"/>
              </w:rPr>
            </w:pPr>
          </w:p>
        </w:tc>
        <w:tc>
          <w:tcPr>
            <w:tcW w:w="9560" w:type="dxa"/>
            <w:vAlign w:val="bottom"/>
            <w:tcBorders>
              <w:bottom w:val="single" w:sz="8" w:color="214E93"/>
            </w:tcBorders>
            <w:gridSpan w:val="2"/>
          </w:tcPr>
          <w:p>
            <w:pPr>
              <w:ind w:left="40"/>
              <w:spacing w:after="0"/>
              <w:rPr>
                <w:sz w:val="20"/>
                <w:szCs w:val="20"/>
                <w:color w:val="auto"/>
              </w:rPr>
            </w:pPr>
            <w:r>
              <w:rPr>
                <w:rFonts w:ascii="Verdana" w:cs="Verdana" w:eastAsia="Verdana" w:hAnsi="Verdana"/>
                <w:sz w:val="20"/>
                <w:szCs w:val="20"/>
                <w:color w:val="214E93"/>
              </w:rPr>
              <w:t>Exhibit Index</w:t>
            </w:r>
          </w:p>
        </w:tc>
        <w:tc>
          <w:tcPr>
            <w:tcW w:w="760" w:type="dxa"/>
            <w:vAlign w:val="bottom"/>
          </w:tcPr>
          <w:p>
            <w:pPr>
              <w:spacing w:after="0"/>
              <w:rPr>
                <w:sz w:val="24"/>
                <w:szCs w:val="24"/>
                <w:color w:val="auto"/>
              </w:rPr>
            </w:pPr>
          </w:p>
        </w:tc>
      </w:tr>
      <w:tr>
        <w:trPr>
          <w:trHeight w:val="724"/>
        </w:trPr>
        <w:tc>
          <w:tcPr>
            <w:tcW w:w="116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alibri" w:cs="Calibri" w:eastAsia="Calibri" w:hAnsi="Calibri"/>
                <w:sz w:val="17"/>
                <w:szCs w:val="17"/>
                <w:b w:val="1"/>
                <w:bCs w:val="1"/>
                <w:color w:val="auto"/>
              </w:rPr>
              <w:t>Exhibit</w:t>
            </w:r>
          </w:p>
        </w:tc>
        <w:tc>
          <w:tcPr>
            <w:tcW w:w="88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9"/>
        </w:trPr>
        <w:tc>
          <w:tcPr>
            <w:tcW w:w="1160" w:type="dxa"/>
            <w:vAlign w:val="bottom"/>
          </w:tcPr>
          <w:p>
            <w:pPr>
              <w:spacing w:after="0"/>
              <w:rPr>
                <w:sz w:val="18"/>
                <w:szCs w:val="18"/>
                <w:color w:val="auto"/>
              </w:rPr>
            </w:pPr>
          </w:p>
        </w:tc>
        <w:tc>
          <w:tcPr>
            <w:tcW w:w="740" w:type="dxa"/>
            <w:vAlign w:val="bottom"/>
          </w:tcPr>
          <w:p>
            <w:pPr>
              <w:ind w:left="40"/>
              <w:spacing w:after="0" w:line="201" w:lineRule="exact"/>
              <w:rPr>
                <w:sz w:val="20"/>
                <w:szCs w:val="20"/>
                <w:color w:val="auto"/>
              </w:rPr>
            </w:pPr>
            <w:r>
              <w:rPr>
                <w:rFonts w:ascii="Calibri" w:cs="Calibri" w:eastAsia="Calibri" w:hAnsi="Calibri"/>
                <w:sz w:val="17"/>
                <w:szCs w:val="17"/>
                <w:b w:val="1"/>
                <w:bCs w:val="1"/>
                <w:color w:val="auto"/>
              </w:rPr>
              <w:t>Number</w:t>
            </w:r>
          </w:p>
        </w:tc>
        <w:tc>
          <w:tcPr>
            <w:tcW w:w="8820" w:type="dxa"/>
            <w:vAlign w:val="bottom"/>
          </w:tcPr>
          <w:p>
            <w:pPr>
              <w:ind w:left="100"/>
              <w:spacing w:after="0"/>
              <w:rPr>
                <w:sz w:val="20"/>
                <w:szCs w:val="20"/>
                <w:color w:val="auto"/>
              </w:rPr>
            </w:pPr>
            <w:r>
              <w:rPr>
                <w:rFonts w:ascii="Calibri" w:cs="Calibri" w:eastAsia="Calibri" w:hAnsi="Calibri"/>
                <w:sz w:val="17"/>
                <w:szCs w:val="17"/>
                <w:b w:val="1"/>
                <w:bCs w:val="1"/>
                <w:color w:val="auto"/>
              </w:rPr>
              <w:t>Description</w:t>
            </w:r>
          </w:p>
        </w:tc>
        <w:tc>
          <w:tcPr>
            <w:tcW w:w="760" w:type="dxa"/>
            <w:vAlign w:val="bottom"/>
          </w:tcPr>
          <w:p>
            <w:pPr>
              <w:spacing w:after="0"/>
              <w:rPr>
                <w:sz w:val="18"/>
                <w:szCs w:val="18"/>
                <w:color w:val="auto"/>
              </w:rPr>
            </w:pPr>
          </w:p>
        </w:tc>
      </w:tr>
      <w:tr>
        <w:trPr>
          <w:trHeight w:val="29"/>
        </w:trPr>
        <w:tc>
          <w:tcPr>
            <w:tcW w:w="1160" w:type="dxa"/>
            <w:vAlign w:val="bottom"/>
          </w:tcPr>
          <w:p>
            <w:pPr>
              <w:spacing w:after="0"/>
              <w:rPr>
                <w:sz w:val="2"/>
                <w:szCs w:val="2"/>
                <w:color w:val="auto"/>
              </w:rPr>
            </w:pPr>
          </w:p>
        </w:tc>
        <w:tc>
          <w:tcPr>
            <w:tcW w:w="740" w:type="dxa"/>
            <w:vAlign w:val="bottom"/>
            <w:tcBorders>
              <w:bottom w:val="single" w:sz="8" w:color="214E93"/>
            </w:tcBorders>
          </w:tcPr>
          <w:p>
            <w:pPr>
              <w:spacing w:after="0"/>
              <w:rPr>
                <w:sz w:val="2"/>
                <w:szCs w:val="2"/>
                <w:color w:val="auto"/>
              </w:rPr>
            </w:pPr>
          </w:p>
        </w:tc>
        <w:tc>
          <w:tcPr>
            <w:tcW w:w="8820" w:type="dxa"/>
            <w:vAlign w:val="bottom"/>
            <w:tcBorders>
              <w:bottom w:val="single" w:sz="8" w:color="214E93"/>
            </w:tcBorders>
          </w:tcPr>
          <w:p>
            <w:pPr>
              <w:spacing w:after="0"/>
              <w:rPr>
                <w:sz w:val="2"/>
                <w:szCs w:val="2"/>
                <w:color w:val="auto"/>
              </w:rPr>
            </w:pPr>
          </w:p>
        </w:tc>
        <w:tc>
          <w:tcPr>
            <w:tcW w:w="760" w:type="dxa"/>
            <w:vAlign w:val="bottom"/>
          </w:tcPr>
          <w:p>
            <w:pPr>
              <w:spacing w:after="0"/>
              <w:rPr>
                <w:sz w:val="2"/>
                <w:szCs w:val="2"/>
                <w:color w:val="auto"/>
              </w:rPr>
            </w:pPr>
          </w:p>
        </w:tc>
      </w:tr>
      <w:tr>
        <w:trPr>
          <w:trHeight w:val="264"/>
        </w:trPr>
        <w:tc>
          <w:tcPr>
            <w:tcW w:w="1160" w:type="dxa"/>
            <w:vAlign w:val="bottom"/>
          </w:tcPr>
          <w:p>
            <w:pPr>
              <w:spacing w:after="0"/>
              <w:rPr>
                <w:sz w:val="22"/>
                <w:szCs w:val="22"/>
                <w:color w:val="auto"/>
              </w:rPr>
            </w:pPr>
          </w:p>
        </w:tc>
        <w:tc>
          <w:tcPr>
            <w:tcW w:w="740" w:type="dxa"/>
            <w:vAlign w:val="bottom"/>
          </w:tcPr>
          <w:p>
            <w:pPr>
              <w:ind w:left="40"/>
              <w:spacing w:after="0"/>
              <w:rPr>
                <w:sz w:val="20"/>
                <w:szCs w:val="20"/>
                <w:color w:val="auto"/>
              </w:rPr>
            </w:pPr>
            <w:r>
              <w:rPr>
                <w:rFonts w:ascii="Calibri" w:cs="Calibri" w:eastAsia="Calibri" w:hAnsi="Calibri"/>
                <w:sz w:val="16"/>
                <w:szCs w:val="16"/>
                <w:color w:val="auto"/>
              </w:rPr>
              <w:t>2.1*</w:t>
            </w:r>
          </w:p>
        </w:tc>
        <w:tc>
          <w:tcPr>
            <w:tcW w:w="8820" w:type="dxa"/>
            <w:vAlign w:val="bottom"/>
          </w:tcPr>
          <w:p>
            <w:pPr>
              <w:ind w:left="100"/>
              <w:spacing w:after="0"/>
              <w:rPr>
                <w:sz w:val="20"/>
                <w:szCs w:val="20"/>
                <w:color w:val="auto"/>
              </w:rPr>
            </w:pPr>
            <w:r>
              <w:rPr>
                <w:rFonts w:ascii="Calibri" w:cs="Calibri" w:eastAsia="Calibri" w:hAnsi="Calibri"/>
                <w:sz w:val="16"/>
                <w:szCs w:val="16"/>
                <w:color w:val="auto"/>
              </w:rPr>
              <w:t>Securities Purchase Agreement, dated January 24, 2023, by and among MRC Hat Mesa, LLC, MRC Energy Company (solely for the</w:t>
            </w:r>
          </w:p>
        </w:tc>
        <w:tc>
          <w:tcPr>
            <w:tcW w:w="760" w:type="dxa"/>
            <w:vAlign w:val="bottom"/>
          </w:tcPr>
          <w:p>
            <w:pPr>
              <w:spacing w:after="0"/>
              <w:rPr>
                <w:sz w:val="22"/>
                <w:szCs w:val="22"/>
                <w:color w:val="auto"/>
              </w:rPr>
            </w:pPr>
          </w:p>
        </w:tc>
      </w:tr>
      <w:tr>
        <w:trPr>
          <w:trHeight w:val="189"/>
        </w:trPr>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limited purposes stated therein), AEP EnCap HoldCo, LLC, Ameradvance Management LLC and Advance Energy Partners Holdings, LLC</w:t>
            </w:r>
          </w:p>
        </w:tc>
        <w:tc>
          <w:tcPr>
            <w:tcW w:w="760" w:type="dxa"/>
            <w:vAlign w:val="bottom"/>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(incorporated by reference to Exhibit 2.1 to the Current Report on Form 8-K filed on January 24, 2023).</w:t>
            </w:r>
          </w:p>
        </w:tc>
        <w:tc>
          <w:tcPr>
            <w:tcW w:w="760" w:type="dxa"/>
            <w:vAlign w:val="bottom"/>
          </w:tcPr>
          <w:p>
            <w:pPr>
              <w:spacing w:after="0"/>
              <w:rPr>
                <w:sz w:val="16"/>
                <w:szCs w:val="16"/>
                <w:color w:val="auto"/>
              </w:rPr>
            </w:pPr>
          </w:p>
        </w:tc>
      </w:tr>
      <w:tr>
        <w:trPr>
          <w:trHeight w:val="331"/>
        </w:trPr>
        <w:tc>
          <w:tcPr>
            <w:tcW w:w="116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alibri" w:cs="Calibri" w:eastAsia="Calibri" w:hAnsi="Calibri"/>
                <w:sz w:val="16"/>
                <w:szCs w:val="16"/>
                <w:color w:val="auto"/>
              </w:rPr>
              <w:t>2.2</w:t>
            </w:r>
          </w:p>
        </w:tc>
        <w:tc>
          <w:tcPr>
            <w:tcW w:w="8820" w:type="dxa"/>
            <w:vAlign w:val="bottom"/>
          </w:tcPr>
          <w:p>
            <w:pPr>
              <w:ind w:left="100"/>
              <w:spacing w:after="0"/>
              <w:rPr>
                <w:sz w:val="20"/>
                <w:szCs w:val="20"/>
                <w:color w:val="auto"/>
              </w:rPr>
            </w:pPr>
            <w:r>
              <w:rPr>
                <w:rFonts w:ascii="Calibri" w:cs="Calibri" w:eastAsia="Calibri" w:hAnsi="Calibri"/>
                <w:sz w:val="16"/>
                <w:szCs w:val="16"/>
                <w:color w:val="auto"/>
              </w:rPr>
              <w:t>Amendment No. 1 to Securities Purchase Agreement, dated April 5, 2023, by and among MRC Hat Mesa, LLC, AEP EnCap HoldCo, LLC,</w:t>
            </w:r>
          </w:p>
        </w:tc>
        <w:tc>
          <w:tcPr>
            <w:tcW w:w="760" w:type="dxa"/>
            <w:vAlign w:val="bottom"/>
          </w:tcPr>
          <w:p>
            <w:pPr>
              <w:spacing w:after="0"/>
              <w:rPr>
                <w:sz w:val="24"/>
                <w:szCs w:val="24"/>
                <w:color w:val="auto"/>
              </w:rPr>
            </w:pPr>
          </w:p>
        </w:tc>
      </w:tr>
      <w:tr>
        <w:trPr>
          <w:trHeight w:val="189"/>
        </w:trPr>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Ameradvance Management LLC and Advance Energy Partners Holdings, LLC (incorporated by reference to Exhibit 2.2 to the Annual</w:t>
            </w:r>
          </w:p>
        </w:tc>
        <w:tc>
          <w:tcPr>
            <w:tcW w:w="760" w:type="dxa"/>
            <w:vAlign w:val="bottom"/>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Report on Form 10-K for the year ended December 31, 2023).</w:t>
            </w:r>
          </w:p>
        </w:tc>
        <w:tc>
          <w:tcPr>
            <w:tcW w:w="760" w:type="dxa"/>
            <w:vAlign w:val="bottom"/>
          </w:tcPr>
          <w:p>
            <w:pPr>
              <w:spacing w:after="0"/>
              <w:rPr>
                <w:sz w:val="16"/>
                <w:szCs w:val="16"/>
                <w:color w:val="auto"/>
              </w:rPr>
            </w:pPr>
          </w:p>
        </w:tc>
      </w:tr>
      <w:tr>
        <w:trPr>
          <w:trHeight w:val="331"/>
        </w:trPr>
        <w:tc>
          <w:tcPr>
            <w:tcW w:w="116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alibri" w:cs="Calibri" w:eastAsia="Calibri" w:hAnsi="Calibri"/>
                <w:sz w:val="16"/>
                <w:szCs w:val="16"/>
                <w:color w:val="auto"/>
              </w:rPr>
              <w:t>2.3*</w:t>
            </w:r>
          </w:p>
        </w:tc>
        <w:tc>
          <w:tcPr>
            <w:tcW w:w="8820" w:type="dxa"/>
            <w:vAlign w:val="bottom"/>
          </w:tcPr>
          <w:p>
            <w:pPr>
              <w:ind w:left="100"/>
              <w:spacing w:after="0"/>
              <w:rPr>
                <w:sz w:val="20"/>
                <w:szCs w:val="20"/>
                <w:color w:val="auto"/>
              </w:rPr>
            </w:pPr>
            <w:r>
              <w:rPr>
                <w:rFonts w:ascii="Calibri" w:cs="Calibri" w:eastAsia="Calibri" w:hAnsi="Calibri"/>
                <w:sz w:val="16"/>
                <w:szCs w:val="16"/>
                <w:color w:val="auto"/>
                <w:w w:val="98"/>
              </w:rPr>
              <w:t>Waiver and Release Agreement and Amendment No. 2 to Securities Purchase Agreement, dated December 1, 2023, by and among MRC</w:t>
            </w:r>
          </w:p>
        </w:tc>
        <w:tc>
          <w:tcPr>
            <w:tcW w:w="760" w:type="dxa"/>
            <w:vAlign w:val="bottom"/>
          </w:tcPr>
          <w:p>
            <w:pPr>
              <w:spacing w:after="0"/>
              <w:rPr>
                <w:sz w:val="24"/>
                <w:szCs w:val="24"/>
                <w:color w:val="auto"/>
              </w:rPr>
            </w:pPr>
          </w:p>
        </w:tc>
      </w:tr>
      <w:tr>
        <w:trPr>
          <w:trHeight w:val="189"/>
        </w:trPr>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Hat Mesa, LLC, AEP EnCap HoldCo, LLC, Ameradvance Management LLC and Advance Energy Partners Holdings, LLC (incorporated by</w:t>
            </w:r>
          </w:p>
        </w:tc>
        <w:tc>
          <w:tcPr>
            <w:tcW w:w="760" w:type="dxa"/>
            <w:vAlign w:val="bottom"/>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reference to Exhibit 2.3 to the Annual Report on Form 10-K for the year ended December 31, 2023.).</w:t>
            </w:r>
          </w:p>
        </w:tc>
        <w:tc>
          <w:tcPr>
            <w:tcW w:w="760" w:type="dxa"/>
            <w:vAlign w:val="bottom"/>
          </w:tcPr>
          <w:p>
            <w:pPr>
              <w:spacing w:after="0"/>
              <w:rPr>
                <w:sz w:val="16"/>
                <w:szCs w:val="16"/>
                <w:color w:val="auto"/>
              </w:rPr>
            </w:pPr>
          </w:p>
        </w:tc>
      </w:tr>
      <w:tr>
        <w:trPr>
          <w:trHeight w:val="331"/>
        </w:trPr>
        <w:tc>
          <w:tcPr>
            <w:tcW w:w="116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alibri" w:cs="Calibri" w:eastAsia="Calibri" w:hAnsi="Calibri"/>
                <w:sz w:val="16"/>
                <w:szCs w:val="16"/>
                <w:color w:val="auto"/>
              </w:rPr>
              <w:t>2.4*</w:t>
            </w:r>
          </w:p>
        </w:tc>
        <w:tc>
          <w:tcPr>
            <w:tcW w:w="8820" w:type="dxa"/>
            <w:vAlign w:val="bottom"/>
          </w:tcPr>
          <w:p>
            <w:pPr>
              <w:ind w:left="100"/>
              <w:spacing w:after="0"/>
              <w:rPr>
                <w:sz w:val="20"/>
                <w:szCs w:val="20"/>
                <w:color w:val="auto"/>
              </w:rPr>
            </w:pPr>
            <w:r>
              <w:rPr>
                <w:rFonts w:ascii="Calibri" w:cs="Calibri" w:eastAsia="Calibri" w:hAnsi="Calibri"/>
                <w:sz w:val="16"/>
                <w:szCs w:val="16"/>
                <w:color w:val="auto"/>
              </w:rPr>
              <w:t>Securities Purchase Agreement, dated June 12, 2024, by and among MRC Toro, LLC, MRC Energy Company (solely for the limited</w:t>
            </w:r>
          </w:p>
        </w:tc>
        <w:tc>
          <w:tcPr>
            <w:tcW w:w="760" w:type="dxa"/>
            <w:vAlign w:val="bottom"/>
          </w:tcPr>
          <w:p>
            <w:pPr>
              <w:spacing w:after="0"/>
              <w:rPr>
                <w:sz w:val="24"/>
                <w:szCs w:val="24"/>
                <w:color w:val="auto"/>
              </w:rPr>
            </w:pPr>
          </w:p>
        </w:tc>
      </w:tr>
      <w:tr>
        <w:trPr>
          <w:trHeight w:val="189"/>
        </w:trPr>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purposes stated therein), Ameredev II Parent, LLC, Ameredev Intermediate II, LLC and Ameredev Stateline II, LLC (incorporated by</w:t>
            </w:r>
          </w:p>
        </w:tc>
        <w:tc>
          <w:tcPr>
            <w:tcW w:w="760" w:type="dxa"/>
            <w:vAlign w:val="bottom"/>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reference to Exhibit 2.1 to the Current Report on Form 8-K filed on June 12, 2024).</w:t>
            </w:r>
          </w:p>
        </w:tc>
        <w:tc>
          <w:tcPr>
            <w:tcW w:w="760" w:type="dxa"/>
            <w:vAlign w:val="bottom"/>
          </w:tcPr>
          <w:p>
            <w:pPr>
              <w:spacing w:after="0"/>
              <w:rPr>
                <w:sz w:val="16"/>
                <w:szCs w:val="16"/>
                <w:color w:val="auto"/>
              </w:rPr>
            </w:pPr>
          </w:p>
        </w:tc>
      </w:tr>
      <w:tr>
        <w:trPr>
          <w:trHeight w:val="331"/>
        </w:trPr>
        <w:tc>
          <w:tcPr>
            <w:tcW w:w="116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alibri" w:cs="Calibri" w:eastAsia="Calibri" w:hAnsi="Calibri"/>
                <w:sz w:val="16"/>
                <w:szCs w:val="16"/>
                <w:color w:val="auto"/>
              </w:rPr>
              <w:t>2.5*</w:t>
            </w:r>
          </w:p>
        </w:tc>
        <w:tc>
          <w:tcPr>
            <w:tcW w:w="8820" w:type="dxa"/>
            <w:vAlign w:val="bottom"/>
          </w:tcPr>
          <w:p>
            <w:pPr>
              <w:ind w:left="100"/>
              <w:spacing w:after="0"/>
              <w:rPr>
                <w:sz w:val="20"/>
                <w:szCs w:val="20"/>
                <w:color w:val="auto"/>
              </w:rPr>
            </w:pPr>
            <w:r>
              <w:rPr>
                <w:rFonts w:ascii="Calibri" w:cs="Calibri" w:eastAsia="Calibri" w:hAnsi="Calibri"/>
                <w:sz w:val="16"/>
                <w:szCs w:val="16"/>
                <w:color w:val="auto"/>
              </w:rPr>
              <w:t>Amendment No. 1 to Securities Purchase Agreement, dated August 29, 2024, by and among MRC Toro, LLC, Ameredev II Parent, LLC,</w:t>
            </w:r>
          </w:p>
        </w:tc>
        <w:tc>
          <w:tcPr>
            <w:tcW w:w="760" w:type="dxa"/>
            <w:vAlign w:val="bottom"/>
          </w:tcPr>
          <w:p>
            <w:pPr>
              <w:spacing w:after="0"/>
              <w:rPr>
                <w:sz w:val="24"/>
                <w:szCs w:val="24"/>
                <w:color w:val="auto"/>
              </w:rPr>
            </w:pPr>
          </w:p>
        </w:tc>
      </w:tr>
      <w:tr>
        <w:trPr>
          <w:trHeight w:val="189"/>
        </w:trPr>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w w:val="98"/>
              </w:rPr>
              <w:t>Ameredev Intermediate II, LLC and Ameredev Stateline II, LLC (incorporated by reference to Exhibit 2.3 to the Quarterly Report on Form</w:t>
            </w:r>
          </w:p>
        </w:tc>
        <w:tc>
          <w:tcPr>
            <w:tcW w:w="760" w:type="dxa"/>
            <w:vAlign w:val="bottom"/>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10-Q for the quarter ended September 30, 2024).</w:t>
            </w:r>
          </w:p>
        </w:tc>
        <w:tc>
          <w:tcPr>
            <w:tcW w:w="760" w:type="dxa"/>
            <w:vAlign w:val="bottom"/>
          </w:tcPr>
          <w:p>
            <w:pPr>
              <w:spacing w:after="0"/>
              <w:rPr>
                <w:sz w:val="16"/>
                <w:szCs w:val="16"/>
                <w:color w:val="auto"/>
              </w:rPr>
            </w:pPr>
          </w:p>
        </w:tc>
      </w:tr>
      <w:tr>
        <w:trPr>
          <w:trHeight w:val="331"/>
        </w:trPr>
        <w:tc>
          <w:tcPr>
            <w:tcW w:w="116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alibri" w:cs="Calibri" w:eastAsia="Calibri" w:hAnsi="Calibri"/>
                <w:sz w:val="16"/>
                <w:szCs w:val="16"/>
                <w:color w:val="auto"/>
              </w:rPr>
              <w:t>2.6</w:t>
            </w:r>
          </w:p>
        </w:tc>
        <w:tc>
          <w:tcPr>
            <w:tcW w:w="8820" w:type="dxa"/>
            <w:vAlign w:val="bottom"/>
          </w:tcPr>
          <w:p>
            <w:pPr>
              <w:ind w:left="100"/>
              <w:spacing w:after="0"/>
              <w:rPr>
                <w:sz w:val="20"/>
                <w:szCs w:val="20"/>
                <w:color w:val="auto"/>
              </w:rPr>
            </w:pPr>
            <w:r>
              <w:rPr>
                <w:rFonts w:ascii="Calibri" w:cs="Calibri" w:eastAsia="Calibri" w:hAnsi="Calibri"/>
                <w:sz w:val="16"/>
                <w:szCs w:val="16"/>
                <w:color w:val="auto"/>
                <w:w w:val="99"/>
              </w:rPr>
              <w:t>Amendment No. 2 to Securities Purchase Agreement, dated February 14, 2025, by and among MRC Toro, LLC, Ameredev II Parent, LLC,</w:t>
            </w:r>
          </w:p>
        </w:tc>
        <w:tc>
          <w:tcPr>
            <w:tcW w:w="760" w:type="dxa"/>
            <w:vAlign w:val="bottom"/>
          </w:tcPr>
          <w:p>
            <w:pPr>
              <w:spacing w:after="0"/>
              <w:rPr>
                <w:sz w:val="24"/>
                <w:szCs w:val="24"/>
                <w:color w:val="auto"/>
              </w:rPr>
            </w:pPr>
          </w:p>
        </w:tc>
      </w:tr>
      <w:tr>
        <w:trPr>
          <w:trHeight w:val="189"/>
        </w:trPr>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Ameredev Intermediate II, LLC (incorporated by reference to Exhibit 2.6 to the Annual Report on Form 10-K for the year ended</w:t>
            </w:r>
          </w:p>
        </w:tc>
        <w:tc>
          <w:tcPr>
            <w:tcW w:w="760" w:type="dxa"/>
            <w:vAlign w:val="bottom"/>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December 31, 2024).</w:t>
            </w:r>
          </w:p>
        </w:tc>
        <w:tc>
          <w:tcPr>
            <w:tcW w:w="760" w:type="dxa"/>
            <w:vAlign w:val="bottom"/>
          </w:tcPr>
          <w:p>
            <w:pPr>
              <w:spacing w:after="0"/>
              <w:rPr>
                <w:sz w:val="16"/>
                <w:szCs w:val="16"/>
                <w:color w:val="auto"/>
              </w:rPr>
            </w:pPr>
          </w:p>
        </w:tc>
      </w:tr>
      <w:tr>
        <w:trPr>
          <w:trHeight w:val="331"/>
        </w:trPr>
        <w:tc>
          <w:tcPr>
            <w:tcW w:w="116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alibri" w:cs="Calibri" w:eastAsia="Calibri" w:hAnsi="Calibri"/>
                <w:sz w:val="16"/>
                <w:szCs w:val="16"/>
                <w:color w:val="auto"/>
              </w:rPr>
              <w:t>3.1</w:t>
            </w:r>
          </w:p>
        </w:tc>
        <w:tc>
          <w:tcPr>
            <w:tcW w:w="8820" w:type="dxa"/>
            <w:vAlign w:val="bottom"/>
          </w:tcPr>
          <w:p>
            <w:pPr>
              <w:ind w:left="100"/>
              <w:spacing w:after="0"/>
              <w:rPr>
                <w:sz w:val="20"/>
                <w:szCs w:val="20"/>
                <w:color w:val="auto"/>
              </w:rPr>
            </w:pPr>
            <w:r>
              <w:rPr>
                <w:rFonts w:ascii="Calibri" w:cs="Calibri" w:eastAsia="Calibri" w:hAnsi="Calibri"/>
                <w:sz w:val="16"/>
                <w:szCs w:val="16"/>
                <w:color w:val="auto"/>
              </w:rPr>
              <w:t>Amended and Restated Certificate of Formation of Matador Resources Company (incorporated by reference to Exhibit 3.2 to the</w:t>
            </w:r>
          </w:p>
        </w:tc>
        <w:tc>
          <w:tcPr>
            <w:tcW w:w="760" w:type="dxa"/>
            <w:vAlign w:val="bottom"/>
          </w:tcPr>
          <w:p>
            <w:pPr>
              <w:spacing w:after="0"/>
              <w:rPr>
                <w:sz w:val="24"/>
                <w:szCs w:val="24"/>
                <w:color w:val="auto"/>
              </w:rPr>
            </w:pPr>
          </w:p>
        </w:tc>
      </w:tr>
      <w:tr>
        <w:trPr>
          <w:trHeight w:val="189"/>
        </w:trPr>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Quarterly Report on Form 10-Q for the quarter ended June 30, 2017).</w:t>
            </w:r>
          </w:p>
        </w:tc>
        <w:tc>
          <w:tcPr>
            <w:tcW w:w="760" w:type="dxa"/>
            <w:vAlign w:val="bottom"/>
          </w:tcPr>
          <w:p>
            <w:pPr>
              <w:spacing w:after="0"/>
              <w:rPr>
                <w:sz w:val="16"/>
                <w:szCs w:val="16"/>
                <w:color w:val="auto"/>
              </w:rPr>
            </w:pPr>
          </w:p>
        </w:tc>
      </w:tr>
      <w:tr>
        <w:trPr>
          <w:trHeight w:val="313"/>
        </w:trPr>
        <w:tc>
          <w:tcPr>
            <w:tcW w:w="116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alibri" w:cs="Calibri" w:eastAsia="Calibri" w:hAnsi="Calibri"/>
                <w:sz w:val="16"/>
                <w:szCs w:val="16"/>
                <w:color w:val="auto"/>
              </w:rPr>
              <w:t>3.2</w:t>
            </w:r>
          </w:p>
        </w:tc>
        <w:tc>
          <w:tcPr>
            <w:tcW w:w="8820" w:type="dxa"/>
            <w:vAlign w:val="bottom"/>
          </w:tcPr>
          <w:p>
            <w:pPr>
              <w:ind w:left="100"/>
              <w:spacing w:after="0"/>
              <w:rPr>
                <w:sz w:val="20"/>
                <w:szCs w:val="20"/>
                <w:color w:val="auto"/>
              </w:rPr>
            </w:pPr>
            <w:r>
              <w:rPr>
                <w:rFonts w:ascii="Calibri" w:cs="Calibri" w:eastAsia="Calibri" w:hAnsi="Calibri"/>
                <w:sz w:val="16"/>
                <w:szCs w:val="16"/>
                <w:color w:val="auto"/>
              </w:rPr>
              <w:t>Certificate of Amendment to the Amended and Restated Certificate of Formation of Matador Resources Company dated April 2, 2015</w:t>
            </w:r>
          </w:p>
        </w:tc>
        <w:tc>
          <w:tcPr>
            <w:tcW w:w="760" w:type="dxa"/>
            <w:vAlign w:val="bottom"/>
          </w:tcPr>
          <w:p>
            <w:pPr>
              <w:spacing w:after="0"/>
              <w:rPr>
                <w:sz w:val="24"/>
                <w:szCs w:val="24"/>
                <w:color w:val="auto"/>
              </w:rPr>
            </w:pPr>
          </w:p>
        </w:tc>
      </w:tr>
      <w:tr>
        <w:trPr>
          <w:trHeight w:val="189"/>
        </w:trPr>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(incorporated by reference to Exhibit 3.3 to the Quarterly Report on Form 10-Q for the quarter ended June 30, 2017).</w:t>
            </w:r>
          </w:p>
        </w:tc>
        <w:tc>
          <w:tcPr>
            <w:tcW w:w="760" w:type="dxa"/>
            <w:vAlign w:val="bottom"/>
          </w:tcPr>
          <w:p>
            <w:pPr>
              <w:spacing w:after="0"/>
              <w:rPr>
                <w:sz w:val="16"/>
                <w:szCs w:val="16"/>
                <w:color w:val="auto"/>
              </w:rPr>
            </w:pPr>
          </w:p>
        </w:tc>
      </w:tr>
      <w:tr>
        <w:trPr>
          <w:trHeight w:val="313"/>
        </w:trPr>
        <w:tc>
          <w:tcPr>
            <w:tcW w:w="116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alibri" w:cs="Calibri" w:eastAsia="Calibri" w:hAnsi="Calibri"/>
                <w:sz w:val="16"/>
                <w:szCs w:val="16"/>
                <w:color w:val="auto"/>
              </w:rPr>
              <w:t>3.3</w:t>
            </w:r>
          </w:p>
        </w:tc>
        <w:tc>
          <w:tcPr>
            <w:tcW w:w="8820" w:type="dxa"/>
            <w:vAlign w:val="bottom"/>
          </w:tcPr>
          <w:p>
            <w:pPr>
              <w:ind w:left="100"/>
              <w:spacing w:after="0"/>
              <w:rPr>
                <w:sz w:val="20"/>
                <w:szCs w:val="20"/>
                <w:color w:val="auto"/>
              </w:rPr>
            </w:pPr>
            <w:r>
              <w:rPr>
                <w:rFonts w:ascii="Calibri" w:cs="Calibri" w:eastAsia="Calibri" w:hAnsi="Calibri"/>
                <w:sz w:val="16"/>
                <w:szCs w:val="16"/>
                <w:color w:val="auto"/>
              </w:rPr>
              <w:t>Certificate of Amendment to the Amended and Restated Certificate of Formation of Matador Resources Company effective June 2,</w:t>
            </w:r>
          </w:p>
        </w:tc>
        <w:tc>
          <w:tcPr>
            <w:tcW w:w="760" w:type="dxa"/>
            <w:vAlign w:val="bottom"/>
          </w:tcPr>
          <w:p>
            <w:pPr>
              <w:spacing w:after="0"/>
              <w:rPr>
                <w:sz w:val="24"/>
                <w:szCs w:val="24"/>
                <w:color w:val="auto"/>
              </w:rPr>
            </w:pPr>
          </w:p>
        </w:tc>
      </w:tr>
      <w:tr>
        <w:trPr>
          <w:trHeight w:val="189"/>
        </w:trPr>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2017 (incorporated by reference to Exhibit 3.4 to the Quarterly Report on Form 10-Q for the quarter ended June 30, 2017).</w:t>
            </w:r>
          </w:p>
        </w:tc>
        <w:tc>
          <w:tcPr>
            <w:tcW w:w="760" w:type="dxa"/>
            <w:vAlign w:val="bottom"/>
          </w:tcPr>
          <w:p>
            <w:pPr>
              <w:spacing w:after="0"/>
              <w:rPr>
                <w:sz w:val="16"/>
                <w:szCs w:val="16"/>
                <w:color w:val="auto"/>
              </w:rPr>
            </w:pPr>
          </w:p>
        </w:tc>
      </w:tr>
      <w:tr>
        <w:trPr>
          <w:trHeight w:val="313"/>
        </w:trPr>
        <w:tc>
          <w:tcPr>
            <w:tcW w:w="116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alibri" w:cs="Calibri" w:eastAsia="Calibri" w:hAnsi="Calibri"/>
                <w:sz w:val="16"/>
                <w:szCs w:val="16"/>
                <w:color w:val="auto"/>
              </w:rPr>
              <w:t>3.4</w:t>
            </w:r>
          </w:p>
        </w:tc>
        <w:tc>
          <w:tcPr>
            <w:tcW w:w="8820" w:type="dxa"/>
            <w:vAlign w:val="bottom"/>
          </w:tcPr>
          <w:p>
            <w:pPr>
              <w:ind w:left="100"/>
              <w:spacing w:after="0"/>
              <w:rPr>
                <w:sz w:val="20"/>
                <w:szCs w:val="20"/>
                <w:color w:val="auto"/>
              </w:rPr>
            </w:pPr>
            <w:r>
              <w:rPr>
                <w:rFonts w:ascii="Calibri" w:cs="Calibri" w:eastAsia="Calibri" w:hAnsi="Calibri"/>
                <w:sz w:val="16"/>
                <w:szCs w:val="16"/>
                <w:color w:val="auto"/>
              </w:rPr>
              <w:t>Amended and Restated Bylaws of Matador Resources Company, as amended (incorporated by reference to Exhibit 3.1 to the Current</w:t>
            </w:r>
          </w:p>
        </w:tc>
        <w:tc>
          <w:tcPr>
            <w:tcW w:w="760" w:type="dxa"/>
            <w:vAlign w:val="bottom"/>
          </w:tcPr>
          <w:p>
            <w:pPr>
              <w:spacing w:after="0"/>
              <w:rPr>
                <w:sz w:val="24"/>
                <w:szCs w:val="24"/>
                <w:color w:val="auto"/>
              </w:rPr>
            </w:pPr>
          </w:p>
        </w:tc>
      </w:tr>
      <w:tr>
        <w:trPr>
          <w:trHeight w:val="189"/>
        </w:trPr>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Report on Form 8-K filed on February 22, 2018).</w:t>
            </w:r>
          </w:p>
        </w:tc>
        <w:tc>
          <w:tcPr>
            <w:tcW w:w="760" w:type="dxa"/>
            <w:vAlign w:val="bottom"/>
          </w:tcPr>
          <w:p>
            <w:pPr>
              <w:spacing w:after="0"/>
              <w:rPr>
                <w:sz w:val="16"/>
                <w:szCs w:val="16"/>
                <w:color w:val="auto"/>
              </w:rPr>
            </w:pPr>
          </w:p>
        </w:tc>
      </w:tr>
      <w:tr>
        <w:trPr>
          <w:trHeight w:val="313"/>
        </w:trPr>
        <w:tc>
          <w:tcPr>
            <w:tcW w:w="116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alibri" w:cs="Calibri" w:eastAsia="Calibri" w:hAnsi="Calibri"/>
                <w:sz w:val="16"/>
                <w:szCs w:val="16"/>
                <w:color w:val="auto"/>
              </w:rPr>
              <w:t>4.1</w:t>
            </w:r>
          </w:p>
        </w:tc>
        <w:tc>
          <w:tcPr>
            <w:tcW w:w="8820" w:type="dxa"/>
            <w:vAlign w:val="bottom"/>
          </w:tcPr>
          <w:p>
            <w:pPr>
              <w:ind w:left="100"/>
              <w:spacing w:after="0"/>
              <w:rPr>
                <w:sz w:val="20"/>
                <w:szCs w:val="20"/>
                <w:color w:val="auto"/>
              </w:rPr>
            </w:pPr>
            <w:r>
              <w:rPr>
                <w:rFonts w:ascii="Calibri" w:cs="Calibri" w:eastAsia="Calibri" w:hAnsi="Calibri"/>
                <w:sz w:val="16"/>
                <w:szCs w:val="16"/>
                <w:color w:val="auto"/>
              </w:rPr>
              <w:t>Form of Common Stock Certificate (incorporated by reference to Exhibit 4.1 to Amendment No. 4 to the Registration Statement on</w:t>
            </w:r>
          </w:p>
        </w:tc>
        <w:tc>
          <w:tcPr>
            <w:tcW w:w="760" w:type="dxa"/>
            <w:vAlign w:val="bottom"/>
          </w:tcPr>
          <w:p>
            <w:pPr>
              <w:spacing w:after="0"/>
              <w:rPr>
                <w:sz w:val="24"/>
                <w:szCs w:val="24"/>
                <w:color w:val="auto"/>
              </w:rPr>
            </w:pPr>
          </w:p>
        </w:tc>
      </w:tr>
      <w:tr>
        <w:trPr>
          <w:trHeight w:val="189"/>
        </w:trPr>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Form S-1 filed on January 19, 2012).</w:t>
            </w:r>
          </w:p>
        </w:tc>
        <w:tc>
          <w:tcPr>
            <w:tcW w:w="760" w:type="dxa"/>
            <w:vAlign w:val="bottom"/>
          </w:tcPr>
          <w:p>
            <w:pPr>
              <w:spacing w:after="0"/>
              <w:rPr>
                <w:sz w:val="16"/>
                <w:szCs w:val="16"/>
                <w:color w:val="auto"/>
              </w:rPr>
            </w:pPr>
          </w:p>
        </w:tc>
      </w:tr>
      <w:tr>
        <w:trPr>
          <w:trHeight w:val="313"/>
        </w:trPr>
        <w:tc>
          <w:tcPr>
            <w:tcW w:w="116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alibri" w:cs="Calibri" w:eastAsia="Calibri" w:hAnsi="Calibri"/>
                <w:sz w:val="16"/>
                <w:szCs w:val="16"/>
                <w:color w:val="auto"/>
              </w:rPr>
              <w:t>4.2</w:t>
            </w:r>
          </w:p>
        </w:tc>
        <w:tc>
          <w:tcPr>
            <w:tcW w:w="8820" w:type="dxa"/>
            <w:vAlign w:val="bottom"/>
          </w:tcPr>
          <w:p>
            <w:pPr>
              <w:ind w:left="100"/>
              <w:spacing w:after="0"/>
              <w:rPr>
                <w:sz w:val="20"/>
                <w:szCs w:val="20"/>
                <w:color w:val="auto"/>
              </w:rPr>
            </w:pPr>
            <w:r>
              <w:rPr>
                <w:rFonts w:ascii="Calibri" w:cs="Calibri" w:eastAsia="Calibri" w:hAnsi="Calibri"/>
                <w:sz w:val="16"/>
                <w:szCs w:val="16"/>
                <w:color w:val="auto"/>
              </w:rPr>
              <w:t>Indenture, dated as of April 11, 2023, by and among Matador Resources Company, the subsidiary guarantors party thereto and</w:t>
            </w:r>
          </w:p>
        </w:tc>
        <w:tc>
          <w:tcPr>
            <w:tcW w:w="760" w:type="dxa"/>
            <w:vAlign w:val="bottom"/>
          </w:tcPr>
          <w:p>
            <w:pPr>
              <w:spacing w:after="0"/>
              <w:rPr>
                <w:sz w:val="24"/>
                <w:szCs w:val="24"/>
                <w:color w:val="auto"/>
              </w:rPr>
            </w:pPr>
          </w:p>
        </w:tc>
      </w:tr>
      <w:tr>
        <w:trPr>
          <w:trHeight w:val="189"/>
        </w:trPr>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Computershare Trust Company, N.A., as trustee (incorporated by reference to Exhibit 4.1 to the Current Report on Form 8-K filed on</w:t>
            </w:r>
          </w:p>
        </w:tc>
        <w:tc>
          <w:tcPr>
            <w:tcW w:w="760" w:type="dxa"/>
            <w:vAlign w:val="bottom"/>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April 11, 2023).</w:t>
            </w:r>
          </w:p>
        </w:tc>
        <w:tc>
          <w:tcPr>
            <w:tcW w:w="760" w:type="dxa"/>
            <w:vAlign w:val="bottom"/>
          </w:tcPr>
          <w:p>
            <w:pPr>
              <w:spacing w:after="0"/>
              <w:rPr>
                <w:sz w:val="16"/>
                <w:szCs w:val="16"/>
                <w:color w:val="auto"/>
              </w:rPr>
            </w:pPr>
          </w:p>
        </w:tc>
      </w:tr>
      <w:tr>
        <w:trPr>
          <w:trHeight w:val="331"/>
        </w:trPr>
        <w:tc>
          <w:tcPr>
            <w:tcW w:w="116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alibri" w:cs="Calibri" w:eastAsia="Calibri" w:hAnsi="Calibri"/>
                <w:sz w:val="16"/>
                <w:szCs w:val="16"/>
                <w:color w:val="auto"/>
              </w:rPr>
              <w:t>4.3</w:t>
            </w:r>
          </w:p>
        </w:tc>
        <w:tc>
          <w:tcPr>
            <w:tcW w:w="8820" w:type="dxa"/>
            <w:vAlign w:val="bottom"/>
          </w:tcPr>
          <w:p>
            <w:pPr>
              <w:ind w:left="100"/>
              <w:spacing w:after="0"/>
              <w:rPr>
                <w:sz w:val="20"/>
                <w:szCs w:val="20"/>
                <w:color w:val="auto"/>
              </w:rPr>
            </w:pPr>
            <w:r>
              <w:rPr>
                <w:rFonts w:ascii="Calibri" w:cs="Calibri" w:eastAsia="Calibri" w:hAnsi="Calibri"/>
                <w:sz w:val="16"/>
                <w:szCs w:val="16"/>
                <w:color w:val="auto"/>
              </w:rPr>
              <w:t>First Supplemental Indenture, dated as of July 25, 2023, by and among Matador Resources Company, MRC Hat Mesa, LLC, the</w:t>
            </w:r>
          </w:p>
        </w:tc>
        <w:tc>
          <w:tcPr>
            <w:tcW w:w="760" w:type="dxa"/>
            <w:vAlign w:val="bottom"/>
          </w:tcPr>
          <w:p>
            <w:pPr>
              <w:spacing w:after="0"/>
              <w:rPr>
                <w:sz w:val="24"/>
                <w:szCs w:val="24"/>
                <w:color w:val="auto"/>
              </w:rPr>
            </w:pPr>
          </w:p>
        </w:tc>
      </w:tr>
      <w:tr>
        <w:trPr>
          <w:trHeight w:val="189"/>
        </w:trPr>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subsidiary guarantors party thereto and Computershare Trust Company, N.A., as trustee (incorporated by reference to Exhibit 4.3 to</w:t>
            </w:r>
          </w:p>
        </w:tc>
        <w:tc>
          <w:tcPr>
            <w:tcW w:w="760" w:type="dxa"/>
            <w:vAlign w:val="bottom"/>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the Quarterly Report on Form 10-Q for the quarter ended June 30, 2023).</w:t>
            </w:r>
          </w:p>
        </w:tc>
        <w:tc>
          <w:tcPr>
            <w:tcW w:w="760" w:type="dxa"/>
            <w:vAlign w:val="bottom"/>
          </w:tcPr>
          <w:p>
            <w:pPr>
              <w:spacing w:after="0"/>
              <w:rPr>
                <w:sz w:val="16"/>
                <w:szCs w:val="16"/>
                <w:color w:val="auto"/>
              </w:rPr>
            </w:pPr>
          </w:p>
        </w:tc>
      </w:tr>
      <w:tr>
        <w:trPr>
          <w:trHeight w:val="331"/>
        </w:trPr>
        <w:tc>
          <w:tcPr>
            <w:tcW w:w="116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alibri" w:cs="Calibri" w:eastAsia="Calibri" w:hAnsi="Calibri"/>
                <w:sz w:val="16"/>
                <w:szCs w:val="16"/>
                <w:color w:val="auto"/>
              </w:rPr>
              <w:t>4.4</w:t>
            </w:r>
          </w:p>
        </w:tc>
        <w:tc>
          <w:tcPr>
            <w:tcW w:w="8820" w:type="dxa"/>
            <w:vAlign w:val="bottom"/>
          </w:tcPr>
          <w:p>
            <w:pPr>
              <w:ind w:left="100"/>
              <w:spacing w:after="0"/>
              <w:rPr>
                <w:sz w:val="20"/>
                <w:szCs w:val="20"/>
                <w:color w:val="auto"/>
              </w:rPr>
            </w:pPr>
            <w:r>
              <w:rPr>
                <w:rFonts w:ascii="Calibri" w:cs="Calibri" w:eastAsia="Calibri" w:hAnsi="Calibri"/>
                <w:sz w:val="16"/>
                <w:szCs w:val="16"/>
                <w:color w:val="auto"/>
              </w:rPr>
              <w:t>Indenture, dated as of April 2, 2024, by and among Matador Resources Company, the subsidiary guarantors party thereto and U.S.</w:t>
            </w:r>
          </w:p>
        </w:tc>
        <w:tc>
          <w:tcPr>
            <w:tcW w:w="760" w:type="dxa"/>
            <w:vAlign w:val="bottom"/>
          </w:tcPr>
          <w:p>
            <w:pPr>
              <w:spacing w:after="0"/>
              <w:rPr>
                <w:sz w:val="24"/>
                <w:szCs w:val="24"/>
                <w:color w:val="auto"/>
              </w:rPr>
            </w:pPr>
          </w:p>
        </w:tc>
      </w:tr>
      <w:tr>
        <w:trPr>
          <w:trHeight w:val="189"/>
        </w:trPr>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w w:val="99"/>
              </w:rPr>
              <w:t>Bank Trust Company, National Association, as trustee (incorporated by reference to Exhibit 4.1 to the Current Report on Form 8-K filed</w:t>
            </w:r>
          </w:p>
        </w:tc>
        <w:tc>
          <w:tcPr>
            <w:tcW w:w="760" w:type="dxa"/>
            <w:vAlign w:val="bottom"/>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on April 2, 2024).</w:t>
            </w:r>
          </w:p>
        </w:tc>
        <w:tc>
          <w:tcPr>
            <w:tcW w:w="760" w:type="dxa"/>
            <w:vAlign w:val="bottom"/>
          </w:tcPr>
          <w:p>
            <w:pPr>
              <w:spacing w:after="0"/>
              <w:rPr>
                <w:sz w:val="16"/>
                <w:szCs w:val="16"/>
                <w:color w:val="auto"/>
              </w:rPr>
            </w:pPr>
          </w:p>
        </w:tc>
      </w:tr>
      <w:tr>
        <w:trPr>
          <w:trHeight w:val="331"/>
        </w:trPr>
        <w:tc>
          <w:tcPr>
            <w:tcW w:w="116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alibri" w:cs="Calibri" w:eastAsia="Calibri" w:hAnsi="Calibri"/>
                <w:sz w:val="16"/>
                <w:szCs w:val="16"/>
                <w:color w:val="auto"/>
              </w:rPr>
              <w:t>4.5</w:t>
            </w:r>
          </w:p>
        </w:tc>
        <w:tc>
          <w:tcPr>
            <w:tcW w:w="8820" w:type="dxa"/>
            <w:vAlign w:val="bottom"/>
          </w:tcPr>
          <w:p>
            <w:pPr>
              <w:ind w:left="100"/>
              <w:spacing w:after="0"/>
              <w:rPr>
                <w:sz w:val="20"/>
                <w:szCs w:val="20"/>
                <w:color w:val="auto"/>
              </w:rPr>
            </w:pPr>
            <w:r>
              <w:rPr>
                <w:rFonts w:ascii="Calibri" w:cs="Calibri" w:eastAsia="Calibri" w:hAnsi="Calibri"/>
                <w:sz w:val="16"/>
                <w:szCs w:val="16"/>
                <w:color w:val="auto"/>
              </w:rPr>
              <w:t>First Supplemental Indenture, dated as of September 20, 2024, by and among MRC Toro, LLC, the subsidiary guarantors party thereto</w:t>
            </w:r>
          </w:p>
        </w:tc>
        <w:tc>
          <w:tcPr>
            <w:tcW w:w="760" w:type="dxa"/>
            <w:vAlign w:val="bottom"/>
          </w:tcPr>
          <w:p>
            <w:pPr>
              <w:spacing w:after="0"/>
              <w:rPr>
                <w:sz w:val="24"/>
                <w:szCs w:val="24"/>
                <w:color w:val="auto"/>
              </w:rPr>
            </w:pPr>
          </w:p>
        </w:tc>
      </w:tr>
      <w:tr>
        <w:trPr>
          <w:trHeight w:val="189"/>
        </w:trPr>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and U.S. Bank Trust Company, National Association, as trustee (incorporated by reference to Exhibit 4.2 to the Quarterly Report on</w:t>
            </w:r>
          </w:p>
        </w:tc>
        <w:tc>
          <w:tcPr>
            <w:tcW w:w="760" w:type="dxa"/>
            <w:vAlign w:val="bottom"/>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Form 10-Q for the quarter ended September 30, 2024).</w:t>
            </w:r>
          </w:p>
        </w:tc>
        <w:tc>
          <w:tcPr>
            <w:tcW w:w="760" w:type="dxa"/>
            <w:vAlign w:val="bottom"/>
          </w:tcPr>
          <w:p>
            <w:pPr>
              <w:spacing w:after="0"/>
              <w:rPr>
                <w:sz w:val="16"/>
                <w:szCs w:val="16"/>
                <w:color w:val="auto"/>
              </w:rPr>
            </w:pPr>
          </w:p>
        </w:tc>
      </w:tr>
      <w:tr>
        <w:trPr>
          <w:trHeight w:val="331"/>
        </w:trPr>
        <w:tc>
          <w:tcPr>
            <w:tcW w:w="116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alibri" w:cs="Calibri" w:eastAsia="Calibri" w:hAnsi="Calibri"/>
                <w:sz w:val="16"/>
                <w:szCs w:val="16"/>
                <w:color w:val="auto"/>
              </w:rPr>
              <w:t>4.6</w:t>
            </w:r>
          </w:p>
        </w:tc>
        <w:tc>
          <w:tcPr>
            <w:tcW w:w="8820" w:type="dxa"/>
            <w:vAlign w:val="bottom"/>
          </w:tcPr>
          <w:p>
            <w:pPr>
              <w:ind w:left="100"/>
              <w:spacing w:after="0"/>
              <w:rPr>
                <w:sz w:val="20"/>
                <w:szCs w:val="20"/>
                <w:color w:val="auto"/>
              </w:rPr>
            </w:pPr>
            <w:r>
              <w:rPr>
                <w:rFonts w:ascii="Calibri" w:cs="Calibri" w:eastAsia="Calibri" w:hAnsi="Calibri"/>
                <w:sz w:val="16"/>
                <w:szCs w:val="16"/>
                <w:color w:val="auto"/>
              </w:rPr>
              <w:t>Second Supplemental Indenture, dated as of September 20, 2024, by and among MRC Toro, LLC, the subsidiary guarantors party</w:t>
            </w:r>
          </w:p>
        </w:tc>
        <w:tc>
          <w:tcPr>
            <w:tcW w:w="760" w:type="dxa"/>
            <w:vAlign w:val="bottom"/>
          </w:tcPr>
          <w:p>
            <w:pPr>
              <w:spacing w:after="0"/>
              <w:rPr>
                <w:sz w:val="24"/>
                <w:szCs w:val="24"/>
                <w:color w:val="auto"/>
              </w:rPr>
            </w:pPr>
          </w:p>
        </w:tc>
      </w:tr>
      <w:tr>
        <w:trPr>
          <w:trHeight w:val="189"/>
        </w:trPr>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w w:val="99"/>
              </w:rPr>
              <w:t>thereto and Computershare Trust Company, N.A., as trustee (incorporated by reference to Exhibit 4.3 to the Quarterly Report on Form</w:t>
            </w:r>
          </w:p>
        </w:tc>
        <w:tc>
          <w:tcPr>
            <w:tcW w:w="760" w:type="dxa"/>
            <w:vAlign w:val="bottom"/>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10-Q for the quarter ended September 30, 2024).</w:t>
            </w:r>
          </w:p>
        </w:tc>
        <w:tc>
          <w:tcPr>
            <w:tcW w:w="760" w:type="dxa"/>
            <w:vAlign w:val="bottom"/>
          </w:tcPr>
          <w:p>
            <w:pPr>
              <w:spacing w:after="0"/>
              <w:rPr>
                <w:sz w:val="16"/>
                <w:szCs w:val="16"/>
                <w:color w:val="auto"/>
              </w:rPr>
            </w:pPr>
          </w:p>
        </w:tc>
      </w:tr>
      <w:tr>
        <w:trPr>
          <w:trHeight w:val="331"/>
        </w:trPr>
        <w:tc>
          <w:tcPr>
            <w:tcW w:w="116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alibri" w:cs="Calibri" w:eastAsia="Calibri" w:hAnsi="Calibri"/>
                <w:sz w:val="16"/>
                <w:szCs w:val="16"/>
                <w:color w:val="auto"/>
              </w:rPr>
              <w:t>4.7</w:t>
            </w:r>
          </w:p>
        </w:tc>
        <w:tc>
          <w:tcPr>
            <w:tcW w:w="8820" w:type="dxa"/>
            <w:vAlign w:val="bottom"/>
          </w:tcPr>
          <w:p>
            <w:pPr>
              <w:ind w:left="100"/>
              <w:spacing w:after="0"/>
              <w:rPr>
                <w:sz w:val="20"/>
                <w:szCs w:val="20"/>
                <w:color w:val="auto"/>
              </w:rPr>
            </w:pPr>
            <w:r>
              <w:rPr>
                <w:rFonts w:ascii="Calibri" w:cs="Calibri" w:eastAsia="Calibri" w:hAnsi="Calibri"/>
                <w:sz w:val="16"/>
                <w:szCs w:val="16"/>
                <w:color w:val="auto"/>
              </w:rPr>
              <w:t>Indenture, dated as of September 25, 2024, by and among Matador Resources Company, the subsidiary guarantors party thereto and</w:t>
            </w:r>
          </w:p>
        </w:tc>
        <w:tc>
          <w:tcPr>
            <w:tcW w:w="760" w:type="dxa"/>
            <w:vAlign w:val="bottom"/>
          </w:tcPr>
          <w:p>
            <w:pPr>
              <w:spacing w:after="0"/>
              <w:rPr>
                <w:sz w:val="24"/>
                <w:szCs w:val="24"/>
                <w:color w:val="auto"/>
              </w:rPr>
            </w:pPr>
          </w:p>
        </w:tc>
      </w:tr>
      <w:tr>
        <w:trPr>
          <w:trHeight w:val="189"/>
        </w:trPr>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w w:val="99"/>
              </w:rPr>
              <w:t>U.S. Bank Trust Company, National Association, as trustee (incorporated by reference to Exhibit 4.1 to the Current Report on Form 8-K</w:t>
            </w:r>
          </w:p>
        </w:tc>
        <w:tc>
          <w:tcPr>
            <w:tcW w:w="760" w:type="dxa"/>
            <w:vAlign w:val="bottom"/>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filed on September 25, 2024).</w:t>
            </w:r>
          </w:p>
        </w:tc>
        <w:tc>
          <w:tcPr>
            <w:tcW w:w="760" w:type="dxa"/>
            <w:vAlign w:val="bottom"/>
          </w:tcPr>
          <w:p>
            <w:pPr>
              <w:spacing w:after="0"/>
              <w:rPr>
                <w:sz w:val="16"/>
                <w:szCs w:val="16"/>
                <w:color w:val="auto"/>
              </w:rPr>
            </w:pPr>
          </w:p>
        </w:tc>
      </w:tr>
      <w:tr>
        <w:trPr>
          <w:trHeight w:val="331"/>
        </w:trPr>
        <w:tc>
          <w:tcPr>
            <w:tcW w:w="116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alibri" w:cs="Calibri" w:eastAsia="Calibri" w:hAnsi="Calibri"/>
                <w:sz w:val="16"/>
                <w:szCs w:val="16"/>
                <w:color w:val="auto"/>
              </w:rPr>
              <w:t>4.8</w:t>
            </w:r>
          </w:p>
        </w:tc>
        <w:tc>
          <w:tcPr>
            <w:tcW w:w="8820" w:type="dxa"/>
            <w:vAlign w:val="bottom"/>
          </w:tcPr>
          <w:p>
            <w:pPr>
              <w:ind w:left="100"/>
              <w:spacing w:after="0"/>
              <w:rPr>
                <w:sz w:val="20"/>
                <w:szCs w:val="20"/>
                <w:color w:val="auto"/>
              </w:rPr>
            </w:pPr>
            <w:r>
              <w:rPr>
                <w:rFonts w:ascii="Calibri" w:cs="Calibri" w:eastAsia="Calibri" w:hAnsi="Calibri"/>
                <w:sz w:val="16"/>
                <w:szCs w:val="16"/>
                <w:color w:val="auto"/>
              </w:rPr>
              <w:t>First Supplemental Indenture, dated as of March 18, 2025, by and among Matador Resources Company, MRC Royalties, LLC, the</w:t>
            </w:r>
          </w:p>
        </w:tc>
        <w:tc>
          <w:tcPr>
            <w:tcW w:w="760" w:type="dxa"/>
            <w:vAlign w:val="bottom"/>
          </w:tcPr>
          <w:p>
            <w:pPr>
              <w:spacing w:after="0"/>
              <w:rPr>
                <w:sz w:val="24"/>
                <w:szCs w:val="24"/>
                <w:color w:val="auto"/>
              </w:rPr>
            </w:pPr>
          </w:p>
        </w:tc>
      </w:tr>
      <w:tr>
        <w:trPr>
          <w:trHeight w:val="189"/>
        </w:trPr>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existing subsidiary guarantors and U.S. Bank Trust Company, National Association, as trustee (incorporated by reference to Exhibit 4.1</w:t>
            </w:r>
          </w:p>
        </w:tc>
        <w:tc>
          <w:tcPr>
            <w:tcW w:w="760" w:type="dxa"/>
            <w:vAlign w:val="bottom"/>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to the Quarterly Report on Form 10-Q for the quarter ended March 31, 2025).</w:t>
            </w:r>
          </w:p>
        </w:tc>
        <w:tc>
          <w:tcPr>
            <w:tcW w:w="7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-8030210</wp:posOffset>
                </wp:positionV>
                <wp:extent cx="6811645" cy="0"/>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40" o:spid="_x0000_s12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32.2999pt" to="536.35pt,-632.2999pt" o:allowincell="f" strokecolor="#000000" strokeweight="0pt"/>
            </w:pict>
          </mc:Fallback>
        </mc:AlternateContent>
      </w:r>
    </w:p>
    <w:p>
      <w:pPr>
        <w:sectPr>
          <w:pgSz w:w="11880" w:h="15480" w:orient="portrait"/>
          <w:cols w:equalWidth="0" w:num="1">
            <w:col w:w="11480"/>
          </w:cols>
          <w:pgMar w:left="0" w:top="498"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980"/>
        <w:spacing w:after="0"/>
        <w:rPr>
          <w:sz w:val="20"/>
          <w:szCs w:val="20"/>
          <w:color w:val="auto"/>
        </w:rPr>
      </w:pPr>
      <w:r>
        <w:rPr>
          <w:rFonts w:ascii="Calibri" w:cs="Calibri" w:eastAsia="Calibri" w:hAnsi="Calibri"/>
          <w:sz w:val="17"/>
          <w:szCs w:val="17"/>
          <w:color w:val="auto"/>
        </w:rPr>
        <w:t>FORM 10-K PART IV</w:t>
      </w:r>
    </w:p>
    <w:p>
      <w:pPr>
        <w:sectPr>
          <w:pgSz w:w="11880" w:h="15480" w:orient="portrait"/>
          <w:cols w:equalWidth="0" w:num="1">
            <w:col w:w="11480"/>
          </w:cols>
          <w:pgMar w:left="0" w:top="498" w:right="400" w:bottom="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220"/>
        </w:trPr>
        <w:tc>
          <w:tcPr>
            <w:tcW w:w="760" w:type="dxa"/>
            <w:vAlign w:val="bottom"/>
          </w:tcPr>
          <w:p>
            <w:pPr>
              <w:jc w:val="right"/>
              <w:ind w:right="391"/>
              <w:spacing w:after="0"/>
              <w:rPr>
                <w:sz w:val="20"/>
                <w:szCs w:val="20"/>
                <w:color w:val="auto"/>
              </w:rPr>
            </w:pPr>
            <w:r>
              <w:rPr>
                <w:rFonts w:ascii="Calibri" w:cs="Calibri" w:eastAsia="Calibri" w:hAnsi="Calibri"/>
                <w:sz w:val="18"/>
                <w:szCs w:val="18"/>
                <w:color w:val="auto"/>
                <w:w w:val="94"/>
              </w:rPr>
              <w:t>108</w:t>
            </w:r>
          </w:p>
        </w:tc>
        <w:tc>
          <w:tcPr>
            <w:tcW w:w="9560" w:type="dxa"/>
            <w:vAlign w:val="bottom"/>
            <w:gridSpan w:val="2"/>
          </w:tcPr>
          <w:p>
            <w:pPr>
              <w:ind w:left="40"/>
              <w:spacing w:after="0"/>
              <w:rPr>
                <w:sz w:val="20"/>
                <w:szCs w:val="20"/>
                <w:color w:val="auto"/>
              </w:rPr>
            </w:pPr>
            <w:r>
              <w:rPr>
                <w:rFonts w:ascii="Calibri" w:cs="Calibri" w:eastAsia="Calibri" w:hAnsi="Calibri"/>
                <w:sz w:val="18"/>
                <w:szCs w:val="18"/>
                <w:color w:val="auto"/>
              </w:rPr>
              <w:t>MATADOR RESOURCES COMPANY</w:t>
            </w:r>
          </w:p>
        </w:tc>
        <w:tc>
          <w:tcPr>
            <w:tcW w:w="1160" w:type="dxa"/>
            <w:vAlign w:val="bottom"/>
          </w:tcPr>
          <w:p>
            <w:pPr>
              <w:spacing w:after="0"/>
              <w:rPr>
                <w:sz w:val="19"/>
                <w:szCs w:val="19"/>
                <w:color w:val="auto"/>
              </w:rPr>
            </w:pPr>
          </w:p>
        </w:tc>
      </w:tr>
      <w:tr>
        <w:trPr>
          <w:trHeight w:val="496"/>
        </w:trPr>
        <w:tc>
          <w:tcPr>
            <w:tcW w:w="760" w:type="dxa"/>
            <w:vAlign w:val="bottom"/>
          </w:tcPr>
          <w:p>
            <w:pPr>
              <w:spacing w:after="0"/>
              <w:rPr>
                <w:sz w:val="24"/>
                <w:szCs w:val="24"/>
                <w:color w:val="auto"/>
              </w:rPr>
            </w:pPr>
          </w:p>
        </w:tc>
        <w:tc>
          <w:tcPr>
            <w:tcW w:w="740" w:type="dxa"/>
            <w:vAlign w:val="bottom"/>
            <w:tcBorders>
              <w:bottom w:val="single" w:sz="8" w:color="214E93"/>
            </w:tcBorders>
          </w:tcPr>
          <w:p>
            <w:pPr>
              <w:spacing w:after="0"/>
              <w:rPr>
                <w:sz w:val="24"/>
                <w:szCs w:val="24"/>
                <w:color w:val="auto"/>
              </w:rPr>
            </w:pPr>
          </w:p>
        </w:tc>
        <w:tc>
          <w:tcPr>
            <w:tcW w:w="8820" w:type="dxa"/>
            <w:vAlign w:val="bottom"/>
            <w:tcBorders>
              <w:bottom w:val="single" w:sz="8" w:color="214E93"/>
            </w:tcBorders>
          </w:tcPr>
          <w:p>
            <w:pPr>
              <w:spacing w:after="0"/>
              <w:rPr>
                <w:sz w:val="24"/>
                <w:szCs w:val="24"/>
                <w:color w:val="auto"/>
              </w:rPr>
            </w:pPr>
          </w:p>
        </w:tc>
        <w:tc>
          <w:tcPr>
            <w:tcW w:w="1160" w:type="dxa"/>
            <w:vAlign w:val="bottom"/>
            <w:tcBorders>
              <w:bottom w:val="single" w:sz="8" w:color="214E93"/>
            </w:tcBorders>
          </w:tcPr>
          <w:p>
            <w:pPr>
              <w:spacing w:after="0"/>
              <w:rPr>
                <w:sz w:val="24"/>
                <w:szCs w:val="24"/>
                <w:color w:val="auto"/>
              </w:rPr>
            </w:pPr>
          </w:p>
        </w:tc>
      </w:tr>
      <w:tr>
        <w:trPr>
          <w:trHeight w:val="389"/>
        </w:trPr>
        <w:tc>
          <w:tcPr>
            <w:tcW w:w="76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alibri" w:cs="Calibri" w:eastAsia="Calibri" w:hAnsi="Calibri"/>
                <w:sz w:val="17"/>
                <w:szCs w:val="17"/>
                <w:b w:val="1"/>
                <w:bCs w:val="1"/>
                <w:color w:val="auto"/>
              </w:rPr>
              <w:t>Exhibit</w:t>
            </w:r>
          </w:p>
        </w:tc>
        <w:tc>
          <w:tcPr>
            <w:tcW w:w="88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9"/>
        </w:trPr>
        <w:tc>
          <w:tcPr>
            <w:tcW w:w="760" w:type="dxa"/>
            <w:vAlign w:val="bottom"/>
          </w:tcPr>
          <w:p>
            <w:pPr>
              <w:spacing w:after="0"/>
              <w:rPr>
                <w:sz w:val="18"/>
                <w:szCs w:val="18"/>
                <w:color w:val="auto"/>
              </w:rPr>
            </w:pPr>
          </w:p>
        </w:tc>
        <w:tc>
          <w:tcPr>
            <w:tcW w:w="740" w:type="dxa"/>
            <w:vAlign w:val="bottom"/>
          </w:tcPr>
          <w:p>
            <w:pPr>
              <w:ind w:left="40"/>
              <w:spacing w:after="0" w:line="201" w:lineRule="exact"/>
              <w:rPr>
                <w:sz w:val="20"/>
                <w:szCs w:val="20"/>
                <w:color w:val="auto"/>
              </w:rPr>
            </w:pPr>
            <w:r>
              <w:rPr>
                <w:rFonts w:ascii="Calibri" w:cs="Calibri" w:eastAsia="Calibri" w:hAnsi="Calibri"/>
                <w:sz w:val="17"/>
                <w:szCs w:val="17"/>
                <w:b w:val="1"/>
                <w:bCs w:val="1"/>
                <w:color w:val="auto"/>
              </w:rPr>
              <w:t>Number</w:t>
            </w:r>
          </w:p>
        </w:tc>
        <w:tc>
          <w:tcPr>
            <w:tcW w:w="8820" w:type="dxa"/>
            <w:vAlign w:val="bottom"/>
          </w:tcPr>
          <w:p>
            <w:pPr>
              <w:ind w:left="100"/>
              <w:spacing w:after="0"/>
              <w:rPr>
                <w:sz w:val="20"/>
                <w:szCs w:val="20"/>
                <w:color w:val="auto"/>
              </w:rPr>
            </w:pPr>
            <w:r>
              <w:rPr>
                <w:rFonts w:ascii="Calibri" w:cs="Calibri" w:eastAsia="Calibri" w:hAnsi="Calibri"/>
                <w:sz w:val="17"/>
                <w:szCs w:val="17"/>
                <w:b w:val="1"/>
                <w:bCs w:val="1"/>
                <w:color w:val="auto"/>
              </w:rPr>
              <w:t>Description</w:t>
            </w:r>
          </w:p>
        </w:tc>
        <w:tc>
          <w:tcPr>
            <w:tcW w:w="1160" w:type="dxa"/>
            <w:vAlign w:val="bottom"/>
          </w:tcPr>
          <w:p>
            <w:pPr>
              <w:spacing w:after="0"/>
              <w:rPr>
                <w:sz w:val="18"/>
                <w:szCs w:val="18"/>
                <w:color w:val="auto"/>
              </w:rPr>
            </w:pPr>
          </w:p>
        </w:tc>
      </w:tr>
      <w:tr>
        <w:trPr>
          <w:trHeight w:val="29"/>
        </w:trPr>
        <w:tc>
          <w:tcPr>
            <w:tcW w:w="760" w:type="dxa"/>
            <w:vAlign w:val="bottom"/>
          </w:tcPr>
          <w:p>
            <w:pPr>
              <w:spacing w:after="0"/>
              <w:rPr>
                <w:sz w:val="2"/>
                <w:szCs w:val="2"/>
                <w:color w:val="auto"/>
              </w:rPr>
            </w:pPr>
          </w:p>
        </w:tc>
        <w:tc>
          <w:tcPr>
            <w:tcW w:w="740" w:type="dxa"/>
            <w:vAlign w:val="bottom"/>
            <w:tcBorders>
              <w:bottom w:val="single" w:sz="8" w:color="214E93"/>
            </w:tcBorders>
          </w:tcPr>
          <w:p>
            <w:pPr>
              <w:spacing w:after="0"/>
              <w:rPr>
                <w:sz w:val="2"/>
                <w:szCs w:val="2"/>
                <w:color w:val="auto"/>
              </w:rPr>
            </w:pPr>
          </w:p>
        </w:tc>
        <w:tc>
          <w:tcPr>
            <w:tcW w:w="8820" w:type="dxa"/>
            <w:vAlign w:val="bottom"/>
            <w:tcBorders>
              <w:bottom w:val="single" w:sz="8" w:color="214E93"/>
            </w:tcBorders>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760" w:type="dxa"/>
            <w:vAlign w:val="bottom"/>
          </w:tcPr>
          <w:p>
            <w:pPr>
              <w:spacing w:after="0"/>
              <w:rPr>
                <w:sz w:val="22"/>
                <w:szCs w:val="22"/>
                <w:color w:val="auto"/>
              </w:rPr>
            </w:pPr>
          </w:p>
        </w:tc>
        <w:tc>
          <w:tcPr>
            <w:tcW w:w="740" w:type="dxa"/>
            <w:vAlign w:val="bottom"/>
          </w:tcPr>
          <w:p>
            <w:pPr>
              <w:ind w:left="40"/>
              <w:spacing w:after="0"/>
              <w:rPr>
                <w:sz w:val="20"/>
                <w:szCs w:val="20"/>
                <w:color w:val="auto"/>
              </w:rPr>
            </w:pPr>
            <w:r>
              <w:rPr>
                <w:rFonts w:ascii="Calibri" w:cs="Calibri" w:eastAsia="Calibri" w:hAnsi="Calibri"/>
                <w:sz w:val="16"/>
                <w:szCs w:val="16"/>
                <w:color w:val="auto"/>
              </w:rPr>
              <w:t>4.9</w:t>
            </w:r>
          </w:p>
        </w:tc>
        <w:tc>
          <w:tcPr>
            <w:tcW w:w="8820" w:type="dxa"/>
            <w:vAlign w:val="bottom"/>
          </w:tcPr>
          <w:p>
            <w:pPr>
              <w:ind w:left="100"/>
              <w:spacing w:after="0"/>
              <w:rPr>
                <w:sz w:val="20"/>
                <w:szCs w:val="20"/>
                <w:color w:val="auto"/>
              </w:rPr>
            </w:pPr>
            <w:r>
              <w:rPr>
                <w:rFonts w:ascii="Calibri" w:cs="Calibri" w:eastAsia="Calibri" w:hAnsi="Calibri"/>
                <w:sz w:val="16"/>
                <w:szCs w:val="16"/>
                <w:color w:val="auto"/>
              </w:rPr>
              <w:t>Second Supplemental Indenture, dated as of March 18, 2025, by and among Matador Resources Company, MRC Royalties, LLC, the</w:t>
            </w:r>
          </w:p>
        </w:tc>
        <w:tc>
          <w:tcPr>
            <w:tcW w:w="1160" w:type="dxa"/>
            <w:vAlign w:val="bottom"/>
          </w:tcPr>
          <w:p>
            <w:pPr>
              <w:spacing w:after="0"/>
              <w:rPr>
                <w:sz w:val="22"/>
                <w:szCs w:val="22"/>
                <w:color w:val="auto"/>
              </w:rPr>
            </w:pPr>
          </w:p>
        </w:tc>
      </w:tr>
      <w:tr>
        <w:trPr>
          <w:trHeight w:val="189"/>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existing subsidiary guarantors and U.S. Bank Trust Company, National Association, as trustee (incorporated by reference to Exhibit 4.2</w:t>
            </w:r>
          </w:p>
        </w:tc>
        <w:tc>
          <w:tcPr>
            <w:tcW w:w="1160" w:type="dxa"/>
            <w:vAlign w:val="bottom"/>
          </w:tcPr>
          <w:p>
            <w:pPr>
              <w:spacing w:after="0"/>
              <w:rPr>
                <w:sz w:val="16"/>
                <w:szCs w:val="16"/>
                <w:color w:val="auto"/>
              </w:rPr>
            </w:pPr>
          </w:p>
        </w:tc>
      </w:tr>
      <w:tr>
        <w:trPr>
          <w:trHeight w:val="189"/>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to the Quarterly Report on Form 10-Q for the quarter ended March 31, 2025).</w:t>
            </w:r>
          </w:p>
        </w:tc>
        <w:tc>
          <w:tcPr>
            <w:tcW w:w="1160" w:type="dxa"/>
            <w:vAlign w:val="bottom"/>
          </w:tcPr>
          <w:p>
            <w:pPr>
              <w:spacing w:after="0"/>
              <w:rPr>
                <w:sz w:val="16"/>
                <w:szCs w:val="16"/>
                <w:color w:val="auto"/>
              </w:rPr>
            </w:pPr>
          </w:p>
        </w:tc>
      </w:tr>
      <w:tr>
        <w:trPr>
          <w:trHeight w:val="331"/>
        </w:trPr>
        <w:tc>
          <w:tcPr>
            <w:tcW w:w="76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alibri" w:cs="Calibri" w:eastAsia="Calibri" w:hAnsi="Calibri"/>
                <w:sz w:val="16"/>
                <w:szCs w:val="16"/>
                <w:color w:val="auto"/>
              </w:rPr>
              <w:t>4.10</w:t>
            </w:r>
          </w:p>
        </w:tc>
        <w:tc>
          <w:tcPr>
            <w:tcW w:w="8820" w:type="dxa"/>
            <w:vAlign w:val="bottom"/>
          </w:tcPr>
          <w:p>
            <w:pPr>
              <w:ind w:left="100"/>
              <w:spacing w:after="0"/>
              <w:rPr>
                <w:sz w:val="20"/>
                <w:szCs w:val="20"/>
                <w:color w:val="auto"/>
              </w:rPr>
            </w:pPr>
            <w:r>
              <w:rPr>
                <w:rFonts w:ascii="Calibri" w:cs="Calibri" w:eastAsia="Calibri" w:hAnsi="Calibri"/>
                <w:sz w:val="16"/>
                <w:szCs w:val="16"/>
                <w:color w:val="auto"/>
              </w:rPr>
              <w:t>Third Supplemental Indenture, dated as of March 18, 2025, by and among Matador Resources Company, MRC Royalties, LLC, the</w:t>
            </w:r>
          </w:p>
        </w:tc>
        <w:tc>
          <w:tcPr>
            <w:tcW w:w="1160" w:type="dxa"/>
            <w:vAlign w:val="bottom"/>
          </w:tcPr>
          <w:p>
            <w:pPr>
              <w:spacing w:after="0"/>
              <w:rPr>
                <w:sz w:val="24"/>
                <w:szCs w:val="24"/>
                <w:color w:val="auto"/>
              </w:rPr>
            </w:pPr>
          </w:p>
        </w:tc>
      </w:tr>
      <w:tr>
        <w:trPr>
          <w:trHeight w:val="189"/>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existing subsidiary guarantors and U.S. Bank Trust Company, National Association, as trustee (incorporated by reference to Exhibit 4.3</w:t>
            </w:r>
          </w:p>
        </w:tc>
        <w:tc>
          <w:tcPr>
            <w:tcW w:w="1160" w:type="dxa"/>
            <w:vAlign w:val="bottom"/>
          </w:tcPr>
          <w:p>
            <w:pPr>
              <w:spacing w:after="0"/>
              <w:rPr>
                <w:sz w:val="16"/>
                <w:szCs w:val="16"/>
                <w:color w:val="auto"/>
              </w:rPr>
            </w:pPr>
          </w:p>
        </w:tc>
      </w:tr>
      <w:tr>
        <w:trPr>
          <w:trHeight w:val="189"/>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to the Quarterly Report on Form 10-Q for the quarter ended March 31, 2025).</w:t>
            </w:r>
          </w:p>
        </w:tc>
        <w:tc>
          <w:tcPr>
            <w:tcW w:w="1160" w:type="dxa"/>
            <w:vAlign w:val="bottom"/>
          </w:tcPr>
          <w:p>
            <w:pPr>
              <w:spacing w:after="0"/>
              <w:rPr>
                <w:sz w:val="16"/>
                <w:szCs w:val="16"/>
                <w:color w:val="auto"/>
              </w:rPr>
            </w:pPr>
          </w:p>
        </w:tc>
      </w:tr>
      <w:tr>
        <w:trPr>
          <w:trHeight w:val="331"/>
        </w:trPr>
        <w:tc>
          <w:tcPr>
            <w:tcW w:w="76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alibri" w:cs="Calibri" w:eastAsia="Calibri" w:hAnsi="Calibri"/>
                <w:sz w:val="16"/>
                <w:szCs w:val="16"/>
                <w:color w:val="auto"/>
              </w:rPr>
              <w:t>4.11</w:t>
            </w:r>
          </w:p>
        </w:tc>
        <w:tc>
          <w:tcPr>
            <w:tcW w:w="8820" w:type="dxa"/>
            <w:vAlign w:val="bottom"/>
          </w:tcPr>
          <w:p>
            <w:pPr>
              <w:ind w:left="100"/>
              <w:spacing w:after="0"/>
              <w:rPr>
                <w:sz w:val="20"/>
                <w:szCs w:val="20"/>
                <w:color w:val="auto"/>
              </w:rPr>
            </w:pPr>
            <w:r>
              <w:rPr>
                <w:rFonts w:ascii="Calibri" w:cs="Calibri" w:eastAsia="Calibri" w:hAnsi="Calibri"/>
                <w:sz w:val="16"/>
                <w:szCs w:val="16"/>
                <w:color w:val="auto"/>
                <w:w w:val="99"/>
              </w:rPr>
              <w:t>Description of Capital Stock (incorporated by reference to Exhibit 4.4 to the Annual Report on Form 10-K for the year ended December</w:t>
            </w:r>
          </w:p>
        </w:tc>
        <w:tc>
          <w:tcPr>
            <w:tcW w:w="1160" w:type="dxa"/>
            <w:vAlign w:val="bottom"/>
          </w:tcPr>
          <w:p>
            <w:pPr>
              <w:spacing w:after="0"/>
              <w:rPr>
                <w:sz w:val="24"/>
                <w:szCs w:val="24"/>
                <w:color w:val="auto"/>
              </w:rPr>
            </w:pPr>
          </w:p>
        </w:tc>
      </w:tr>
      <w:tr>
        <w:trPr>
          <w:trHeight w:val="189"/>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31, 2019).</w:t>
            </w:r>
          </w:p>
        </w:tc>
        <w:tc>
          <w:tcPr>
            <w:tcW w:w="1160" w:type="dxa"/>
            <w:vAlign w:val="bottom"/>
          </w:tcPr>
          <w:p>
            <w:pPr>
              <w:spacing w:after="0"/>
              <w:rPr>
                <w:sz w:val="16"/>
                <w:szCs w:val="16"/>
                <w:color w:val="auto"/>
              </w:rPr>
            </w:pPr>
          </w:p>
        </w:tc>
      </w:tr>
      <w:tr>
        <w:trPr>
          <w:trHeight w:val="313"/>
        </w:trPr>
        <w:tc>
          <w:tcPr>
            <w:tcW w:w="76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alibri" w:cs="Calibri" w:eastAsia="Calibri" w:hAnsi="Calibri"/>
                <w:sz w:val="16"/>
                <w:szCs w:val="16"/>
                <w:color w:val="auto"/>
              </w:rPr>
              <w:t>10.1†</w:t>
            </w:r>
          </w:p>
        </w:tc>
        <w:tc>
          <w:tcPr>
            <w:tcW w:w="8820" w:type="dxa"/>
            <w:vAlign w:val="bottom"/>
          </w:tcPr>
          <w:p>
            <w:pPr>
              <w:ind w:left="100"/>
              <w:spacing w:after="0"/>
              <w:rPr>
                <w:sz w:val="20"/>
                <w:szCs w:val="20"/>
                <w:color w:val="auto"/>
              </w:rPr>
            </w:pPr>
            <w:r>
              <w:rPr>
                <w:rFonts w:ascii="Calibri" w:cs="Calibri" w:eastAsia="Calibri" w:hAnsi="Calibri"/>
                <w:sz w:val="16"/>
                <w:szCs w:val="16"/>
                <w:color w:val="auto"/>
              </w:rPr>
              <w:t>Employment Agreement between Matador Resources Company and Joseph Wm. Foran (incorporated by reference to Exhibit 10.3 to</w:t>
            </w:r>
          </w:p>
        </w:tc>
        <w:tc>
          <w:tcPr>
            <w:tcW w:w="1160" w:type="dxa"/>
            <w:vAlign w:val="bottom"/>
          </w:tcPr>
          <w:p>
            <w:pPr>
              <w:spacing w:after="0"/>
              <w:rPr>
                <w:sz w:val="24"/>
                <w:szCs w:val="24"/>
                <w:color w:val="auto"/>
              </w:rPr>
            </w:pPr>
          </w:p>
        </w:tc>
      </w:tr>
      <w:tr>
        <w:trPr>
          <w:trHeight w:val="189"/>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Amendment No. 1 to the Registration Statement on Form S-1 filed on November 14, 2011).</w:t>
            </w:r>
          </w:p>
        </w:tc>
        <w:tc>
          <w:tcPr>
            <w:tcW w:w="1160" w:type="dxa"/>
            <w:vAlign w:val="bottom"/>
          </w:tcPr>
          <w:p>
            <w:pPr>
              <w:spacing w:after="0"/>
              <w:rPr>
                <w:sz w:val="16"/>
                <w:szCs w:val="16"/>
                <w:color w:val="auto"/>
              </w:rPr>
            </w:pPr>
          </w:p>
        </w:tc>
      </w:tr>
      <w:tr>
        <w:trPr>
          <w:trHeight w:val="313"/>
        </w:trPr>
        <w:tc>
          <w:tcPr>
            <w:tcW w:w="76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alibri" w:cs="Calibri" w:eastAsia="Calibri" w:hAnsi="Calibri"/>
                <w:sz w:val="16"/>
                <w:szCs w:val="16"/>
                <w:color w:val="auto"/>
              </w:rPr>
              <w:t>10.2†</w:t>
            </w:r>
          </w:p>
        </w:tc>
        <w:tc>
          <w:tcPr>
            <w:tcW w:w="8820" w:type="dxa"/>
            <w:vAlign w:val="bottom"/>
          </w:tcPr>
          <w:p>
            <w:pPr>
              <w:ind w:left="100"/>
              <w:spacing w:after="0"/>
              <w:rPr>
                <w:sz w:val="20"/>
                <w:szCs w:val="20"/>
                <w:color w:val="auto"/>
              </w:rPr>
            </w:pPr>
            <w:r>
              <w:rPr>
                <w:rFonts w:ascii="Calibri" w:cs="Calibri" w:eastAsia="Calibri" w:hAnsi="Calibri"/>
                <w:sz w:val="16"/>
                <w:szCs w:val="16"/>
                <w:color w:val="auto"/>
              </w:rPr>
              <w:t>First Amendment to the Employment Agreement between Matador Resources Company and Joseph Wm. Foran (incorporated by</w:t>
            </w:r>
          </w:p>
        </w:tc>
        <w:tc>
          <w:tcPr>
            <w:tcW w:w="1160" w:type="dxa"/>
            <w:vAlign w:val="bottom"/>
          </w:tcPr>
          <w:p>
            <w:pPr>
              <w:spacing w:after="0"/>
              <w:rPr>
                <w:sz w:val="24"/>
                <w:szCs w:val="24"/>
                <w:color w:val="auto"/>
              </w:rPr>
            </w:pPr>
          </w:p>
        </w:tc>
      </w:tr>
      <w:tr>
        <w:trPr>
          <w:trHeight w:val="189"/>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reference to Exhibit 10.8 to Amendment No. 1 to the Registration Statement on Form S-1 filed on November 14, 2011).</w:t>
            </w:r>
          </w:p>
        </w:tc>
        <w:tc>
          <w:tcPr>
            <w:tcW w:w="1160" w:type="dxa"/>
            <w:vAlign w:val="bottom"/>
          </w:tcPr>
          <w:p>
            <w:pPr>
              <w:spacing w:after="0"/>
              <w:rPr>
                <w:sz w:val="16"/>
                <w:szCs w:val="16"/>
                <w:color w:val="auto"/>
              </w:rPr>
            </w:pPr>
          </w:p>
        </w:tc>
      </w:tr>
      <w:tr>
        <w:trPr>
          <w:trHeight w:val="313"/>
        </w:trPr>
        <w:tc>
          <w:tcPr>
            <w:tcW w:w="76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alibri" w:cs="Calibri" w:eastAsia="Calibri" w:hAnsi="Calibri"/>
                <w:sz w:val="16"/>
                <w:szCs w:val="16"/>
                <w:color w:val="auto"/>
              </w:rPr>
              <w:t>10.3†</w:t>
            </w:r>
          </w:p>
        </w:tc>
        <w:tc>
          <w:tcPr>
            <w:tcW w:w="8820" w:type="dxa"/>
            <w:vAlign w:val="bottom"/>
          </w:tcPr>
          <w:p>
            <w:pPr>
              <w:ind w:left="100"/>
              <w:spacing w:after="0"/>
              <w:rPr>
                <w:sz w:val="20"/>
                <w:szCs w:val="20"/>
                <w:color w:val="auto"/>
              </w:rPr>
            </w:pPr>
            <w:r>
              <w:rPr>
                <w:rFonts w:ascii="Calibri" w:cs="Calibri" w:eastAsia="Calibri" w:hAnsi="Calibri"/>
                <w:sz w:val="16"/>
                <w:szCs w:val="16"/>
                <w:color w:val="auto"/>
              </w:rPr>
              <w:t>Second Amendment to the Employment Agreement between Matador Resources Company and Joseph Wm. Foran (incorporated by</w:t>
            </w:r>
          </w:p>
        </w:tc>
        <w:tc>
          <w:tcPr>
            <w:tcW w:w="1160" w:type="dxa"/>
            <w:vAlign w:val="bottom"/>
          </w:tcPr>
          <w:p>
            <w:pPr>
              <w:spacing w:after="0"/>
              <w:rPr>
                <w:sz w:val="24"/>
                <w:szCs w:val="24"/>
                <w:color w:val="auto"/>
              </w:rPr>
            </w:pPr>
          </w:p>
        </w:tc>
      </w:tr>
      <w:tr>
        <w:trPr>
          <w:trHeight w:val="189"/>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reference to Exhibit 10.12 to Amendment No. 2 to the Registration Statement on Form S-1 filed on December 30, 2011).</w:t>
            </w:r>
          </w:p>
        </w:tc>
        <w:tc>
          <w:tcPr>
            <w:tcW w:w="1160" w:type="dxa"/>
            <w:vAlign w:val="bottom"/>
          </w:tcPr>
          <w:p>
            <w:pPr>
              <w:spacing w:after="0"/>
              <w:rPr>
                <w:sz w:val="16"/>
                <w:szCs w:val="16"/>
                <w:color w:val="auto"/>
              </w:rPr>
            </w:pPr>
          </w:p>
        </w:tc>
      </w:tr>
      <w:tr>
        <w:trPr>
          <w:trHeight w:val="313"/>
        </w:trPr>
        <w:tc>
          <w:tcPr>
            <w:tcW w:w="76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alibri" w:cs="Calibri" w:eastAsia="Calibri" w:hAnsi="Calibri"/>
                <w:sz w:val="16"/>
                <w:szCs w:val="16"/>
                <w:color w:val="auto"/>
              </w:rPr>
              <w:t>10.4†</w:t>
            </w:r>
          </w:p>
        </w:tc>
        <w:tc>
          <w:tcPr>
            <w:tcW w:w="8820" w:type="dxa"/>
            <w:vAlign w:val="bottom"/>
          </w:tcPr>
          <w:p>
            <w:pPr>
              <w:ind w:left="100"/>
              <w:spacing w:after="0"/>
              <w:rPr>
                <w:sz w:val="20"/>
                <w:szCs w:val="20"/>
                <w:color w:val="auto"/>
              </w:rPr>
            </w:pPr>
            <w:r>
              <w:rPr>
                <w:rFonts w:ascii="Calibri" w:cs="Calibri" w:eastAsia="Calibri" w:hAnsi="Calibri"/>
                <w:sz w:val="16"/>
                <w:szCs w:val="16"/>
                <w:color w:val="auto"/>
              </w:rPr>
              <w:t>Form of Employment Agreement between Matador Resources Company and Van H. Singleton, II, effective February 5, 2015</w:t>
            </w:r>
          </w:p>
        </w:tc>
        <w:tc>
          <w:tcPr>
            <w:tcW w:w="1160" w:type="dxa"/>
            <w:vAlign w:val="bottom"/>
          </w:tcPr>
          <w:p>
            <w:pPr>
              <w:spacing w:after="0"/>
              <w:rPr>
                <w:sz w:val="24"/>
                <w:szCs w:val="24"/>
                <w:color w:val="auto"/>
              </w:rPr>
            </w:pPr>
          </w:p>
        </w:tc>
      </w:tr>
      <w:tr>
        <w:trPr>
          <w:trHeight w:val="189"/>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(incorporated by reference to Exhibit 10.52 to the Annual Report on Form 10-K for the year ended December 31, 2014).</w:t>
            </w:r>
          </w:p>
        </w:tc>
        <w:tc>
          <w:tcPr>
            <w:tcW w:w="1160" w:type="dxa"/>
            <w:vAlign w:val="bottom"/>
          </w:tcPr>
          <w:p>
            <w:pPr>
              <w:spacing w:after="0"/>
              <w:rPr>
                <w:sz w:val="16"/>
                <w:szCs w:val="16"/>
                <w:color w:val="auto"/>
              </w:rPr>
            </w:pPr>
          </w:p>
        </w:tc>
      </w:tr>
      <w:tr>
        <w:trPr>
          <w:trHeight w:val="313"/>
        </w:trPr>
        <w:tc>
          <w:tcPr>
            <w:tcW w:w="76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alibri" w:cs="Calibri" w:eastAsia="Calibri" w:hAnsi="Calibri"/>
                <w:sz w:val="16"/>
                <w:szCs w:val="16"/>
                <w:color w:val="auto"/>
              </w:rPr>
              <w:t>10.5†</w:t>
            </w:r>
          </w:p>
        </w:tc>
        <w:tc>
          <w:tcPr>
            <w:tcW w:w="8820" w:type="dxa"/>
            <w:vAlign w:val="bottom"/>
          </w:tcPr>
          <w:p>
            <w:pPr>
              <w:ind w:left="100"/>
              <w:spacing w:after="0"/>
              <w:rPr>
                <w:sz w:val="20"/>
                <w:szCs w:val="20"/>
                <w:color w:val="auto"/>
              </w:rPr>
            </w:pPr>
            <w:r>
              <w:rPr>
                <w:rFonts w:ascii="Calibri" w:cs="Calibri" w:eastAsia="Calibri" w:hAnsi="Calibri"/>
                <w:sz w:val="16"/>
                <w:szCs w:val="16"/>
                <w:color w:val="auto"/>
                <w:w w:val="99"/>
              </w:rPr>
              <w:t>Form of Employment Agreement between Matador Resources Company and G. Gregg Krug, effective February 19, 2016 (incorporated</w:t>
            </w:r>
          </w:p>
        </w:tc>
        <w:tc>
          <w:tcPr>
            <w:tcW w:w="1160" w:type="dxa"/>
            <w:vAlign w:val="bottom"/>
          </w:tcPr>
          <w:p>
            <w:pPr>
              <w:spacing w:after="0"/>
              <w:rPr>
                <w:sz w:val="24"/>
                <w:szCs w:val="24"/>
                <w:color w:val="auto"/>
              </w:rPr>
            </w:pPr>
          </w:p>
        </w:tc>
      </w:tr>
      <w:tr>
        <w:trPr>
          <w:trHeight w:val="189"/>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by reference to Exhibit 10.1 to the Quarterly Report on Form 10-Q for the quarter ended March 31, 2017).</w:t>
            </w:r>
          </w:p>
        </w:tc>
        <w:tc>
          <w:tcPr>
            <w:tcW w:w="1160" w:type="dxa"/>
            <w:vAlign w:val="bottom"/>
          </w:tcPr>
          <w:p>
            <w:pPr>
              <w:spacing w:after="0"/>
              <w:rPr>
                <w:sz w:val="16"/>
                <w:szCs w:val="16"/>
                <w:color w:val="auto"/>
              </w:rPr>
            </w:pPr>
          </w:p>
        </w:tc>
      </w:tr>
      <w:tr>
        <w:trPr>
          <w:trHeight w:val="313"/>
        </w:trPr>
        <w:tc>
          <w:tcPr>
            <w:tcW w:w="76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alibri" w:cs="Calibri" w:eastAsia="Calibri" w:hAnsi="Calibri"/>
                <w:sz w:val="16"/>
                <w:szCs w:val="16"/>
                <w:color w:val="auto"/>
              </w:rPr>
              <w:t>10.6†</w:t>
            </w:r>
          </w:p>
        </w:tc>
        <w:tc>
          <w:tcPr>
            <w:tcW w:w="8820" w:type="dxa"/>
            <w:vAlign w:val="bottom"/>
          </w:tcPr>
          <w:p>
            <w:pPr>
              <w:ind w:left="100"/>
              <w:spacing w:after="0"/>
              <w:rPr>
                <w:sz w:val="20"/>
                <w:szCs w:val="20"/>
                <w:color w:val="auto"/>
              </w:rPr>
            </w:pPr>
            <w:r>
              <w:rPr>
                <w:rFonts w:ascii="Calibri" w:cs="Calibri" w:eastAsia="Calibri" w:hAnsi="Calibri"/>
                <w:sz w:val="16"/>
                <w:szCs w:val="16"/>
                <w:color w:val="auto"/>
                <w:w w:val="99"/>
              </w:rPr>
              <w:t>First Amendment to the Employment Agreement between Matador Resources Company and G. Gregg Krug (incorporated by reference</w:t>
            </w:r>
          </w:p>
        </w:tc>
        <w:tc>
          <w:tcPr>
            <w:tcW w:w="1160" w:type="dxa"/>
            <w:vAlign w:val="bottom"/>
          </w:tcPr>
          <w:p>
            <w:pPr>
              <w:spacing w:after="0"/>
              <w:rPr>
                <w:sz w:val="24"/>
                <w:szCs w:val="24"/>
                <w:color w:val="auto"/>
              </w:rPr>
            </w:pPr>
          </w:p>
        </w:tc>
      </w:tr>
      <w:tr>
        <w:trPr>
          <w:trHeight w:val="189"/>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to Exhibit 10.4 to the Quarterly Report on Form 10-Q for the quarter ended June 30, 2019).</w:t>
            </w:r>
          </w:p>
        </w:tc>
        <w:tc>
          <w:tcPr>
            <w:tcW w:w="1160" w:type="dxa"/>
            <w:vAlign w:val="bottom"/>
          </w:tcPr>
          <w:p>
            <w:pPr>
              <w:spacing w:after="0"/>
              <w:rPr>
                <w:sz w:val="16"/>
                <w:szCs w:val="16"/>
                <w:color w:val="auto"/>
              </w:rPr>
            </w:pPr>
          </w:p>
        </w:tc>
      </w:tr>
      <w:tr>
        <w:trPr>
          <w:trHeight w:val="313"/>
        </w:trPr>
        <w:tc>
          <w:tcPr>
            <w:tcW w:w="76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alibri" w:cs="Calibri" w:eastAsia="Calibri" w:hAnsi="Calibri"/>
                <w:sz w:val="16"/>
                <w:szCs w:val="16"/>
                <w:color w:val="auto"/>
              </w:rPr>
              <w:t>10.7†</w:t>
            </w:r>
          </w:p>
        </w:tc>
        <w:tc>
          <w:tcPr>
            <w:tcW w:w="8820" w:type="dxa"/>
            <w:vAlign w:val="bottom"/>
          </w:tcPr>
          <w:p>
            <w:pPr>
              <w:ind w:left="100"/>
              <w:spacing w:after="0"/>
              <w:rPr>
                <w:sz w:val="20"/>
                <w:szCs w:val="20"/>
                <w:color w:val="auto"/>
              </w:rPr>
            </w:pPr>
            <w:r>
              <w:rPr>
                <w:rFonts w:ascii="Calibri" w:cs="Calibri" w:eastAsia="Calibri" w:hAnsi="Calibri"/>
                <w:sz w:val="16"/>
                <w:szCs w:val="16"/>
                <w:color w:val="auto"/>
              </w:rPr>
              <w:t>Form of Employment Agreement between Matador Resources Company and Michael D. Frenzel (incorporated by reference to Exhibit</w:t>
            </w:r>
          </w:p>
        </w:tc>
        <w:tc>
          <w:tcPr>
            <w:tcW w:w="1160" w:type="dxa"/>
            <w:vAlign w:val="bottom"/>
          </w:tcPr>
          <w:p>
            <w:pPr>
              <w:spacing w:after="0"/>
              <w:rPr>
                <w:sz w:val="24"/>
                <w:szCs w:val="24"/>
                <w:color w:val="auto"/>
              </w:rPr>
            </w:pPr>
          </w:p>
        </w:tc>
      </w:tr>
      <w:tr>
        <w:trPr>
          <w:trHeight w:val="189"/>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20" w:type="dxa"/>
            <w:vAlign w:val="bottom"/>
          </w:tcPr>
          <w:p>
            <w:pPr>
              <w:ind w:left="100"/>
              <w:spacing w:after="0" w:line="189" w:lineRule="exact"/>
              <w:rPr>
                <w:sz w:val="20"/>
                <w:szCs w:val="20"/>
                <w:color w:val="auto"/>
              </w:rPr>
            </w:pPr>
            <w:r>
              <w:rPr>
                <w:rFonts w:ascii="Calibri" w:cs="Calibri" w:eastAsia="Calibri" w:hAnsi="Calibri"/>
                <w:sz w:val="16"/>
                <w:szCs w:val="16"/>
                <w:color w:val="auto"/>
              </w:rPr>
              <w:t>10.1 to the Quarterly Report on Form 10-Q for the quarter ended September 30, 2022).</w:t>
            </w:r>
          </w:p>
        </w:tc>
        <w:tc>
          <w:tcPr>
            <w:tcW w:w="11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477520</wp:posOffset>
                </wp:positionH>
                <wp:positionV relativeFrom="paragraph">
                  <wp:posOffset>-3836035</wp:posOffset>
                </wp:positionV>
                <wp:extent cx="6812280" cy="0"/>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41" o:spid="_x0000_s12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pt,-302.0499pt" to="574pt,-302.0499pt" o:allowincell="f" strokecolor="#000000" strokeweight="0pt"/>
            </w:pict>
          </mc:Fallback>
        </mc:AlternateContent>
      </w:r>
    </w:p>
    <w:p>
      <w:pPr>
        <w:sectPr>
          <w:pgSz w:w="11880" w:h="15480" w:orient="portrait"/>
          <w:cols w:equalWidth="0" w:num="1">
            <w:col w:w="11480"/>
          </w:cols>
          <w:pgMar w:left="400" w:top="498" w:right="0" w:bottom="0" w:gutter="0" w:footer="0" w:header="0"/>
        </w:sectPr>
      </w:pPr>
    </w:p>
    <w:p>
      <w:pPr>
        <w:spacing w:after="0" w:line="129" w:lineRule="exact"/>
        <w:rPr>
          <w:sz w:val="20"/>
          <w:szCs w:val="20"/>
          <w:color w:val="auto"/>
        </w:rPr>
      </w:pPr>
    </w:p>
    <w:p>
      <w:pPr>
        <w:ind w:left="800"/>
        <w:spacing w:after="0"/>
        <w:rPr>
          <w:sz w:val="20"/>
          <w:szCs w:val="20"/>
          <w:color w:val="auto"/>
        </w:rPr>
      </w:pPr>
      <w:r>
        <w:rPr>
          <w:rFonts w:ascii="Calibri" w:cs="Calibri" w:eastAsia="Calibri" w:hAnsi="Calibri"/>
          <w:sz w:val="15"/>
          <w:szCs w:val="15"/>
          <w:color w:val="auto"/>
        </w:rPr>
        <w:t>10.8†</w:t>
      </w:r>
    </w:p>
    <w:p>
      <w:pPr>
        <w:spacing w:after="0" w:line="200" w:lineRule="exact"/>
        <w:rPr>
          <w:sz w:val="20"/>
          <w:szCs w:val="20"/>
          <w:color w:val="auto"/>
        </w:rPr>
      </w:pPr>
    </w:p>
    <w:p>
      <w:pPr>
        <w:spacing w:after="0" w:line="325" w:lineRule="exact"/>
        <w:rPr>
          <w:sz w:val="20"/>
          <w:szCs w:val="20"/>
          <w:color w:val="auto"/>
        </w:rPr>
      </w:pPr>
    </w:p>
    <w:p>
      <w:pPr>
        <w:ind w:left="800"/>
        <w:spacing w:after="0"/>
        <w:rPr>
          <w:sz w:val="20"/>
          <w:szCs w:val="20"/>
          <w:color w:val="auto"/>
        </w:rPr>
      </w:pPr>
      <w:r>
        <w:rPr>
          <w:rFonts w:ascii="Calibri" w:cs="Calibri" w:eastAsia="Calibri" w:hAnsi="Calibri"/>
          <w:sz w:val="15"/>
          <w:szCs w:val="15"/>
          <w:color w:val="auto"/>
        </w:rPr>
        <w:t>10.9†</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both"/>
        <w:ind w:right="1280"/>
        <w:spacing w:after="0" w:line="228" w:lineRule="auto"/>
        <w:rPr>
          <w:sz w:val="20"/>
          <w:szCs w:val="20"/>
          <w:color w:val="auto"/>
        </w:rPr>
      </w:pPr>
      <w:r>
        <w:rPr>
          <w:rFonts w:ascii="Calibri" w:cs="Calibri" w:eastAsia="Calibri" w:hAnsi="Calibri"/>
          <w:sz w:val="16"/>
          <w:szCs w:val="16"/>
          <w:color w:val="auto"/>
        </w:rPr>
        <w:t>Form of Employment Agreement between Matador Resources Company and each of Christopher P. Calvert, W. Thomas Elsener, Bryan A. Erman, Robert T. Macalik and Glenn W. Stetson (incorporated by reference to Exhibit 10.2 to the Quarterly Report on Form 10-Q for the quarter ended March 31, 2024).</w:t>
      </w:r>
    </w:p>
    <w:p>
      <w:pPr>
        <w:spacing w:after="0" w:line="134" w:lineRule="exact"/>
        <w:rPr>
          <w:sz w:val="20"/>
          <w:szCs w:val="20"/>
          <w:color w:val="auto"/>
        </w:rPr>
      </w:pPr>
    </w:p>
    <w:p>
      <w:pPr>
        <w:ind w:right="1640"/>
        <w:spacing w:after="0" w:line="226" w:lineRule="auto"/>
        <w:rPr>
          <w:sz w:val="20"/>
          <w:szCs w:val="20"/>
          <w:color w:val="auto"/>
        </w:rPr>
      </w:pPr>
      <w:r>
        <w:rPr>
          <w:rFonts w:ascii="Calibri" w:cs="Calibri" w:eastAsia="Calibri" w:hAnsi="Calibri"/>
          <w:sz w:val="16"/>
          <w:szCs w:val="16"/>
          <w:color w:val="auto"/>
        </w:rPr>
        <w:t>Advisor Agreement between MRC Energy Company and G. Gregg Krug, effective February 28, 2026 (incorporated by reference to Exhibit 10.1 to the Current Report on Form 8-K filed on January 23, 2026).</w:t>
      </w:r>
    </w:p>
    <w:p>
      <w:pPr>
        <w:spacing w:after="0" w:line="134" w:lineRule="exact"/>
        <w:rPr>
          <w:sz w:val="20"/>
          <w:szCs w:val="20"/>
          <w:color w:val="auto"/>
        </w:rPr>
      </w:pPr>
    </w:p>
    <w:p>
      <w:pPr>
        <w:sectPr>
          <w:pgSz w:w="11880" w:h="15480" w:orient="portrait"/>
          <w:cols w:equalWidth="0" w:num="2">
            <w:col w:w="1160" w:space="440"/>
            <w:col w:w="9880"/>
          </w:cols>
          <w:pgMar w:left="400" w:top="498" w:right="0" w:bottom="0" w:gutter="0" w:footer="0" w:header="0"/>
          <w:type w:val="continuous"/>
        </w:sectPr>
      </w:pPr>
    </w:p>
    <w:p>
      <w:pPr>
        <w:jc w:val="both"/>
        <w:ind w:left="1600" w:right="1460" w:hanging="796"/>
        <w:spacing w:after="0" w:line="228" w:lineRule="auto"/>
        <w:tabs>
          <w:tab w:leader="none" w:pos="1580" w:val="left"/>
        </w:tabs>
        <w:rPr>
          <w:sz w:val="20"/>
          <w:szCs w:val="20"/>
          <w:color w:val="auto"/>
        </w:rPr>
      </w:pPr>
      <w:r>
        <w:rPr>
          <w:rFonts w:ascii="Calibri" w:cs="Calibri" w:eastAsia="Calibri" w:hAnsi="Calibri"/>
          <w:sz w:val="16"/>
          <w:szCs w:val="16"/>
          <w:color w:val="auto"/>
        </w:rPr>
        <w:t>10.10†</w:t>
      </w:r>
      <w:r>
        <w:rPr>
          <w:sz w:val="20"/>
          <w:szCs w:val="20"/>
          <w:color w:val="auto"/>
        </w:rPr>
        <w:tab/>
      </w:r>
      <w:r>
        <w:rPr>
          <w:rFonts w:ascii="Calibri" w:cs="Calibri" w:eastAsia="Calibri" w:hAnsi="Calibri"/>
          <w:sz w:val="16"/>
          <w:szCs w:val="16"/>
          <w:color w:val="auto"/>
        </w:rPr>
        <w:t>Form of Indemnification Agreement between Matador Resources Company and each of the directors and executive officers thereof (incorporated by reference to Exhibit 10.22 to Amendment No. 1 to the Registration Statement on Form S-1 filed on November 14, 2011).</w:t>
      </w:r>
    </w:p>
    <w:p>
      <w:pPr>
        <w:spacing w:after="0" w:line="152" w:lineRule="exact"/>
        <w:rPr>
          <w:sz w:val="20"/>
          <w:szCs w:val="20"/>
          <w:color w:val="auto"/>
        </w:rPr>
      </w:pPr>
    </w:p>
    <w:p>
      <w:pPr>
        <w:jc w:val="both"/>
        <w:ind w:left="1600" w:right="1700" w:hanging="796"/>
        <w:spacing w:after="0" w:line="228" w:lineRule="auto"/>
        <w:tabs>
          <w:tab w:leader="none" w:pos="1580" w:val="left"/>
        </w:tabs>
        <w:rPr>
          <w:sz w:val="20"/>
          <w:szCs w:val="20"/>
          <w:color w:val="auto"/>
        </w:rPr>
      </w:pPr>
      <w:r>
        <w:rPr>
          <w:rFonts w:ascii="Calibri" w:cs="Calibri" w:eastAsia="Calibri" w:hAnsi="Calibri"/>
          <w:sz w:val="16"/>
          <w:szCs w:val="16"/>
          <w:color w:val="auto"/>
        </w:rPr>
        <w:t>10.11</w:t>
      </w:r>
      <w:r>
        <w:rPr>
          <w:sz w:val="20"/>
          <w:szCs w:val="20"/>
          <w:color w:val="auto"/>
        </w:rPr>
        <w:tab/>
      </w:r>
      <w:r>
        <w:rPr>
          <w:rFonts w:ascii="Calibri" w:cs="Calibri" w:eastAsia="Calibri" w:hAnsi="Calibri"/>
          <w:sz w:val="16"/>
          <w:szCs w:val="16"/>
          <w:color w:val="auto"/>
        </w:rPr>
        <w:t>Second Amended and Restated Pledge and Security Agreement, by and among MRC Energy Company, Longwood Gathering and Disposal Systems GP, Inc. and Royal Bank of Canada, as Administrative Agent, dated as of September 28, 2012 (incorporated by reference to Exhibit 10.49 to the Annual Report on Form 10-K for the year ended December 31, 2012).</w:t>
      </w:r>
    </w:p>
    <w:p>
      <w:pPr>
        <w:spacing w:after="0" w:line="152" w:lineRule="exact"/>
        <w:rPr>
          <w:sz w:val="20"/>
          <w:szCs w:val="20"/>
          <w:color w:val="auto"/>
        </w:rPr>
      </w:pPr>
    </w:p>
    <w:p>
      <w:pPr>
        <w:ind w:left="1600" w:right="1280" w:hanging="796"/>
        <w:spacing w:after="0" w:line="229" w:lineRule="auto"/>
        <w:tabs>
          <w:tab w:leader="none" w:pos="1580" w:val="left"/>
        </w:tabs>
        <w:rPr>
          <w:sz w:val="20"/>
          <w:szCs w:val="20"/>
          <w:color w:val="auto"/>
        </w:rPr>
      </w:pPr>
      <w:r>
        <w:rPr>
          <w:rFonts w:ascii="Calibri" w:cs="Calibri" w:eastAsia="Calibri" w:hAnsi="Calibri"/>
          <w:sz w:val="16"/>
          <w:szCs w:val="16"/>
          <w:color w:val="auto"/>
        </w:rPr>
        <w:t>10.12</w:t>
      </w:r>
      <w:r>
        <w:rPr>
          <w:sz w:val="20"/>
          <w:szCs w:val="20"/>
          <w:color w:val="auto"/>
        </w:rPr>
        <w:tab/>
      </w:r>
      <w:r>
        <w:rPr>
          <w:rFonts w:ascii="Calibri" w:cs="Calibri" w:eastAsia="Calibri" w:hAnsi="Calibri"/>
          <w:sz w:val="16"/>
          <w:szCs w:val="16"/>
          <w:color w:val="auto"/>
        </w:rPr>
        <w:t>Second Amended, Restated and Consolidated Unconditional Guaranty, by and among MRC Permian Company, MRC Rockies Company, Matador Production Company, Longwood Gathering and Disposal Systems GP, Inc., Longwood Gathering and Disposal Systems, LP, Matador Resources Company and Royal Bank of Canada, as Administrative Agent, dated as of September 28, 2012 (incorporated by reference to Exhibit 10.50 to the Annual Report on Form 10-K for the year ended December 31, 2012).</w:t>
      </w:r>
    </w:p>
    <w:p>
      <w:pPr>
        <w:spacing w:after="0" w:line="140" w:lineRule="exact"/>
        <w:rPr>
          <w:sz w:val="20"/>
          <w:szCs w:val="20"/>
          <w:color w:val="auto"/>
        </w:rPr>
      </w:pPr>
    </w:p>
    <w:p>
      <w:pPr>
        <w:jc w:val="both"/>
        <w:ind w:left="1600" w:right="1260" w:hanging="796"/>
        <w:spacing w:after="0" w:line="228" w:lineRule="auto"/>
        <w:tabs>
          <w:tab w:leader="none" w:pos="1580" w:val="left"/>
        </w:tabs>
        <w:rPr>
          <w:sz w:val="20"/>
          <w:szCs w:val="20"/>
          <w:color w:val="auto"/>
        </w:rPr>
      </w:pPr>
      <w:r>
        <w:rPr>
          <w:rFonts w:ascii="Calibri" w:cs="Calibri" w:eastAsia="Calibri" w:hAnsi="Calibri"/>
          <w:sz w:val="16"/>
          <w:szCs w:val="16"/>
          <w:color w:val="auto"/>
        </w:rPr>
        <w:t>10.13</w:t>
      </w:r>
      <w:r>
        <w:rPr>
          <w:sz w:val="20"/>
          <w:szCs w:val="20"/>
          <w:color w:val="auto"/>
        </w:rPr>
        <w:tab/>
      </w:r>
      <w:r>
        <w:rPr>
          <w:rFonts w:ascii="Calibri" w:cs="Calibri" w:eastAsia="Calibri" w:hAnsi="Calibri"/>
          <w:sz w:val="16"/>
          <w:szCs w:val="16"/>
          <w:color w:val="auto"/>
        </w:rPr>
        <w:t>Fourth Amended and Restated Credit Agreement, dated as of November 18, 2021, by and among MRC Energy Company, as Borrower, the Lending Entities from time to time parties thereto, as Lenders, and Royal Bank of Canada, as Administrative Agent (incorporated by reference to Exhibit 10.1 to the Current Report on Form 8-K filed on November 18, 2021).</w:t>
      </w:r>
    </w:p>
    <w:p>
      <w:pPr>
        <w:spacing w:after="0" w:line="152" w:lineRule="exact"/>
        <w:rPr>
          <w:sz w:val="20"/>
          <w:szCs w:val="20"/>
          <w:color w:val="auto"/>
        </w:rPr>
      </w:pPr>
    </w:p>
    <w:p>
      <w:pPr>
        <w:ind w:left="1600" w:right="1280" w:hanging="796"/>
        <w:spacing w:after="0" w:line="228" w:lineRule="auto"/>
        <w:tabs>
          <w:tab w:leader="none" w:pos="1580" w:val="left"/>
        </w:tabs>
        <w:rPr>
          <w:sz w:val="20"/>
          <w:szCs w:val="20"/>
          <w:color w:val="auto"/>
        </w:rPr>
      </w:pPr>
      <w:r>
        <w:rPr>
          <w:rFonts w:ascii="Calibri" w:cs="Calibri" w:eastAsia="Calibri" w:hAnsi="Calibri"/>
          <w:sz w:val="16"/>
          <w:szCs w:val="16"/>
          <w:color w:val="auto"/>
        </w:rPr>
        <w:t>10.14</w:t>
      </w:r>
      <w:r>
        <w:rPr>
          <w:sz w:val="20"/>
          <w:szCs w:val="20"/>
          <w:color w:val="auto"/>
        </w:rPr>
        <w:tab/>
      </w:r>
      <w:r>
        <w:rPr>
          <w:rFonts w:ascii="Calibri" w:cs="Calibri" w:eastAsia="Calibri" w:hAnsi="Calibri"/>
          <w:sz w:val="16"/>
          <w:szCs w:val="16"/>
          <w:color w:val="auto"/>
        </w:rPr>
        <w:t>First Amendment to Fourth Amended and Restated Credit Agreement dated as of April 25, 2022, by and among MRC Energy Company, as Borrower, the lending entities parties thereto as Lenders, and Royal Bank of Canada, as Administrative Agent (incorporated by reference to Exhibit 10.1 to the Quarterly Report on Form 10-Q for the quarter ended March 31, 2022).</w:t>
      </w:r>
    </w:p>
    <w:p>
      <w:pPr>
        <w:spacing w:after="0" w:line="152" w:lineRule="exact"/>
        <w:rPr>
          <w:sz w:val="20"/>
          <w:szCs w:val="20"/>
          <w:color w:val="auto"/>
        </w:rPr>
      </w:pPr>
    </w:p>
    <w:p>
      <w:pPr>
        <w:ind w:left="1600" w:right="1420" w:hanging="796"/>
        <w:spacing w:after="0" w:line="229" w:lineRule="auto"/>
        <w:tabs>
          <w:tab w:leader="none" w:pos="1580" w:val="left"/>
        </w:tabs>
        <w:rPr>
          <w:sz w:val="20"/>
          <w:szCs w:val="20"/>
          <w:color w:val="auto"/>
        </w:rPr>
      </w:pPr>
      <w:r>
        <w:rPr>
          <w:rFonts w:ascii="Calibri" w:cs="Calibri" w:eastAsia="Calibri" w:hAnsi="Calibri"/>
          <w:sz w:val="16"/>
          <w:szCs w:val="16"/>
          <w:color w:val="auto"/>
        </w:rPr>
        <w:t>10.15</w:t>
      </w:r>
      <w:r>
        <w:rPr>
          <w:sz w:val="20"/>
          <w:szCs w:val="20"/>
          <w:color w:val="auto"/>
        </w:rPr>
        <w:tab/>
      </w:r>
      <w:r>
        <w:rPr>
          <w:rFonts w:ascii="Calibri" w:cs="Calibri" w:eastAsia="Calibri" w:hAnsi="Calibri"/>
          <w:sz w:val="16"/>
          <w:szCs w:val="16"/>
          <w:color w:val="auto"/>
        </w:rPr>
        <w:t>Second Amendment to Fourth Amended and Restated Credit Agreement, dated as of March 31, 2023, by and among MRC Energy Company, as Borrower, the lending entities parties thereto as Lenders, Royal Bank of Canada, as resigning Administrative Agent, and Truist Bank, as successor Administrative Agent (incorporated by reference to Exhibit 10.1 to the Current Report on Form 8-K filed on April 3, 2023).</w:t>
      </w:r>
    </w:p>
    <w:p>
      <w:pPr>
        <w:spacing w:after="0" w:line="140" w:lineRule="exact"/>
        <w:rPr>
          <w:sz w:val="20"/>
          <w:szCs w:val="20"/>
          <w:color w:val="auto"/>
        </w:rPr>
      </w:pPr>
    </w:p>
    <w:p>
      <w:pPr>
        <w:ind w:left="1600" w:right="1640" w:hanging="796"/>
        <w:spacing w:after="0" w:line="228" w:lineRule="auto"/>
        <w:tabs>
          <w:tab w:leader="none" w:pos="1580" w:val="left"/>
        </w:tabs>
        <w:rPr>
          <w:sz w:val="20"/>
          <w:szCs w:val="20"/>
          <w:color w:val="auto"/>
        </w:rPr>
      </w:pPr>
      <w:r>
        <w:rPr>
          <w:rFonts w:ascii="Calibri" w:cs="Calibri" w:eastAsia="Calibri" w:hAnsi="Calibri"/>
          <w:sz w:val="16"/>
          <w:szCs w:val="16"/>
          <w:color w:val="auto"/>
        </w:rPr>
        <w:t>10.16</w:t>
      </w:r>
      <w:r>
        <w:rPr>
          <w:sz w:val="20"/>
          <w:szCs w:val="20"/>
          <w:color w:val="auto"/>
        </w:rPr>
        <w:tab/>
      </w:r>
      <w:r>
        <w:rPr>
          <w:rFonts w:ascii="Calibri" w:cs="Calibri" w:eastAsia="Calibri" w:hAnsi="Calibri"/>
          <w:sz w:val="16"/>
          <w:szCs w:val="16"/>
          <w:color w:val="auto"/>
        </w:rPr>
        <w:t>Third Amendment to Fourth Amended and Restated Credit Agreement, dated as of April 10, 2023, by and among MRC Energy Company, as Borrower, the lending entities parties thereto as Lenders, and Truist Bank, as Administrative Agent (incorporated by reference to Exhibit 10.2 to the Quarterly Report on Form 10-Q for the quarter ended March 31, 2023).</w:t>
      </w:r>
    </w:p>
    <w:p>
      <w:pPr>
        <w:sectPr>
          <w:pgSz w:w="11880" w:h="15480" w:orient="portrait"/>
          <w:cols w:equalWidth="0" w:num="1">
            <w:col w:w="11480"/>
          </w:cols>
          <w:pgMar w:left="400" w:top="498" w:right="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0"/>
        <w:spacing w:after="0"/>
        <w:rPr>
          <w:sz w:val="20"/>
          <w:szCs w:val="20"/>
          <w:color w:val="auto"/>
        </w:rPr>
      </w:pPr>
      <w:r>
        <w:rPr>
          <w:rFonts w:ascii="Calibri" w:cs="Calibri" w:eastAsia="Calibri" w:hAnsi="Calibri"/>
          <w:sz w:val="17"/>
          <w:szCs w:val="17"/>
          <w:color w:val="auto"/>
        </w:rPr>
        <w:t>FORM 10-K PART IV</w:t>
      </w:r>
    </w:p>
    <w:p>
      <w:pPr>
        <w:sectPr>
          <w:pgSz w:w="11880" w:h="15480" w:orient="portrait"/>
          <w:cols w:equalWidth="0" w:num="1">
            <w:col w:w="11480"/>
          </w:cols>
          <w:pgMar w:left="400" w:top="498" w:right="0" w:bottom="0" w:gutter="0" w:footer="0" w:header="0"/>
          <w:type w:val="continuous"/>
        </w:sectPr>
      </w:pPr>
    </w:p>
    <w:bookmarkStart w:id="122" w:name="page123"/>
    <w:bookmarkEnd w:id="122"/>
    <w:tbl>
      <w:tblPr>
        <w:tblLayout w:type="fixed"/>
        <w:tblInd w:w="7840" w:type="dxa"/>
        <w:tblCellMar>
          <w:top w:w="0" w:type="dxa"/>
          <w:left w:w="0" w:type="dxa"/>
          <w:bottom w:w="0" w:type="dxa"/>
          <w:right w:w="0" w:type="dxa"/>
        </w:tblCellMar>
      </w:tblPr>
      <w:tr>
        <w:trPr>
          <w:trHeight w:val="220"/>
        </w:trPr>
        <w:tc>
          <w:tcPr>
            <w:tcW w:w="190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540" w:type="dxa"/>
            <w:vAlign w:val="bottom"/>
          </w:tcPr>
          <w:p>
            <w:pPr>
              <w:jc w:val="right"/>
              <w:spacing w:after="0"/>
              <w:rPr>
                <w:sz w:val="20"/>
                <w:szCs w:val="20"/>
                <w:color w:val="auto"/>
              </w:rPr>
            </w:pPr>
            <w:r>
              <w:rPr>
                <w:rFonts w:ascii="Calibri" w:cs="Calibri" w:eastAsia="Calibri" w:hAnsi="Calibri"/>
                <w:sz w:val="18"/>
                <w:szCs w:val="18"/>
                <w:color w:val="auto"/>
              </w:rPr>
              <w:t>109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-762000</wp:posOffset>
                </wp:positionH>
                <wp:positionV relativeFrom="paragraph">
                  <wp:posOffset>320675</wp:posOffset>
                </wp:positionV>
                <wp:extent cx="6811645" cy="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pt,25.25pt" to="476.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-762000</wp:posOffset>
                </wp:positionH>
                <wp:positionV relativeFrom="paragraph">
                  <wp:posOffset>320675</wp:posOffset>
                </wp:positionV>
                <wp:extent cx="6811645" cy="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43" o:spid="_x0000_s12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pt,25.25pt" to="476.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Exhibit</w:t>
      </w:r>
    </w:p>
    <w:p>
      <w:pPr>
        <w:spacing w:after="0" w:line="232" w:lineRule="auto"/>
        <w:tabs>
          <w:tab w:leader="none" w:pos="780" w:val="left"/>
        </w:tabs>
        <w:rPr>
          <w:sz w:val="20"/>
          <w:szCs w:val="20"/>
          <w:color w:val="auto"/>
        </w:rPr>
      </w:pPr>
      <w:r>
        <w:rPr>
          <w:rFonts w:ascii="Calibri" w:cs="Calibri" w:eastAsia="Calibri" w:hAnsi="Calibri"/>
          <w:sz w:val="17"/>
          <w:szCs w:val="17"/>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24130</wp:posOffset>
            </wp:positionV>
            <wp:extent cx="6074410" cy="127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3">
                      <a:extLst>
                        <a:ext uri="{28A0092B-C50C-407E-A947-70E740481C1C}"/>
                      </a:extLst>
                    </a:blip>
                    <a:srcRect/>
                    <a:stretch>
                      <a:fillRect/>
                    </a:stretch>
                  </pic:blipFill>
                  <pic:spPr bwMode="auto">
                    <a:xfrm>
                      <a:off x="0" y="0"/>
                      <a:ext cx="6074410" cy="12700"/>
                    </a:xfrm>
                    <a:prstGeom prst="rect">
                      <a:avLst/>
                    </a:prstGeom>
                    <a:noFill/>
                  </pic:spPr>
                </pic:pic>
              </a:graphicData>
            </a:graphic>
          </wp:anchor>
        </w:drawing>
      </w:r>
    </w:p>
    <w:p>
      <w:pPr>
        <w:spacing w:after="0" w:line="122" w:lineRule="exact"/>
        <w:rPr>
          <w:sz w:val="20"/>
          <w:szCs w:val="20"/>
          <w:color w:val="auto"/>
        </w:rPr>
      </w:pPr>
    </w:p>
    <w:p>
      <w:pPr>
        <w:ind w:left="800" w:right="1140" w:hanging="796"/>
        <w:spacing w:after="0" w:line="228" w:lineRule="auto"/>
        <w:tabs>
          <w:tab w:leader="none" w:pos="780" w:val="left"/>
        </w:tabs>
        <w:rPr>
          <w:sz w:val="20"/>
          <w:szCs w:val="20"/>
          <w:color w:val="auto"/>
        </w:rPr>
      </w:pPr>
      <w:r>
        <w:rPr>
          <w:rFonts w:ascii="Calibri" w:cs="Calibri" w:eastAsia="Calibri" w:hAnsi="Calibri"/>
          <w:sz w:val="16"/>
          <w:szCs w:val="16"/>
          <w:color w:val="auto"/>
        </w:rPr>
        <w:t>10.17</w:t>
      </w:r>
      <w:r>
        <w:rPr>
          <w:sz w:val="20"/>
          <w:szCs w:val="20"/>
          <w:color w:val="auto"/>
        </w:rPr>
        <w:tab/>
      </w:r>
      <w:r>
        <w:rPr>
          <w:rFonts w:ascii="Calibri" w:cs="Calibri" w:eastAsia="Calibri" w:hAnsi="Calibri"/>
          <w:sz w:val="16"/>
          <w:szCs w:val="16"/>
          <w:color w:val="auto"/>
        </w:rPr>
        <w:t>Fourth Amendment to Fourth Amended and Restated Credit Agreement, dated as of October 19, 2023, by and among MRC Energy Company, as Borrower, the lending entities parties thereto as Lenders, and Truist Bank, as Administrative Agent (incorporated by reference to Exhibit 10.1 to the Current Report on Form 8-K filed on October 19, 2023).</w:t>
      </w:r>
    </w:p>
    <w:p>
      <w:pPr>
        <w:spacing w:after="0" w:line="152" w:lineRule="exact"/>
        <w:rPr>
          <w:sz w:val="20"/>
          <w:szCs w:val="20"/>
          <w:color w:val="auto"/>
        </w:rPr>
      </w:pPr>
    </w:p>
    <w:p>
      <w:pPr>
        <w:ind w:left="800" w:right="1040" w:hanging="796"/>
        <w:spacing w:after="0" w:line="228" w:lineRule="auto"/>
        <w:tabs>
          <w:tab w:leader="none" w:pos="780" w:val="left"/>
        </w:tabs>
        <w:rPr>
          <w:sz w:val="20"/>
          <w:szCs w:val="20"/>
          <w:color w:val="auto"/>
        </w:rPr>
      </w:pPr>
      <w:r>
        <w:rPr>
          <w:rFonts w:ascii="Calibri" w:cs="Calibri" w:eastAsia="Calibri" w:hAnsi="Calibri"/>
          <w:sz w:val="16"/>
          <w:szCs w:val="16"/>
          <w:color w:val="auto"/>
        </w:rPr>
        <w:t>10.18</w:t>
      </w:r>
      <w:r>
        <w:rPr>
          <w:sz w:val="20"/>
          <w:szCs w:val="20"/>
          <w:color w:val="auto"/>
        </w:rPr>
        <w:tab/>
      </w:r>
      <w:r>
        <w:rPr>
          <w:rFonts w:ascii="Calibri" w:cs="Calibri" w:eastAsia="Calibri" w:hAnsi="Calibri"/>
          <w:sz w:val="16"/>
          <w:szCs w:val="16"/>
          <w:color w:val="auto"/>
        </w:rPr>
        <w:t>Fifth Amendment to Fourth Amended and Restated Credit Agreement, dated as of March 22, 2024, by and among MRC Energy Company, as Borrower, the lending entities parties thereto as Lenders, and PNC Bank, National Association, as Administrative Agent (incorporated by reference to Exhibit 10.1 to the Current Report on Form 8-K filed on March 25, 2024).</w:t>
      </w:r>
    </w:p>
    <w:p>
      <w:pPr>
        <w:spacing w:after="0" w:line="152" w:lineRule="exact"/>
        <w:rPr>
          <w:sz w:val="20"/>
          <w:szCs w:val="20"/>
          <w:color w:val="auto"/>
        </w:rPr>
      </w:pPr>
    </w:p>
    <w:p>
      <w:pPr>
        <w:jc w:val="both"/>
        <w:ind w:left="800" w:right="1040" w:hanging="796"/>
        <w:spacing w:after="0" w:line="228" w:lineRule="auto"/>
        <w:tabs>
          <w:tab w:leader="none" w:pos="780" w:val="left"/>
        </w:tabs>
        <w:rPr>
          <w:sz w:val="20"/>
          <w:szCs w:val="20"/>
          <w:color w:val="auto"/>
        </w:rPr>
      </w:pPr>
      <w:r>
        <w:rPr>
          <w:rFonts w:ascii="Calibri" w:cs="Calibri" w:eastAsia="Calibri" w:hAnsi="Calibri"/>
          <w:sz w:val="16"/>
          <w:szCs w:val="16"/>
          <w:color w:val="auto"/>
        </w:rPr>
        <w:t>10.19</w:t>
      </w:r>
      <w:r>
        <w:rPr>
          <w:sz w:val="20"/>
          <w:szCs w:val="20"/>
          <w:color w:val="auto"/>
        </w:rPr>
        <w:tab/>
      </w:r>
      <w:r>
        <w:rPr>
          <w:rFonts w:ascii="Calibri" w:cs="Calibri" w:eastAsia="Calibri" w:hAnsi="Calibri"/>
          <w:sz w:val="16"/>
          <w:szCs w:val="16"/>
          <w:color w:val="auto"/>
        </w:rPr>
        <w:t>Sixth Amendment to Fourth Amended and Restated Credit Agreement, dated as of September 18, 2024, by and among MRC Energy Company, as Borrower, the lending entities parties thereto as Lenders, and PNC Bank, National Association, as Administrative Agent (incorporated by reference to Exhibit 10.1 to the Current Report on Form 8-K filed on September 19, 2024).</w:t>
      </w:r>
    </w:p>
    <w:p>
      <w:pPr>
        <w:spacing w:after="0" w:line="152" w:lineRule="exact"/>
        <w:rPr>
          <w:sz w:val="20"/>
          <w:szCs w:val="20"/>
          <w:color w:val="auto"/>
        </w:rPr>
      </w:pPr>
    </w:p>
    <w:p>
      <w:pPr>
        <w:jc w:val="both"/>
        <w:ind w:left="800" w:right="980" w:hanging="796"/>
        <w:spacing w:after="0" w:line="228" w:lineRule="auto"/>
        <w:tabs>
          <w:tab w:leader="none" w:pos="780" w:val="left"/>
        </w:tabs>
        <w:rPr>
          <w:sz w:val="20"/>
          <w:szCs w:val="20"/>
          <w:color w:val="auto"/>
        </w:rPr>
      </w:pPr>
      <w:r>
        <w:rPr>
          <w:rFonts w:ascii="Calibri" w:cs="Calibri" w:eastAsia="Calibri" w:hAnsi="Calibri"/>
          <w:sz w:val="16"/>
          <w:szCs w:val="16"/>
          <w:color w:val="auto"/>
        </w:rPr>
        <w:t>10.20</w:t>
      </w:r>
      <w:r>
        <w:rPr>
          <w:sz w:val="20"/>
          <w:szCs w:val="20"/>
          <w:color w:val="auto"/>
        </w:rPr>
        <w:tab/>
      </w:r>
      <w:r>
        <w:rPr>
          <w:rFonts w:ascii="Calibri" w:cs="Calibri" w:eastAsia="Calibri" w:hAnsi="Calibri"/>
          <w:sz w:val="16"/>
          <w:szCs w:val="16"/>
          <w:color w:val="auto"/>
        </w:rPr>
        <w:t>Seventh Amendment to Fourth Amended and Restated Credit Agreement, dated as of December 9, 2025, by and among MRC Energy Company, as Borrower, the lending entities parties thereto as Lenders, and PNC Bank, National Association, as Administrative Agent (incorporated by reference to Exhibit 10.1 to the Current Report on Form 8-K filed on December 9, 2025).</w:t>
      </w:r>
    </w:p>
    <w:p>
      <w:pPr>
        <w:spacing w:after="0" w:line="152" w:lineRule="exact"/>
        <w:rPr>
          <w:sz w:val="20"/>
          <w:szCs w:val="20"/>
          <w:color w:val="auto"/>
        </w:rPr>
      </w:pPr>
    </w:p>
    <w:p>
      <w:pPr>
        <w:ind w:left="800" w:right="1080" w:hanging="796"/>
        <w:spacing w:after="0" w:line="226" w:lineRule="auto"/>
        <w:tabs>
          <w:tab w:leader="none" w:pos="780" w:val="left"/>
        </w:tabs>
        <w:rPr>
          <w:sz w:val="20"/>
          <w:szCs w:val="20"/>
          <w:color w:val="auto"/>
        </w:rPr>
      </w:pPr>
      <w:r>
        <w:rPr>
          <w:rFonts w:ascii="Calibri" w:cs="Calibri" w:eastAsia="Calibri" w:hAnsi="Calibri"/>
          <w:sz w:val="16"/>
          <w:szCs w:val="16"/>
          <w:color w:val="auto"/>
        </w:rPr>
        <w:t>10.21†</w:t>
      </w:r>
      <w:r>
        <w:rPr>
          <w:sz w:val="20"/>
          <w:szCs w:val="20"/>
          <w:color w:val="auto"/>
        </w:rPr>
        <w:tab/>
      </w:r>
      <w:r>
        <w:rPr>
          <w:rFonts w:ascii="Calibri" w:cs="Calibri" w:eastAsia="Calibri" w:hAnsi="Calibri"/>
          <w:sz w:val="16"/>
          <w:szCs w:val="16"/>
          <w:color w:val="auto"/>
        </w:rPr>
        <w:t>Matador Resources Company Nonqualified Deferred Compensation Plan for Non-Employee Directors (incorporated by reference to Exhibit 10.59 to the Annual Report on Form 10-K for the year ended December 31, 2015).</w:t>
      </w:r>
    </w:p>
    <w:p>
      <w:pPr>
        <w:sectPr>
          <w:pgSz w:w="11880" w:h="15480" w:orient="portrait"/>
          <w:cols w:equalWidth="0" w:num="1">
            <w:col w:w="10280"/>
          </w:cols>
          <w:pgMar w:left="1200" w:top="498" w:right="400" w:bottom="0" w:gutter="0" w:footer="0" w:header="0"/>
        </w:sectPr>
      </w:pPr>
    </w:p>
    <w:p>
      <w:pPr>
        <w:spacing w:after="0" w:line="131" w:lineRule="exact"/>
        <w:rPr>
          <w:sz w:val="20"/>
          <w:szCs w:val="20"/>
          <w:color w:val="auto"/>
        </w:rPr>
      </w:pPr>
    </w:p>
    <w:p>
      <w:pPr>
        <w:spacing w:after="0"/>
        <w:rPr>
          <w:sz w:val="20"/>
          <w:szCs w:val="20"/>
          <w:color w:val="auto"/>
        </w:rPr>
      </w:pPr>
      <w:r>
        <w:rPr>
          <w:rFonts w:ascii="Calibri" w:cs="Calibri" w:eastAsia="Calibri" w:hAnsi="Calibri"/>
          <w:sz w:val="15"/>
          <w:szCs w:val="15"/>
          <w:color w:val="auto"/>
        </w:rPr>
        <w:t>10.22†</w:t>
      </w:r>
    </w:p>
    <w:p>
      <w:pPr>
        <w:spacing w:after="0" w:line="319" w:lineRule="exact"/>
        <w:rPr>
          <w:sz w:val="20"/>
          <w:szCs w:val="20"/>
          <w:color w:val="auto"/>
        </w:rPr>
      </w:pPr>
    </w:p>
    <w:p>
      <w:pPr>
        <w:spacing w:after="0"/>
        <w:rPr>
          <w:sz w:val="20"/>
          <w:szCs w:val="20"/>
          <w:color w:val="auto"/>
        </w:rPr>
      </w:pPr>
      <w:r>
        <w:rPr>
          <w:rFonts w:ascii="Calibri" w:cs="Calibri" w:eastAsia="Calibri" w:hAnsi="Calibri"/>
          <w:sz w:val="15"/>
          <w:szCs w:val="15"/>
          <w:color w:val="auto"/>
        </w:rPr>
        <w:t>10.23†</w:t>
      </w:r>
    </w:p>
    <w:p>
      <w:pPr>
        <w:spacing w:after="0" w:line="319" w:lineRule="exact"/>
        <w:rPr>
          <w:sz w:val="20"/>
          <w:szCs w:val="20"/>
          <w:color w:val="auto"/>
        </w:rPr>
      </w:pPr>
    </w:p>
    <w:p>
      <w:pPr>
        <w:spacing w:after="0"/>
        <w:rPr>
          <w:sz w:val="20"/>
          <w:szCs w:val="20"/>
          <w:color w:val="auto"/>
        </w:rPr>
      </w:pPr>
      <w:r>
        <w:rPr>
          <w:rFonts w:ascii="Calibri" w:cs="Calibri" w:eastAsia="Calibri" w:hAnsi="Calibri"/>
          <w:sz w:val="15"/>
          <w:szCs w:val="15"/>
          <w:color w:val="auto"/>
        </w:rPr>
        <w:t>10.24†</w:t>
      </w:r>
    </w:p>
    <w:p>
      <w:pPr>
        <w:spacing w:after="0" w:line="319" w:lineRule="exact"/>
        <w:rPr>
          <w:sz w:val="20"/>
          <w:szCs w:val="20"/>
          <w:color w:val="auto"/>
        </w:rPr>
      </w:pPr>
    </w:p>
    <w:p>
      <w:pPr>
        <w:spacing w:after="0"/>
        <w:rPr>
          <w:sz w:val="20"/>
          <w:szCs w:val="20"/>
          <w:color w:val="auto"/>
        </w:rPr>
      </w:pPr>
      <w:r>
        <w:rPr>
          <w:rFonts w:ascii="Calibri" w:cs="Calibri" w:eastAsia="Calibri" w:hAnsi="Calibri"/>
          <w:sz w:val="15"/>
          <w:szCs w:val="15"/>
          <w:color w:val="auto"/>
        </w:rPr>
        <w:t>10.25†</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alibri" w:cs="Calibri" w:eastAsia="Calibri" w:hAnsi="Calibri"/>
          <w:sz w:val="15"/>
          <w:szCs w:val="15"/>
          <w:color w:val="auto"/>
        </w:rPr>
        <w:t>10.26†</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alibri" w:cs="Calibri" w:eastAsia="Calibri" w:hAnsi="Calibri"/>
          <w:sz w:val="15"/>
          <w:szCs w:val="15"/>
          <w:color w:val="auto"/>
        </w:rPr>
        <w:t>10.27†</w:t>
      </w:r>
    </w:p>
    <w:p>
      <w:pPr>
        <w:spacing w:after="0" w:line="319" w:lineRule="exact"/>
        <w:rPr>
          <w:sz w:val="20"/>
          <w:szCs w:val="20"/>
          <w:color w:val="auto"/>
        </w:rPr>
      </w:pPr>
    </w:p>
    <w:p>
      <w:pPr>
        <w:spacing w:after="0"/>
        <w:rPr>
          <w:sz w:val="20"/>
          <w:szCs w:val="20"/>
          <w:color w:val="auto"/>
        </w:rPr>
      </w:pPr>
      <w:r>
        <w:rPr>
          <w:rFonts w:ascii="Calibri" w:cs="Calibri" w:eastAsia="Calibri" w:hAnsi="Calibri"/>
          <w:sz w:val="15"/>
          <w:szCs w:val="15"/>
          <w:color w:val="auto"/>
        </w:rPr>
        <w:t>10.28†</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alibri" w:cs="Calibri" w:eastAsia="Calibri" w:hAnsi="Calibri"/>
          <w:sz w:val="15"/>
          <w:szCs w:val="15"/>
          <w:color w:val="auto"/>
        </w:rPr>
        <w:t>10.29†</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alibri" w:cs="Calibri" w:eastAsia="Calibri" w:hAnsi="Calibri"/>
          <w:sz w:val="15"/>
          <w:szCs w:val="15"/>
          <w:color w:val="auto"/>
        </w:rPr>
        <w:t>10.30†</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alibri" w:cs="Calibri" w:eastAsia="Calibri" w:hAnsi="Calibri"/>
          <w:sz w:val="15"/>
          <w:szCs w:val="15"/>
          <w:color w:val="auto"/>
        </w:rPr>
        <w:t>10.31†</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alibri" w:cs="Calibri" w:eastAsia="Calibri" w:hAnsi="Calibri"/>
          <w:sz w:val="15"/>
          <w:szCs w:val="15"/>
          <w:color w:val="auto"/>
        </w:rPr>
        <w:t>10.32†</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alibri" w:cs="Calibri" w:eastAsia="Calibri" w:hAnsi="Calibri"/>
          <w:sz w:val="15"/>
          <w:szCs w:val="15"/>
          <w:color w:val="auto"/>
        </w:rPr>
        <w:t>10.33†</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alibri" w:cs="Calibri" w:eastAsia="Calibri" w:hAnsi="Calibri"/>
          <w:sz w:val="15"/>
          <w:szCs w:val="15"/>
          <w:color w:val="auto"/>
        </w:rPr>
        <w:t>10.34†</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alibri" w:cs="Calibri" w:eastAsia="Calibri" w:hAnsi="Calibri"/>
          <w:sz w:val="15"/>
          <w:szCs w:val="15"/>
          <w:color w:val="auto"/>
        </w:rPr>
        <w:t>10.35†</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right="860"/>
        <w:spacing w:after="0" w:line="226" w:lineRule="auto"/>
        <w:rPr>
          <w:sz w:val="20"/>
          <w:szCs w:val="20"/>
          <w:color w:val="auto"/>
        </w:rPr>
      </w:pPr>
      <w:r>
        <w:rPr>
          <w:rFonts w:ascii="Calibri" w:cs="Calibri" w:eastAsia="Calibri" w:hAnsi="Calibri"/>
          <w:sz w:val="16"/>
          <w:szCs w:val="16"/>
          <w:color w:val="auto"/>
        </w:rPr>
        <w:t>Matador Resources Company Annual Cash Incentive Plan, effective as of January 1, 2019 (incorporated by reference to Exhibit 10.66 to the Annual Report on Form 10-K for the year ended December 31, 2018).</w:t>
      </w:r>
    </w:p>
    <w:p>
      <w:pPr>
        <w:spacing w:after="0" w:line="134" w:lineRule="exact"/>
        <w:rPr>
          <w:sz w:val="20"/>
          <w:szCs w:val="20"/>
          <w:color w:val="auto"/>
        </w:rPr>
      </w:pPr>
    </w:p>
    <w:p>
      <w:pPr>
        <w:jc w:val="both"/>
        <w:ind w:right="1000"/>
        <w:spacing w:after="0" w:line="226" w:lineRule="auto"/>
        <w:rPr>
          <w:sz w:val="20"/>
          <w:szCs w:val="20"/>
          <w:color w:val="auto"/>
        </w:rPr>
      </w:pPr>
      <w:r>
        <w:rPr>
          <w:rFonts w:ascii="Calibri" w:cs="Calibri" w:eastAsia="Calibri" w:hAnsi="Calibri"/>
          <w:sz w:val="16"/>
          <w:szCs w:val="16"/>
          <w:color w:val="auto"/>
        </w:rPr>
        <w:t>Amended and Restated 2012 Long-Term Incentive Plan (incorporated by reference to Exhibit 10.2 to the Current Report on Form 8-K filed on June 11, 2015).</w:t>
      </w:r>
    </w:p>
    <w:p>
      <w:pPr>
        <w:spacing w:after="0" w:line="134" w:lineRule="exact"/>
        <w:rPr>
          <w:sz w:val="20"/>
          <w:szCs w:val="20"/>
          <w:color w:val="auto"/>
        </w:rPr>
      </w:pPr>
    </w:p>
    <w:p>
      <w:pPr>
        <w:ind w:right="820"/>
        <w:spacing w:after="0" w:line="226" w:lineRule="auto"/>
        <w:rPr>
          <w:sz w:val="20"/>
          <w:szCs w:val="20"/>
          <w:color w:val="auto"/>
        </w:rPr>
      </w:pPr>
      <w:r>
        <w:rPr>
          <w:rFonts w:ascii="Calibri" w:cs="Calibri" w:eastAsia="Calibri" w:hAnsi="Calibri"/>
          <w:sz w:val="16"/>
          <w:szCs w:val="16"/>
          <w:color w:val="auto"/>
        </w:rPr>
        <w:t>Amendment Number One to the Matador Resources Company Amended and Restated 2012 Long-Term Incentive Plan (incorporated by reference to Exhibit 10.1 to the Quarterly Report on Form 10-Q for the quarter ended September 30, 2017).</w:t>
      </w:r>
    </w:p>
    <w:p>
      <w:pPr>
        <w:spacing w:after="0" w:line="152" w:lineRule="exact"/>
        <w:rPr>
          <w:sz w:val="20"/>
          <w:szCs w:val="20"/>
          <w:color w:val="auto"/>
        </w:rPr>
      </w:pPr>
    </w:p>
    <w:p>
      <w:pPr>
        <w:jc w:val="both"/>
        <w:ind w:right="1020"/>
        <w:spacing w:after="0" w:line="228" w:lineRule="auto"/>
        <w:rPr>
          <w:sz w:val="20"/>
          <w:szCs w:val="20"/>
          <w:color w:val="auto"/>
        </w:rPr>
      </w:pPr>
      <w:r>
        <w:rPr>
          <w:rFonts w:ascii="Calibri" w:cs="Calibri" w:eastAsia="Calibri" w:hAnsi="Calibri"/>
          <w:sz w:val="16"/>
          <w:szCs w:val="16"/>
          <w:color w:val="auto"/>
        </w:rPr>
        <w:t>Form of Nonqualified Stock Option Agreement relating to the Matador Resources Company Amended and Restated 2012 Long-Term Incentive Plan for employees without employment agreements (incorporated by reference to Exhibit 10.53 to the Annual Report on Form 10-K for the year ended December 31, 2015).</w:t>
      </w:r>
    </w:p>
    <w:p>
      <w:pPr>
        <w:spacing w:after="0" w:line="152" w:lineRule="exact"/>
        <w:rPr>
          <w:sz w:val="20"/>
          <w:szCs w:val="20"/>
          <w:color w:val="auto"/>
        </w:rPr>
      </w:pPr>
    </w:p>
    <w:p>
      <w:pPr>
        <w:ind w:right="1060"/>
        <w:spacing w:after="0" w:line="228" w:lineRule="auto"/>
        <w:rPr>
          <w:sz w:val="20"/>
          <w:szCs w:val="20"/>
          <w:color w:val="auto"/>
        </w:rPr>
      </w:pPr>
      <w:r>
        <w:rPr>
          <w:rFonts w:ascii="Calibri" w:cs="Calibri" w:eastAsia="Calibri" w:hAnsi="Calibri"/>
          <w:sz w:val="16"/>
          <w:szCs w:val="16"/>
          <w:color w:val="auto"/>
        </w:rPr>
        <w:t>Form of Restricted Stock Award Agreement relating to the Matador Resources Company Amended and Restated 2012 Long-Term Incentive Plan for employees without employment agreements (incorporated by reference to Exhibit 10.54 to the Annual Report on Form 10-K for the year ended December 31, 2015).</w:t>
      </w:r>
    </w:p>
    <w:p>
      <w:pPr>
        <w:spacing w:after="0" w:line="134" w:lineRule="exact"/>
        <w:rPr>
          <w:sz w:val="20"/>
          <w:szCs w:val="20"/>
          <w:color w:val="auto"/>
        </w:rPr>
      </w:pPr>
    </w:p>
    <w:p>
      <w:pPr>
        <w:jc w:val="both"/>
        <w:ind w:right="900"/>
        <w:spacing w:after="0" w:line="243" w:lineRule="auto"/>
        <w:rPr>
          <w:sz w:val="20"/>
          <w:szCs w:val="20"/>
          <w:color w:val="auto"/>
        </w:rPr>
      </w:pPr>
      <w:r>
        <w:rPr>
          <w:rFonts w:ascii="Calibri" w:cs="Calibri" w:eastAsia="Calibri" w:hAnsi="Calibri"/>
          <w:sz w:val="15"/>
          <w:szCs w:val="15"/>
          <w:color w:val="auto"/>
        </w:rPr>
        <w:t>Form of Restricted Stock Unit Award Agreement for deferred delivery relating to the Matador Resources Company 2012 Long-Term Incentive Plan (incorporated by reference to Exhibit 10.63 to the Annual Report on Form 10-K for the year ended December 31, 2016).</w:t>
      </w:r>
    </w:p>
    <w:p>
      <w:pPr>
        <w:spacing w:after="0" w:line="149" w:lineRule="exact"/>
        <w:rPr>
          <w:sz w:val="20"/>
          <w:szCs w:val="20"/>
          <w:color w:val="auto"/>
        </w:rPr>
      </w:pPr>
    </w:p>
    <w:p>
      <w:pPr>
        <w:jc w:val="both"/>
        <w:ind w:right="880"/>
        <w:spacing w:after="0" w:line="228" w:lineRule="auto"/>
        <w:rPr>
          <w:sz w:val="20"/>
          <w:szCs w:val="20"/>
          <w:color w:val="auto"/>
        </w:rPr>
      </w:pPr>
      <w:r>
        <w:rPr>
          <w:rFonts w:ascii="Calibri" w:cs="Calibri" w:eastAsia="Calibri" w:hAnsi="Calibri"/>
          <w:sz w:val="16"/>
          <w:szCs w:val="16"/>
          <w:color w:val="auto"/>
        </w:rPr>
        <w:t>Form of Restricted Stock Unit Award Agreement for Annual Grants with delayed delivery relating to the Matador Resources Company Amended and Restated 2012 Long-Term Incentive Plan (incorporated by reference to Exhibit 10.4 to the Quarterly Report on Form 10-Q for the quarter ended June 30, 2017).</w:t>
      </w:r>
    </w:p>
    <w:p>
      <w:pPr>
        <w:spacing w:after="0" w:line="152" w:lineRule="exact"/>
        <w:rPr>
          <w:sz w:val="20"/>
          <w:szCs w:val="20"/>
          <w:color w:val="auto"/>
        </w:rPr>
      </w:pPr>
    </w:p>
    <w:p>
      <w:pPr>
        <w:ind w:right="880"/>
        <w:spacing w:after="0" w:line="228" w:lineRule="auto"/>
        <w:rPr>
          <w:sz w:val="20"/>
          <w:szCs w:val="20"/>
          <w:color w:val="auto"/>
        </w:rPr>
      </w:pPr>
      <w:r>
        <w:rPr>
          <w:rFonts w:ascii="Calibri" w:cs="Calibri" w:eastAsia="Calibri" w:hAnsi="Calibri"/>
          <w:sz w:val="16"/>
          <w:szCs w:val="16"/>
          <w:color w:val="auto"/>
        </w:rPr>
        <w:t>Form of Restricted Stock Unit Award Agreement for director awards with deferred delivery under the Matador Resources Company Amended and Restated 2012 Long-Term Incentive Plan (incorporated by reference to Exhibit 10.3 to the Quarterly Report on Form 10-Q for the quarter ended September 30, 2017).</w:t>
      </w:r>
    </w:p>
    <w:p>
      <w:pPr>
        <w:spacing w:after="0" w:line="152" w:lineRule="exact"/>
        <w:rPr>
          <w:sz w:val="20"/>
          <w:szCs w:val="20"/>
          <w:color w:val="auto"/>
        </w:rPr>
      </w:pPr>
    </w:p>
    <w:p>
      <w:pPr>
        <w:ind w:right="800"/>
        <w:spacing w:after="0" w:line="228" w:lineRule="auto"/>
        <w:rPr>
          <w:sz w:val="20"/>
          <w:szCs w:val="20"/>
          <w:color w:val="auto"/>
        </w:rPr>
      </w:pPr>
      <w:r>
        <w:rPr>
          <w:rFonts w:ascii="Calibri" w:cs="Calibri" w:eastAsia="Calibri" w:hAnsi="Calibri"/>
          <w:sz w:val="16"/>
          <w:szCs w:val="16"/>
          <w:color w:val="auto"/>
        </w:rPr>
        <w:t>Form of Nonqualified Stock Option Agreement for awards under the Matador Resources Company Amended and Restated 2012 Long-Term Incentive Plan for employees without employment agreements (incorporated by reference to Exhibit 10.4 to the Quarterly Report on Form 10-Q for the quarter ended September 30, 2017).</w:t>
      </w:r>
    </w:p>
    <w:p>
      <w:pPr>
        <w:spacing w:after="0" w:line="152" w:lineRule="exact"/>
        <w:rPr>
          <w:sz w:val="20"/>
          <w:szCs w:val="20"/>
          <w:color w:val="auto"/>
        </w:rPr>
      </w:pPr>
    </w:p>
    <w:p>
      <w:pPr>
        <w:ind w:right="820"/>
        <w:spacing w:after="0" w:line="228" w:lineRule="auto"/>
        <w:rPr>
          <w:sz w:val="20"/>
          <w:szCs w:val="20"/>
          <w:color w:val="auto"/>
        </w:rPr>
      </w:pPr>
      <w:r>
        <w:rPr>
          <w:rFonts w:ascii="Calibri" w:cs="Calibri" w:eastAsia="Calibri" w:hAnsi="Calibri"/>
          <w:sz w:val="16"/>
          <w:szCs w:val="16"/>
          <w:color w:val="auto"/>
        </w:rPr>
        <w:t>Form of Nonqualified Stock Option Agreement for awards under the Matador Resources Company Amended and Restated 2012 Long-Term Incentive Plan for employees with employment agreements (incorporated by reference to Exhibit 10.5 to the Quarterly Report on Form 10-Q for the quarter ended September 30, 2017).</w:t>
      </w:r>
    </w:p>
    <w:p>
      <w:pPr>
        <w:spacing w:after="0" w:line="152" w:lineRule="exact"/>
        <w:rPr>
          <w:sz w:val="20"/>
          <w:szCs w:val="20"/>
          <w:color w:val="auto"/>
        </w:rPr>
      </w:pPr>
    </w:p>
    <w:p>
      <w:pPr>
        <w:ind w:right="800"/>
        <w:spacing w:after="0" w:line="228" w:lineRule="auto"/>
        <w:rPr>
          <w:sz w:val="20"/>
          <w:szCs w:val="20"/>
          <w:color w:val="auto"/>
        </w:rPr>
      </w:pPr>
      <w:r>
        <w:rPr>
          <w:rFonts w:ascii="Calibri" w:cs="Calibri" w:eastAsia="Calibri" w:hAnsi="Calibri"/>
          <w:sz w:val="16"/>
          <w:szCs w:val="16"/>
          <w:color w:val="auto"/>
        </w:rPr>
        <w:t>Form of Restricted Stock Award Agreement for awards under the Matador Resources Company Amended and Restated 2012 Long-Term Incentive Plan for employees without employment agreements (incorporated by reference to Exhibit 10.6 to the Quarterly Report on Form 10-Q for the quarter ended September 30, 2017).</w:t>
      </w:r>
    </w:p>
    <w:p>
      <w:pPr>
        <w:spacing w:after="0" w:line="152" w:lineRule="exact"/>
        <w:rPr>
          <w:sz w:val="20"/>
          <w:szCs w:val="20"/>
          <w:color w:val="auto"/>
        </w:rPr>
      </w:pPr>
    </w:p>
    <w:p>
      <w:pPr>
        <w:ind w:right="820"/>
        <w:spacing w:after="0" w:line="228" w:lineRule="auto"/>
        <w:rPr>
          <w:sz w:val="20"/>
          <w:szCs w:val="20"/>
          <w:color w:val="auto"/>
        </w:rPr>
      </w:pPr>
      <w:r>
        <w:rPr>
          <w:rFonts w:ascii="Calibri" w:cs="Calibri" w:eastAsia="Calibri" w:hAnsi="Calibri"/>
          <w:sz w:val="16"/>
          <w:szCs w:val="16"/>
          <w:color w:val="auto"/>
        </w:rPr>
        <w:t>Form of Restricted Stock Award Agreement for awards under the Matador Resources Company Amended and Restated 2012 Long-Term Incentive Plan for employees with employment agreements (incorporated by reference to Exhibit 10.7 to the Quarterly Report on Form 10-Q for the quarter ended September 30, 2017).</w:t>
      </w:r>
    </w:p>
    <w:p>
      <w:pPr>
        <w:spacing w:after="0" w:line="152" w:lineRule="exact"/>
        <w:rPr>
          <w:sz w:val="20"/>
          <w:szCs w:val="20"/>
          <w:color w:val="auto"/>
        </w:rPr>
      </w:pPr>
    </w:p>
    <w:p>
      <w:pPr>
        <w:jc w:val="both"/>
        <w:ind w:right="900"/>
        <w:spacing w:after="0" w:line="228" w:lineRule="auto"/>
        <w:rPr>
          <w:sz w:val="20"/>
          <w:szCs w:val="20"/>
          <w:color w:val="auto"/>
        </w:rPr>
      </w:pPr>
      <w:r>
        <w:rPr>
          <w:rFonts w:ascii="Calibri" w:cs="Calibri" w:eastAsia="Calibri" w:hAnsi="Calibri"/>
          <w:sz w:val="16"/>
          <w:szCs w:val="16"/>
          <w:color w:val="auto"/>
        </w:rPr>
        <w:t>Form of Phantom Unit Award Agreement for awards under the Matador Resources Company Amended and Restated 2012 Long-Term Incentive Plan for employees with employment agreements (incorporated by reference to Exhibit 10.67 to the Annual Report on Form 10-K for the year ended December 31, 2018).</w:t>
      </w:r>
    </w:p>
    <w:p>
      <w:pPr>
        <w:spacing w:after="0" w:line="152" w:lineRule="exact"/>
        <w:rPr>
          <w:sz w:val="20"/>
          <w:szCs w:val="20"/>
          <w:color w:val="auto"/>
        </w:rPr>
      </w:pPr>
    </w:p>
    <w:p>
      <w:pPr>
        <w:ind w:right="1020"/>
        <w:spacing w:after="0" w:line="228" w:lineRule="auto"/>
        <w:rPr>
          <w:sz w:val="20"/>
          <w:szCs w:val="20"/>
          <w:color w:val="auto"/>
        </w:rPr>
      </w:pPr>
      <w:r>
        <w:rPr>
          <w:rFonts w:ascii="Calibri" w:cs="Calibri" w:eastAsia="Calibri" w:hAnsi="Calibri"/>
          <w:sz w:val="16"/>
          <w:szCs w:val="16"/>
          <w:color w:val="auto"/>
        </w:rPr>
        <w:t>Form of Performance Stock Unit Award Agreement for awards under the Matador Resources Company Amended and Restated 2012 Long-Term Incentive Plan for employees with employment agreements (incorporated by reference to Exhibit 10.68 to the Annual Report on Form 10-K for the year ended December 31, 2018).</w:t>
      </w:r>
    </w:p>
    <w:p>
      <w:pPr>
        <w:spacing w:after="0" w:line="200" w:lineRule="exact"/>
        <w:rPr>
          <w:sz w:val="20"/>
          <w:szCs w:val="20"/>
          <w:color w:val="auto"/>
        </w:rPr>
      </w:pPr>
    </w:p>
    <w:p>
      <w:pPr>
        <w:sectPr>
          <w:pgSz w:w="11880" w:h="15480" w:orient="portrait"/>
          <w:cols w:equalWidth="0" w:num="2">
            <w:col w:w="440" w:space="360"/>
            <w:col w:w="9480"/>
          </w:cols>
          <w:pgMar w:left="1200" w:top="498" w:right="400" w:bottom="0"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p>
      <w:pPr>
        <w:ind w:left="8780"/>
        <w:spacing w:after="0"/>
        <w:rPr>
          <w:sz w:val="20"/>
          <w:szCs w:val="20"/>
          <w:color w:val="auto"/>
        </w:rPr>
      </w:pPr>
      <w:r>
        <w:rPr>
          <w:rFonts w:ascii="Calibri" w:cs="Calibri" w:eastAsia="Calibri" w:hAnsi="Calibri"/>
          <w:sz w:val="17"/>
          <w:szCs w:val="17"/>
          <w:color w:val="auto"/>
        </w:rPr>
        <w:t>FORM 10-K PART IV</w:t>
      </w:r>
    </w:p>
    <w:p>
      <w:pPr>
        <w:sectPr>
          <w:pgSz w:w="11880" w:h="15480" w:orient="portrait"/>
          <w:cols w:equalWidth="0" w:num="1">
            <w:col w:w="10280"/>
          </w:cols>
          <w:pgMar w:left="1200" w:top="498" w:right="400" w:bottom="0" w:gutter="0" w:footer="0" w:header="0"/>
          <w:type w:val="continuous"/>
        </w:sectPr>
      </w:pPr>
    </w:p>
    <w:bookmarkStart w:id="123" w:name="page124"/>
    <w:bookmarkEnd w:id="123"/>
    <w:p>
      <w:pPr>
        <w:ind w:left="797" w:hanging="797"/>
        <w:spacing w:after="0"/>
        <w:tabs>
          <w:tab w:leader="none" w:pos="797" w:val="left"/>
        </w:tabs>
        <w:numPr>
          <w:ilvl w:val="0"/>
          <w:numId w:val="72"/>
        </w:numPr>
        <w:rPr>
          <w:rFonts w:ascii="Calibri" w:cs="Calibri" w:eastAsia="Calibri" w:hAnsi="Calibri"/>
          <w:sz w:val="18"/>
          <w:szCs w:val="18"/>
          <w:color w:val="auto"/>
        </w:rPr>
      </w:pPr>
      <w:r>
        <w:rPr>
          <w:rFonts w:ascii="Calibri" w:cs="Calibri" w:eastAsia="Calibri" w:hAnsi="Calibri"/>
          <w:sz w:val="18"/>
          <w:szCs w:val="18"/>
          <w:color w:val="auto"/>
        </w:rPr>
        <w:t>MATADOR RESOURCES COMPANY</w:t>
      </w:r>
    </w:p>
    <w:p>
      <w:pPr>
        <w:spacing w:after="0" w:line="200" w:lineRule="exact"/>
        <w:rPr>
          <w:rFonts w:ascii="Calibri" w:cs="Calibri" w:eastAsia="Calibri" w:hAnsi="Calibri"/>
          <w:sz w:val="18"/>
          <w:szCs w:val="18"/>
          <w:color w:val="auto"/>
        </w:rPr>
      </w:pPr>
    </w:p>
    <w:p>
      <w:pPr>
        <w:spacing w:after="0" w:line="200" w:lineRule="exact"/>
        <w:rPr>
          <w:rFonts w:ascii="Calibri" w:cs="Calibri" w:eastAsia="Calibri" w:hAnsi="Calibri"/>
          <w:sz w:val="18"/>
          <w:szCs w:val="18"/>
          <w:color w:val="auto"/>
        </w:rPr>
      </w:pPr>
    </w:p>
    <w:p>
      <w:pPr>
        <w:spacing w:after="0" w:line="297" w:lineRule="exact"/>
        <w:rPr>
          <w:rFonts w:ascii="Calibri" w:cs="Calibri" w:eastAsia="Calibri" w:hAnsi="Calibri"/>
          <w:sz w:val="18"/>
          <w:szCs w:val="18"/>
          <w:color w:val="auto"/>
        </w:rPr>
      </w:pPr>
    </w:p>
    <w:p>
      <w:pPr>
        <w:ind w:left="797"/>
        <w:spacing w:after="0"/>
        <w:rPr>
          <w:rFonts w:ascii="Calibri" w:cs="Calibri" w:eastAsia="Calibri" w:hAnsi="Calibri"/>
          <w:sz w:val="18"/>
          <w:szCs w:val="18"/>
          <w:color w:val="auto"/>
        </w:rPr>
      </w:pPr>
      <w:r>
        <w:rPr>
          <w:rFonts w:ascii="Calibri" w:cs="Calibri" w:eastAsia="Calibri" w:hAnsi="Calibri"/>
          <w:sz w:val="17"/>
          <w:szCs w:val="17"/>
          <w:b w:val="1"/>
          <w:bCs w:val="1"/>
          <w:color w:val="auto"/>
        </w:rPr>
        <w:t>Exhibit</w:t>
      </w:r>
    </w:p>
    <w:p>
      <w:pPr>
        <w:spacing w:after="0" w:line="1" w:lineRule="exact"/>
        <w:rPr>
          <w:rFonts w:ascii="Calibri" w:cs="Calibri" w:eastAsia="Calibri" w:hAnsi="Calibri"/>
          <w:sz w:val="18"/>
          <w:szCs w:val="18"/>
          <w:color w:val="auto"/>
        </w:rPr>
      </w:pPr>
    </w:p>
    <w:p>
      <w:pPr>
        <w:ind w:left="797"/>
        <w:spacing w:after="0"/>
        <w:rPr>
          <w:rFonts w:ascii="Calibri" w:cs="Calibri" w:eastAsia="Calibri" w:hAnsi="Calibri"/>
          <w:sz w:val="18"/>
          <w:szCs w:val="18"/>
          <w:color w:val="auto"/>
        </w:rPr>
      </w:pPr>
      <w:r>
        <w:rPr>
          <w:rFonts w:ascii="Calibri" w:cs="Calibri" w:eastAsia="Calibri" w:hAnsi="Calibri"/>
          <w:sz w:val="17"/>
          <w:szCs w:val="17"/>
          <w:b w:val="1"/>
          <w:bCs w:val="1"/>
          <w:color w:val="auto"/>
        </w:rPr>
        <w:t>Number   Description</w:t>
      </w:r>
    </w:p>
    <w:p>
      <w:pPr>
        <w:spacing w:after="0" w:line="133" w:lineRule="exact"/>
        <w:rPr>
          <w:rFonts w:ascii="Calibri" w:cs="Calibri" w:eastAsia="Calibri" w:hAnsi="Calibri"/>
          <w:sz w:val="18"/>
          <w:szCs w:val="18"/>
          <w:color w:val="auto"/>
        </w:rPr>
      </w:pPr>
    </w:p>
    <w:p>
      <w:pPr>
        <w:ind w:left="1597" w:right="120" w:hanging="797"/>
        <w:spacing w:after="0" w:line="226" w:lineRule="auto"/>
        <w:rPr>
          <w:rFonts w:ascii="Calibri" w:cs="Calibri" w:eastAsia="Calibri" w:hAnsi="Calibri"/>
          <w:sz w:val="18"/>
          <w:szCs w:val="18"/>
          <w:color w:val="auto"/>
        </w:rPr>
      </w:pPr>
      <w:r>
        <w:rPr>
          <w:rFonts w:ascii="Calibri" w:cs="Calibri" w:eastAsia="Calibri" w:hAnsi="Calibri"/>
          <w:sz w:val="16"/>
          <w:szCs w:val="16"/>
          <w:color w:val="auto"/>
        </w:rPr>
        <w:t>10.36†Matador Resources Company 2019 Long-Term Incentive Plan (incorporated by reference to Exhibit 99.1 to the Registration Statement on Form S-8 filed on June 6, 2019).</w:t>
      </w:r>
    </w:p>
    <w:p>
      <w:pPr>
        <w:spacing w:after="0" w:line="134" w:lineRule="exact"/>
        <w:rPr>
          <w:rFonts w:ascii="Calibri" w:cs="Calibri" w:eastAsia="Calibri" w:hAnsi="Calibri"/>
          <w:sz w:val="18"/>
          <w:szCs w:val="18"/>
          <w:color w:val="auto"/>
        </w:rPr>
      </w:pPr>
    </w:p>
    <w:p>
      <w:pPr>
        <w:ind w:left="1597" w:hanging="797"/>
        <w:spacing w:after="0" w:line="226" w:lineRule="auto"/>
        <w:rPr>
          <w:rFonts w:ascii="Calibri" w:cs="Calibri" w:eastAsia="Calibri" w:hAnsi="Calibri"/>
          <w:sz w:val="18"/>
          <w:szCs w:val="18"/>
          <w:color w:val="auto"/>
        </w:rPr>
      </w:pPr>
      <w:r>
        <w:rPr>
          <w:rFonts w:ascii="Calibri" w:cs="Calibri" w:eastAsia="Calibri" w:hAnsi="Calibri"/>
          <w:sz w:val="16"/>
          <w:szCs w:val="16"/>
          <w:color w:val="auto"/>
        </w:rPr>
        <w:t>10.37†First Amendment to Matador Resources Company 2019 Long-Term Incentive Plan effective April 21, 2022 (incorporated by reference to Exhibit 10.1 to the Current Report on Form 8-K filed on June 16, 2022).</w:t>
      </w:r>
    </w:p>
    <w:p>
      <w:pPr>
        <w:spacing w:after="0" w:line="134" w:lineRule="exact"/>
        <w:rPr>
          <w:rFonts w:ascii="Calibri" w:cs="Calibri" w:eastAsia="Calibri" w:hAnsi="Calibri"/>
          <w:sz w:val="18"/>
          <w:szCs w:val="18"/>
          <w:color w:val="auto"/>
        </w:rPr>
      </w:pPr>
    </w:p>
    <w:p>
      <w:pPr>
        <w:jc w:val="center"/>
        <w:ind w:left="1597" w:right="40" w:hanging="797"/>
        <w:spacing w:after="0" w:line="243" w:lineRule="auto"/>
        <w:rPr>
          <w:rFonts w:ascii="Calibri" w:cs="Calibri" w:eastAsia="Calibri" w:hAnsi="Calibri"/>
          <w:sz w:val="18"/>
          <w:szCs w:val="18"/>
          <w:color w:val="auto"/>
        </w:rPr>
      </w:pPr>
      <w:r>
        <w:rPr>
          <w:rFonts w:ascii="Calibri" w:cs="Calibri" w:eastAsia="Calibri" w:hAnsi="Calibri"/>
          <w:sz w:val="16"/>
          <w:szCs w:val="16"/>
          <w:color w:val="auto"/>
        </w:rPr>
        <w:t>10.38†</w:t>
      </w:r>
      <w:r>
        <w:rPr>
          <w:rFonts w:ascii="Calibri" w:cs="Calibri" w:eastAsia="Calibri" w:hAnsi="Calibri"/>
          <w:sz w:val="15"/>
          <w:szCs w:val="15"/>
          <w:color w:val="auto"/>
        </w:rPr>
        <w:t>Form of Restricted Stock Unit Award Agreement for director awards under the Matador Resources Company 2019 Long-Term Incentive Plan (incorporated by reference to Exhibit 10.2 to the Quarterly Report on Form 10-Q for the quarter ended June 30, 2019).</w:t>
      </w:r>
    </w:p>
    <w:p>
      <w:pPr>
        <w:spacing w:after="0" w:line="131" w:lineRule="exact"/>
        <w:rPr>
          <w:rFonts w:ascii="Calibri" w:cs="Calibri" w:eastAsia="Calibri" w:hAnsi="Calibri"/>
          <w:sz w:val="18"/>
          <w:szCs w:val="18"/>
          <w:color w:val="auto"/>
        </w:rPr>
      </w:pPr>
    </w:p>
    <w:p>
      <w:pPr>
        <w:ind w:left="1597" w:right="80" w:hanging="797"/>
        <w:spacing w:after="0" w:line="228" w:lineRule="auto"/>
        <w:rPr>
          <w:rFonts w:ascii="Calibri" w:cs="Calibri" w:eastAsia="Calibri" w:hAnsi="Calibri"/>
          <w:sz w:val="18"/>
          <w:szCs w:val="18"/>
          <w:color w:val="auto"/>
        </w:rPr>
      </w:pPr>
      <w:r>
        <w:rPr>
          <w:rFonts w:ascii="Calibri" w:cs="Calibri" w:eastAsia="Calibri" w:hAnsi="Calibri"/>
          <w:sz w:val="16"/>
          <w:szCs w:val="16"/>
          <w:color w:val="auto"/>
        </w:rPr>
        <w:t>10.39†Form of Restricted Stock Unit Award Agreement for director awards with deferred delivery under the Matador Resources Company 2019 Long-Term Incentive Plan (incorporated by reference to Exhibit 10.3 to the Quarterly Report on Form 10-Q for the quarter ended June 30, 2019).</w:t>
      </w:r>
    </w:p>
    <w:p>
      <w:pPr>
        <w:spacing w:after="0" w:line="151" w:lineRule="exact"/>
        <w:rPr>
          <w:rFonts w:ascii="Calibri" w:cs="Calibri" w:eastAsia="Calibri" w:hAnsi="Calibri"/>
          <w:sz w:val="18"/>
          <w:szCs w:val="18"/>
          <w:color w:val="auto"/>
        </w:rPr>
      </w:pPr>
    </w:p>
    <w:p>
      <w:pPr>
        <w:ind w:left="1597" w:right="360" w:hanging="797"/>
        <w:spacing w:after="0" w:line="228" w:lineRule="auto"/>
        <w:rPr>
          <w:rFonts w:ascii="Calibri" w:cs="Calibri" w:eastAsia="Calibri" w:hAnsi="Calibri"/>
          <w:sz w:val="18"/>
          <w:szCs w:val="18"/>
          <w:color w:val="auto"/>
        </w:rPr>
      </w:pPr>
      <w:r>
        <w:rPr>
          <w:rFonts w:ascii="Calibri" w:cs="Calibri" w:eastAsia="Calibri" w:hAnsi="Calibri"/>
          <w:sz w:val="16"/>
          <w:szCs w:val="16"/>
          <w:color w:val="auto"/>
        </w:rPr>
        <w:t>10.40†Form of Phantom Unit Award Agreement for awards under the Matador Resources Company 2019 Long-Term Incentive Plan for employees with employment agreements (incorporated by reference to Exhibit 10.1 to the Quarterly Report on Form 10-Q for the quarter ended March 31, 2020).</w:t>
      </w:r>
    </w:p>
    <w:p>
      <w:pPr>
        <w:spacing w:after="0" w:line="151" w:lineRule="exact"/>
        <w:rPr>
          <w:rFonts w:ascii="Calibri" w:cs="Calibri" w:eastAsia="Calibri" w:hAnsi="Calibri"/>
          <w:sz w:val="18"/>
          <w:szCs w:val="18"/>
          <w:color w:val="auto"/>
        </w:rPr>
      </w:pPr>
    </w:p>
    <w:p>
      <w:pPr>
        <w:ind w:left="1597" w:right="100" w:hanging="797"/>
        <w:spacing w:after="0" w:line="228" w:lineRule="auto"/>
        <w:rPr>
          <w:rFonts w:ascii="Calibri" w:cs="Calibri" w:eastAsia="Calibri" w:hAnsi="Calibri"/>
          <w:sz w:val="18"/>
          <w:szCs w:val="18"/>
          <w:color w:val="auto"/>
        </w:rPr>
      </w:pPr>
      <w:r>
        <w:rPr>
          <w:rFonts w:ascii="Calibri" w:cs="Calibri" w:eastAsia="Calibri" w:hAnsi="Calibri"/>
          <w:sz w:val="16"/>
          <w:szCs w:val="16"/>
          <w:color w:val="auto"/>
        </w:rPr>
        <w:t>10.41†Form of Performance Stock Unit Award Agreement for awards under the Matador Resources Company 2019 Long-Term Incentive Plan for employees with employment agreements (incorporated by reference to Exhibit 10.2 to the Quarterly Report on Form 10-Q for the quarter ended March 31, 2020).</w:t>
      </w:r>
    </w:p>
    <w:p>
      <w:pPr>
        <w:spacing w:after="0" w:line="151" w:lineRule="exact"/>
        <w:rPr>
          <w:rFonts w:ascii="Calibri" w:cs="Calibri" w:eastAsia="Calibri" w:hAnsi="Calibri"/>
          <w:sz w:val="18"/>
          <w:szCs w:val="18"/>
          <w:color w:val="auto"/>
        </w:rPr>
      </w:pPr>
    </w:p>
    <w:p>
      <w:pPr>
        <w:ind w:left="1597" w:right="100" w:hanging="797"/>
        <w:spacing w:after="0" w:line="228" w:lineRule="auto"/>
        <w:rPr>
          <w:rFonts w:ascii="Calibri" w:cs="Calibri" w:eastAsia="Calibri" w:hAnsi="Calibri"/>
          <w:sz w:val="18"/>
          <w:szCs w:val="18"/>
          <w:color w:val="auto"/>
        </w:rPr>
      </w:pPr>
      <w:r>
        <w:rPr>
          <w:rFonts w:ascii="Calibri" w:cs="Calibri" w:eastAsia="Calibri" w:hAnsi="Calibri"/>
          <w:sz w:val="16"/>
          <w:szCs w:val="16"/>
          <w:color w:val="auto"/>
        </w:rPr>
        <w:t>10.42†Form of Performance Stock Unit Award Agreement for awards under the Matador Resources Company 2019 Long-Term Incentive Plan for employees with employment agreements (incorporated by reference to Exhibit 10.58 to the Annual Report on Form 10-K for the year ended December 31, 2021).</w:t>
      </w:r>
    </w:p>
    <w:p>
      <w:pPr>
        <w:spacing w:after="0" w:line="151" w:lineRule="exact"/>
        <w:rPr>
          <w:rFonts w:ascii="Calibri" w:cs="Calibri" w:eastAsia="Calibri" w:hAnsi="Calibri"/>
          <w:sz w:val="18"/>
          <w:szCs w:val="18"/>
          <w:color w:val="auto"/>
        </w:rPr>
      </w:pPr>
    </w:p>
    <w:p>
      <w:pPr>
        <w:ind w:left="1597" w:right="20" w:hanging="797"/>
        <w:spacing w:after="0" w:line="228" w:lineRule="auto"/>
        <w:rPr>
          <w:rFonts w:ascii="Calibri" w:cs="Calibri" w:eastAsia="Calibri" w:hAnsi="Calibri"/>
          <w:sz w:val="18"/>
          <w:szCs w:val="18"/>
          <w:color w:val="auto"/>
        </w:rPr>
      </w:pPr>
      <w:r>
        <w:rPr>
          <w:rFonts w:ascii="Calibri" w:cs="Calibri" w:eastAsia="Calibri" w:hAnsi="Calibri"/>
          <w:sz w:val="16"/>
          <w:szCs w:val="16"/>
          <w:color w:val="auto"/>
        </w:rPr>
        <w:t>10.43†Form of Performance Stock Unit Award Agreement for awards under the Matador Resources Company 2019 Long-Term Incentive Plan for employees without employment agreements (incorporated by reference to Exhibit 10.59 to the Annual Report on Form 10-K 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-3174365</wp:posOffset>
            </wp:positionV>
            <wp:extent cx="6074410" cy="127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4">
                      <a:extLst>
                        <a:ext uri="{28A0092B-C50C-407E-A947-70E740481C1C}"/>
                      </a:extLst>
                    </a:blip>
                    <a:srcRect/>
                    <a:stretch>
                      <a:fillRect/>
                    </a:stretch>
                  </pic:blipFill>
                  <pic:spPr bwMode="auto">
                    <a:xfrm>
                      <a:off x="0" y="0"/>
                      <a:ext cx="6074410" cy="127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476250</wp:posOffset>
                </wp:positionH>
                <wp:positionV relativeFrom="paragraph">
                  <wp:posOffset>-3580130</wp:posOffset>
                </wp:positionV>
                <wp:extent cx="6811645" cy="0"/>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46" o:spid="_x0000_s12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pt,-281.8999pt" to="573.85pt,-281.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476250</wp:posOffset>
                </wp:positionH>
                <wp:positionV relativeFrom="paragraph">
                  <wp:posOffset>-3580130</wp:posOffset>
                </wp:positionV>
                <wp:extent cx="6811645" cy="0"/>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47" o:spid="_x0000_s12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pt,-281.8999pt" to="573.85pt,-281.8999pt" o:allowincell="f" strokecolor="#214E93" strokeweight="1pt"/>
            </w:pict>
          </mc:Fallback>
        </mc:AlternateContent>
      </w:r>
    </w:p>
    <w:p>
      <w:pPr>
        <w:sectPr>
          <w:pgSz w:w="11880" w:h="15480" w:orient="portrait"/>
          <w:cols w:equalWidth="0" w:num="1">
            <w:col w:w="10277"/>
          </w:cols>
          <w:pgMar w:left="403" w:top="498" w:right="1200" w:bottom="0" w:gutter="0" w:footer="0" w:header="0"/>
        </w:sectPr>
      </w:pPr>
    </w:p>
    <w:p>
      <w:pPr>
        <w:spacing w:after="0" w:line="149" w:lineRule="exact"/>
        <w:rPr>
          <w:sz w:val="20"/>
          <w:szCs w:val="20"/>
          <w:color w:val="auto"/>
        </w:rPr>
      </w:pPr>
    </w:p>
    <w:p>
      <w:pPr>
        <w:ind w:left="797"/>
        <w:spacing w:after="0"/>
        <w:rPr>
          <w:sz w:val="20"/>
          <w:szCs w:val="20"/>
          <w:color w:val="auto"/>
        </w:rPr>
      </w:pPr>
      <w:r>
        <w:rPr>
          <w:rFonts w:ascii="Calibri" w:cs="Calibri" w:eastAsia="Calibri" w:hAnsi="Calibri"/>
          <w:sz w:val="15"/>
          <w:szCs w:val="15"/>
          <w:color w:val="auto"/>
        </w:rPr>
        <w:t>10.44†</w:t>
      </w:r>
    </w:p>
    <w:p>
      <w:pPr>
        <w:spacing w:after="0" w:line="200" w:lineRule="exact"/>
        <w:rPr>
          <w:sz w:val="20"/>
          <w:szCs w:val="20"/>
          <w:color w:val="auto"/>
        </w:rPr>
      </w:pPr>
    </w:p>
    <w:p>
      <w:pPr>
        <w:spacing w:after="0" w:line="325" w:lineRule="exact"/>
        <w:rPr>
          <w:sz w:val="20"/>
          <w:szCs w:val="20"/>
          <w:color w:val="auto"/>
        </w:rPr>
      </w:pPr>
    </w:p>
    <w:p>
      <w:pPr>
        <w:ind w:left="797"/>
        <w:spacing w:after="0"/>
        <w:rPr>
          <w:sz w:val="20"/>
          <w:szCs w:val="20"/>
          <w:color w:val="auto"/>
        </w:rPr>
      </w:pPr>
      <w:r>
        <w:rPr>
          <w:rFonts w:ascii="Calibri" w:cs="Calibri" w:eastAsia="Calibri" w:hAnsi="Calibri"/>
          <w:sz w:val="15"/>
          <w:szCs w:val="15"/>
          <w:color w:val="auto"/>
        </w:rPr>
        <w:t>10.45†</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both"/>
        <w:ind w:right="220"/>
        <w:spacing w:after="0" w:line="228" w:lineRule="auto"/>
        <w:rPr>
          <w:sz w:val="20"/>
          <w:szCs w:val="20"/>
          <w:color w:val="auto"/>
        </w:rPr>
      </w:pPr>
      <w:r>
        <w:rPr>
          <w:rFonts w:ascii="Calibri" w:cs="Calibri" w:eastAsia="Calibri" w:hAnsi="Calibri"/>
          <w:sz w:val="16"/>
          <w:szCs w:val="16"/>
          <w:color w:val="auto"/>
        </w:rPr>
        <w:t>Form of Restricted Stock Award Agreement for awards under the Matador Resources Company 2019 Long-Term Incentive Plan with ratable vesting for employees without employment agreements (incorporated by reference to Exhibit 10.60 to the Annual Report on Form 10-K for the year ended December 31, 2021).</w:t>
      </w:r>
    </w:p>
    <w:p>
      <w:pPr>
        <w:spacing w:after="0" w:line="152" w:lineRule="exact"/>
        <w:rPr>
          <w:sz w:val="20"/>
          <w:szCs w:val="20"/>
          <w:color w:val="auto"/>
        </w:rPr>
      </w:pPr>
    </w:p>
    <w:p>
      <w:pPr>
        <w:ind w:right="20"/>
        <w:spacing w:after="0" w:line="228" w:lineRule="auto"/>
        <w:rPr>
          <w:sz w:val="20"/>
          <w:szCs w:val="20"/>
          <w:color w:val="auto"/>
        </w:rPr>
      </w:pPr>
      <w:r>
        <w:rPr>
          <w:rFonts w:ascii="Calibri" w:cs="Calibri" w:eastAsia="Calibri" w:hAnsi="Calibri"/>
          <w:sz w:val="16"/>
          <w:szCs w:val="16"/>
          <w:color w:val="auto"/>
        </w:rPr>
        <w:t>Form of Stock Option Cancellation Agreement for certain stock options under the Matador Resources Company Amended and Restated 2012 Long-Term Incentive Plan (incorporated by reference to Exhibit 10.56 to the Annual Report on Form 10-K for the year ended December 31, 2020).</w:t>
      </w:r>
    </w:p>
    <w:p>
      <w:pPr>
        <w:spacing w:after="0" w:line="134" w:lineRule="exact"/>
        <w:rPr>
          <w:sz w:val="20"/>
          <w:szCs w:val="20"/>
          <w:color w:val="auto"/>
        </w:rPr>
      </w:pPr>
    </w:p>
    <w:p>
      <w:pPr>
        <w:sectPr>
          <w:pgSz w:w="11880" w:h="15480" w:orient="portrait"/>
          <w:cols w:equalWidth="0" w:num="2">
            <w:col w:w="1237" w:space="360"/>
            <w:col w:w="8680"/>
          </w:cols>
          <w:pgMar w:left="403" w:top="498" w:right="1200" w:bottom="0" w:gutter="0" w:footer="0" w:header="0"/>
          <w:type w:val="continuous"/>
        </w:sectPr>
      </w:pPr>
    </w:p>
    <w:p>
      <w:pPr>
        <w:ind w:left="1597" w:right="120" w:hanging="796"/>
        <w:spacing w:after="0" w:line="226" w:lineRule="auto"/>
        <w:tabs>
          <w:tab w:leader="none" w:pos="1577" w:val="left"/>
        </w:tabs>
        <w:rPr>
          <w:sz w:val="20"/>
          <w:szCs w:val="20"/>
          <w:color w:val="auto"/>
        </w:rPr>
      </w:pPr>
      <w:r>
        <w:rPr>
          <w:rFonts w:ascii="Calibri" w:cs="Calibri" w:eastAsia="Calibri" w:hAnsi="Calibri"/>
          <w:sz w:val="16"/>
          <w:szCs w:val="16"/>
          <w:color w:val="auto"/>
        </w:rPr>
        <w:t>10.46†</w:t>
      </w:r>
      <w:r>
        <w:rPr>
          <w:sz w:val="20"/>
          <w:szCs w:val="20"/>
          <w:color w:val="auto"/>
        </w:rPr>
        <w:tab/>
      </w:r>
      <w:r>
        <w:rPr>
          <w:rFonts w:ascii="Calibri" w:cs="Calibri" w:eastAsia="Calibri" w:hAnsi="Calibri"/>
          <w:sz w:val="16"/>
          <w:szCs w:val="16"/>
          <w:color w:val="auto"/>
        </w:rPr>
        <w:t>Matador Resources Company 2022 Employee Stock Purchase Plan (incorporated by reference to Exhibit 10.2 to the Current Report on Form 8-K filed on June 16, 2022).</w:t>
      </w:r>
    </w:p>
    <w:p>
      <w:pPr>
        <w:sectPr>
          <w:pgSz w:w="11880" w:h="15480" w:orient="portrait"/>
          <w:cols w:equalWidth="0" w:num="1">
            <w:col w:w="10277"/>
          </w:cols>
          <w:pgMar w:left="403" w:top="498" w:right="1200" w:bottom="0" w:gutter="0" w:footer="0" w:header="0"/>
          <w:type w:val="continuous"/>
        </w:sectPr>
      </w:pPr>
    </w:p>
    <w:p>
      <w:pPr>
        <w:spacing w:after="0" w:line="131" w:lineRule="exact"/>
        <w:rPr>
          <w:sz w:val="20"/>
          <w:szCs w:val="20"/>
          <w:color w:val="auto"/>
        </w:rPr>
      </w:pPr>
    </w:p>
    <w:p>
      <w:pPr>
        <w:ind w:left="797"/>
        <w:spacing w:after="0"/>
        <w:rPr>
          <w:sz w:val="20"/>
          <w:szCs w:val="20"/>
          <w:color w:val="auto"/>
        </w:rPr>
      </w:pPr>
      <w:r>
        <w:rPr>
          <w:rFonts w:ascii="Calibri" w:cs="Calibri" w:eastAsia="Calibri" w:hAnsi="Calibri"/>
          <w:sz w:val="15"/>
          <w:szCs w:val="15"/>
          <w:color w:val="auto"/>
        </w:rPr>
        <w:t>19.1</w:t>
      </w:r>
    </w:p>
    <w:p>
      <w:pPr>
        <w:spacing w:after="0" w:line="142" w:lineRule="exact"/>
        <w:rPr>
          <w:sz w:val="20"/>
          <w:szCs w:val="20"/>
          <w:color w:val="auto"/>
        </w:rPr>
      </w:pPr>
    </w:p>
    <w:p>
      <w:pPr>
        <w:ind w:left="797"/>
        <w:spacing w:after="0"/>
        <w:rPr>
          <w:sz w:val="20"/>
          <w:szCs w:val="20"/>
          <w:color w:val="auto"/>
        </w:rPr>
      </w:pPr>
      <w:r>
        <w:rPr>
          <w:rFonts w:ascii="Calibri" w:cs="Calibri" w:eastAsia="Calibri" w:hAnsi="Calibri"/>
          <w:sz w:val="15"/>
          <w:szCs w:val="15"/>
          <w:color w:val="auto"/>
        </w:rPr>
        <w:t>21.1</w:t>
      </w:r>
    </w:p>
    <w:p>
      <w:pPr>
        <w:spacing w:after="0" w:line="142" w:lineRule="exact"/>
        <w:rPr>
          <w:sz w:val="20"/>
          <w:szCs w:val="20"/>
          <w:color w:val="auto"/>
        </w:rPr>
      </w:pPr>
    </w:p>
    <w:p>
      <w:pPr>
        <w:ind w:left="797"/>
        <w:spacing w:after="0"/>
        <w:rPr>
          <w:sz w:val="20"/>
          <w:szCs w:val="20"/>
          <w:color w:val="auto"/>
        </w:rPr>
      </w:pPr>
      <w:r>
        <w:rPr>
          <w:rFonts w:ascii="Calibri" w:cs="Calibri" w:eastAsia="Calibri" w:hAnsi="Calibri"/>
          <w:sz w:val="15"/>
          <w:szCs w:val="15"/>
          <w:color w:val="auto"/>
        </w:rPr>
        <w:t>23.1</w:t>
      </w:r>
    </w:p>
    <w:p>
      <w:pPr>
        <w:spacing w:after="0" w:line="142" w:lineRule="exact"/>
        <w:rPr>
          <w:sz w:val="20"/>
          <w:szCs w:val="20"/>
          <w:color w:val="auto"/>
        </w:rPr>
      </w:pPr>
    </w:p>
    <w:p>
      <w:pPr>
        <w:ind w:left="797"/>
        <w:spacing w:after="0"/>
        <w:rPr>
          <w:sz w:val="20"/>
          <w:szCs w:val="20"/>
          <w:color w:val="auto"/>
        </w:rPr>
      </w:pPr>
      <w:r>
        <w:rPr>
          <w:rFonts w:ascii="Calibri" w:cs="Calibri" w:eastAsia="Calibri" w:hAnsi="Calibri"/>
          <w:sz w:val="15"/>
          <w:szCs w:val="15"/>
          <w:color w:val="auto"/>
        </w:rPr>
        <w:t>23.2</w:t>
      </w:r>
    </w:p>
    <w:p>
      <w:pPr>
        <w:spacing w:after="0" w:line="142" w:lineRule="exact"/>
        <w:rPr>
          <w:sz w:val="20"/>
          <w:szCs w:val="20"/>
          <w:color w:val="auto"/>
        </w:rPr>
      </w:pPr>
    </w:p>
    <w:p>
      <w:pPr>
        <w:ind w:left="797"/>
        <w:spacing w:after="0"/>
        <w:rPr>
          <w:sz w:val="20"/>
          <w:szCs w:val="20"/>
          <w:color w:val="auto"/>
        </w:rPr>
      </w:pPr>
      <w:r>
        <w:rPr>
          <w:rFonts w:ascii="Calibri" w:cs="Calibri" w:eastAsia="Calibri" w:hAnsi="Calibri"/>
          <w:sz w:val="15"/>
          <w:szCs w:val="15"/>
          <w:color w:val="auto"/>
        </w:rPr>
        <w:t>31.1</w:t>
      </w:r>
    </w:p>
    <w:p>
      <w:pPr>
        <w:spacing w:after="0" w:line="142" w:lineRule="exact"/>
        <w:rPr>
          <w:sz w:val="20"/>
          <w:szCs w:val="20"/>
          <w:color w:val="auto"/>
        </w:rPr>
      </w:pPr>
    </w:p>
    <w:p>
      <w:pPr>
        <w:ind w:left="797"/>
        <w:spacing w:after="0"/>
        <w:rPr>
          <w:sz w:val="20"/>
          <w:szCs w:val="20"/>
          <w:color w:val="auto"/>
        </w:rPr>
      </w:pPr>
      <w:r>
        <w:rPr>
          <w:rFonts w:ascii="Calibri" w:cs="Calibri" w:eastAsia="Calibri" w:hAnsi="Calibri"/>
          <w:sz w:val="15"/>
          <w:szCs w:val="15"/>
          <w:color w:val="auto"/>
        </w:rPr>
        <w:t>31.2</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Calibri" w:cs="Calibri" w:eastAsia="Calibri" w:hAnsi="Calibri"/>
          <w:sz w:val="16"/>
          <w:szCs w:val="16"/>
          <w:color w:val="auto"/>
        </w:rPr>
        <w:t>Matador Resources Company Insider Trading Policy (filed herewith).</w:t>
      </w:r>
    </w:p>
    <w:p>
      <w:pPr>
        <w:spacing w:after="0" w:line="129" w:lineRule="exact"/>
        <w:rPr>
          <w:sz w:val="20"/>
          <w:szCs w:val="20"/>
          <w:color w:val="auto"/>
        </w:rPr>
      </w:pPr>
    </w:p>
    <w:p>
      <w:pPr>
        <w:spacing w:after="0"/>
        <w:rPr>
          <w:sz w:val="20"/>
          <w:szCs w:val="20"/>
          <w:color w:val="auto"/>
        </w:rPr>
      </w:pPr>
      <w:r>
        <w:rPr>
          <w:rFonts w:ascii="Calibri" w:cs="Calibri" w:eastAsia="Calibri" w:hAnsi="Calibri"/>
          <w:sz w:val="16"/>
          <w:szCs w:val="16"/>
          <w:color w:val="auto"/>
        </w:rPr>
        <w:t>List of Subsidiaries of Matador Resources Company (filed herewith).</w:t>
      </w:r>
    </w:p>
    <w:p>
      <w:pPr>
        <w:spacing w:after="0" w:line="129" w:lineRule="exact"/>
        <w:rPr>
          <w:sz w:val="20"/>
          <w:szCs w:val="20"/>
          <w:color w:val="auto"/>
        </w:rPr>
      </w:pPr>
    </w:p>
    <w:p>
      <w:pPr>
        <w:spacing w:after="0"/>
        <w:rPr>
          <w:sz w:val="20"/>
          <w:szCs w:val="20"/>
          <w:color w:val="auto"/>
        </w:rPr>
      </w:pPr>
      <w:r>
        <w:rPr>
          <w:rFonts w:ascii="Calibri" w:cs="Calibri" w:eastAsia="Calibri" w:hAnsi="Calibri"/>
          <w:sz w:val="16"/>
          <w:szCs w:val="16"/>
          <w:color w:val="auto"/>
        </w:rPr>
        <w:t>Consent of KPMG LLP (filed herewith).</w:t>
      </w:r>
    </w:p>
    <w:p>
      <w:pPr>
        <w:spacing w:after="0" w:line="129" w:lineRule="exact"/>
        <w:rPr>
          <w:sz w:val="20"/>
          <w:szCs w:val="20"/>
          <w:color w:val="auto"/>
        </w:rPr>
      </w:pPr>
    </w:p>
    <w:p>
      <w:pPr>
        <w:spacing w:after="0"/>
        <w:rPr>
          <w:sz w:val="20"/>
          <w:szCs w:val="20"/>
          <w:color w:val="auto"/>
        </w:rPr>
      </w:pPr>
      <w:r>
        <w:rPr>
          <w:rFonts w:ascii="Calibri" w:cs="Calibri" w:eastAsia="Calibri" w:hAnsi="Calibri"/>
          <w:sz w:val="16"/>
          <w:szCs w:val="16"/>
          <w:color w:val="auto"/>
        </w:rPr>
        <w:t>Consent of Netherland, Sewell &amp; Associates, Inc. (filed herewith).</w:t>
      </w:r>
    </w:p>
    <w:p>
      <w:pPr>
        <w:spacing w:after="0" w:line="142" w:lineRule="exact"/>
        <w:rPr>
          <w:sz w:val="20"/>
          <w:szCs w:val="20"/>
          <w:color w:val="auto"/>
        </w:rPr>
      </w:pPr>
    </w:p>
    <w:p>
      <w:pPr>
        <w:spacing w:after="0"/>
        <w:rPr>
          <w:sz w:val="20"/>
          <w:szCs w:val="20"/>
          <w:color w:val="auto"/>
        </w:rPr>
      </w:pPr>
      <w:r>
        <w:rPr>
          <w:rFonts w:ascii="Calibri" w:cs="Calibri" w:eastAsia="Calibri" w:hAnsi="Calibri"/>
          <w:sz w:val="15"/>
          <w:szCs w:val="15"/>
          <w:color w:val="auto"/>
        </w:rPr>
        <w:t>Certification of Principal Executive Officer pursuant to Section 302 of the Sarbanes-Oxley Act of 2002 (filed herewith).</w:t>
      </w:r>
    </w:p>
    <w:p>
      <w:pPr>
        <w:spacing w:after="0" w:line="142" w:lineRule="exact"/>
        <w:rPr>
          <w:sz w:val="20"/>
          <w:szCs w:val="20"/>
          <w:color w:val="auto"/>
        </w:rPr>
      </w:pPr>
    </w:p>
    <w:p>
      <w:pPr>
        <w:spacing w:after="0"/>
        <w:rPr>
          <w:sz w:val="20"/>
          <w:szCs w:val="20"/>
          <w:color w:val="auto"/>
        </w:rPr>
      </w:pPr>
      <w:r>
        <w:rPr>
          <w:rFonts w:ascii="Calibri" w:cs="Calibri" w:eastAsia="Calibri" w:hAnsi="Calibri"/>
          <w:sz w:val="15"/>
          <w:szCs w:val="15"/>
          <w:color w:val="auto"/>
        </w:rPr>
        <w:t>Certification of Principal Financial Officer pursuant to Section 302 of the Sarbanes-Oxley Act of 2002 (filed herewith).</w:t>
      </w:r>
    </w:p>
    <w:p>
      <w:pPr>
        <w:spacing w:after="0" w:line="117" w:lineRule="exact"/>
        <w:rPr>
          <w:sz w:val="20"/>
          <w:szCs w:val="20"/>
          <w:color w:val="auto"/>
        </w:rPr>
      </w:pPr>
    </w:p>
    <w:p>
      <w:pPr>
        <w:sectPr>
          <w:pgSz w:w="11880" w:h="15480" w:orient="portrait"/>
          <w:cols w:equalWidth="0" w:num="2">
            <w:col w:w="1077" w:space="520"/>
            <w:col w:w="8680"/>
          </w:cols>
          <w:pgMar w:left="403" w:top="498" w:right="1200" w:bottom="0" w:gutter="0" w:footer="0" w:header="0"/>
          <w:type w:val="continuous"/>
        </w:sectPr>
      </w:pPr>
    </w:p>
    <w:tbl>
      <w:tblPr>
        <w:tblLayout w:type="fixed"/>
        <w:tblInd w:w="797" w:type="dxa"/>
        <w:tblCellMar>
          <w:top w:w="0" w:type="dxa"/>
          <w:left w:w="0" w:type="dxa"/>
          <w:bottom w:w="0" w:type="dxa"/>
          <w:right w:w="0" w:type="dxa"/>
        </w:tblCellMar>
      </w:tblPr>
      <w:tr>
        <w:trPr>
          <w:trHeight w:val="196"/>
        </w:trPr>
        <w:tc>
          <w:tcPr>
            <w:tcW w:w="540" w:type="dxa"/>
            <w:vAlign w:val="bottom"/>
          </w:tcPr>
          <w:p>
            <w:pPr>
              <w:jc w:val="right"/>
              <w:ind w:right="181"/>
              <w:spacing w:after="0"/>
              <w:rPr>
                <w:sz w:val="20"/>
                <w:szCs w:val="20"/>
                <w:color w:val="auto"/>
              </w:rPr>
            </w:pPr>
            <w:r>
              <w:rPr>
                <w:rFonts w:ascii="Calibri" w:cs="Calibri" w:eastAsia="Calibri" w:hAnsi="Calibri"/>
                <w:sz w:val="16"/>
                <w:szCs w:val="16"/>
                <w:color w:val="auto"/>
                <w:w w:val="91"/>
              </w:rPr>
              <w:t>32.1</w:t>
            </w:r>
          </w:p>
        </w:tc>
        <w:tc>
          <w:tcPr>
            <w:tcW w:w="8920" w:type="dxa"/>
            <w:vAlign w:val="bottom"/>
          </w:tcPr>
          <w:p>
            <w:pPr>
              <w:ind w:left="260"/>
              <w:spacing w:after="0"/>
              <w:rPr>
                <w:sz w:val="20"/>
                <w:szCs w:val="20"/>
                <w:color w:val="auto"/>
              </w:rPr>
            </w:pPr>
            <w:r>
              <w:rPr>
                <w:rFonts w:ascii="Calibri" w:cs="Calibri" w:eastAsia="Calibri" w:hAnsi="Calibri"/>
                <w:sz w:val="16"/>
                <w:szCs w:val="16"/>
                <w:color w:val="auto"/>
              </w:rPr>
              <w:t>Certification of Principal Executive Officer pursuant to 18 U.S.C. Section 1350, as adopted pursuant to Section 906 of the Sarbanes-</w:t>
            </w:r>
          </w:p>
        </w:tc>
      </w:tr>
      <w:tr>
        <w:trPr>
          <w:trHeight w:val="189"/>
        </w:trPr>
        <w:tc>
          <w:tcPr>
            <w:tcW w:w="540" w:type="dxa"/>
            <w:vAlign w:val="bottom"/>
          </w:tcPr>
          <w:p>
            <w:pPr>
              <w:spacing w:after="0"/>
              <w:rPr>
                <w:sz w:val="16"/>
                <w:szCs w:val="16"/>
                <w:color w:val="auto"/>
              </w:rPr>
            </w:pPr>
          </w:p>
        </w:tc>
        <w:tc>
          <w:tcPr>
            <w:tcW w:w="8920" w:type="dxa"/>
            <w:vAlign w:val="bottom"/>
          </w:tcPr>
          <w:p>
            <w:pPr>
              <w:ind w:left="260"/>
              <w:spacing w:after="0" w:line="189" w:lineRule="exact"/>
              <w:rPr>
                <w:sz w:val="20"/>
                <w:szCs w:val="20"/>
                <w:color w:val="auto"/>
              </w:rPr>
            </w:pPr>
            <w:r>
              <w:rPr>
                <w:rFonts w:ascii="Calibri" w:cs="Calibri" w:eastAsia="Calibri" w:hAnsi="Calibri"/>
                <w:sz w:val="16"/>
                <w:szCs w:val="16"/>
                <w:color w:val="auto"/>
              </w:rPr>
              <w:t>Oxley Act of 2002 (furnished herewith).</w:t>
            </w:r>
          </w:p>
        </w:tc>
      </w:tr>
      <w:tr>
        <w:trPr>
          <w:trHeight w:val="313"/>
        </w:trPr>
        <w:tc>
          <w:tcPr>
            <w:tcW w:w="540" w:type="dxa"/>
            <w:vAlign w:val="bottom"/>
          </w:tcPr>
          <w:p>
            <w:pPr>
              <w:jc w:val="right"/>
              <w:ind w:right="181"/>
              <w:spacing w:after="0"/>
              <w:rPr>
                <w:sz w:val="20"/>
                <w:szCs w:val="20"/>
                <w:color w:val="auto"/>
              </w:rPr>
            </w:pPr>
            <w:r>
              <w:rPr>
                <w:rFonts w:ascii="Calibri" w:cs="Calibri" w:eastAsia="Calibri" w:hAnsi="Calibri"/>
                <w:sz w:val="16"/>
                <w:szCs w:val="16"/>
                <w:color w:val="auto"/>
                <w:w w:val="91"/>
              </w:rPr>
              <w:t>32.2</w:t>
            </w:r>
          </w:p>
        </w:tc>
        <w:tc>
          <w:tcPr>
            <w:tcW w:w="8920" w:type="dxa"/>
            <w:vAlign w:val="bottom"/>
          </w:tcPr>
          <w:p>
            <w:pPr>
              <w:ind w:left="260"/>
              <w:spacing w:after="0"/>
              <w:rPr>
                <w:sz w:val="20"/>
                <w:szCs w:val="20"/>
                <w:color w:val="auto"/>
              </w:rPr>
            </w:pPr>
            <w:r>
              <w:rPr>
                <w:rFonts w:ascii="Calibri" w:cs="Calibri" w:eastAsia="Calibri" w:hAnsi="Calibri"/>
                <w:sz w:val="16"/>
                <w:szCs w:val="16"/>
                <w:color w:val="auto"/>
                <w:w w:val="98"/>
              </w:rPr>
              <w:t>Certification of Principal Financial Officer pursuant to 18 U.S.C. Section 1350, as adopted pursuant to Section 906 of the Sarbanes-Oxley</w:t>
            </w:r>
          </w:p>
        </w:tc>
      </w:tr>
      <w:tr>
        <w:trPr>
          <w:trHeight w:val="189"/>
        </w:trPr>
        <w:tc>
          <w:tcPr>
            <w:tcW w:w="540" w:type="dxa"/>
            <w:vAlign w:val="bottom"/>
          </w:tcPr>
          <w:p>
            <w:pPr>
              <w:spacing w:after="0"/>
              <w:rPr>
                <w:sz w:val="16"/>
                <w:szCs w:val="16"/>
                <w:color w:val="auto"/>
              </w:rPr>
            </w:pPr>
          </w:p>
        </w:tc>
        <w:tc>
          <w:tcPr>
            <w:tcW w:w="8920" w:type="dxa"/>
            <w:vAlign w:val="bottom"/>
          </w:tcPr>
          <w:p>
            <w:pPr>
              <w:ind w:left="260"/>
              <w:spacing w:after="0" w:line="189" w:lineRule="exact"/>
              <w:rPr>
                <w:sz w:val="20"/>
                <w:szCs w:val="20"/>
                <w:color w:val="auto"/>
              </w:rPr>
            </w:pPr>
            <w:r>
              <w:rPr>
                <w:rFonts w:ascii="Calibri" w:cs="Calibri" w:eastAsia="Calibri" w:hAnsi="Calibri"/>
                <w:sz w:val="16"/>
                <w:szCs w:val="16"/>
                <w:color w:val="auto"/>
              </w:rPr>
              <w:t>Act of 2002 (furnished herewith).</w:t>
            </w:r>
          </w:p>
        </w:tc>
      </w:tr>
    </w:tbl>
    <w:p>
      <w:pPr>
        <w:spacing w:after="0" w:line="133" w:lineRule="exact"/>
        <w:rPr>
          <w:sz w:val="20"/>
          <w:szCs w:val="20"/>
          <w:color w:val="auto"/>
        </w:rPr>
      </w:pPr>
    </w:p>
    <w:p>
      <w:pPr>
        <w:ind w:left="1597" w:right="80" w:hanging="791"/>
        <w:spacing w:after="0" w:line="226" w:lineRule="auto"/>
        <w:tabs>
          <w:tab w:leader="none" w:pos="1597" w:val="left"/>
        </w:tabs>
        <w:numPr>
          <w:ilvl w:val="0"/>
          <w:numId w:val="73"/>
        </w:numPr>
        <w:rPr>
          <w:rFonts w:ascii="Calibri" w:cs="Calibri" w:eastAsia="Calibri" w:hAnsi="Calibri"/>
          <w:sz w:val="16"/>
          <w:szCs w:val="16"/>
          <w:color w:val="auto"/>
        </w:rPr>
      </w:pPr>
      <w:r>
        <w:rPr>
          <w:rFonts w:ascii="Calibri" w:cs="Calibri" w:eastAsia="Calibri" w:hAnsi="Calibri"/>
          <w:sz w:val="16"/>
          <w:szCs w:val="16"/>
          <w:color w:val="auto"/>
        </w:rPr>
        <w:t>Matador Resources Company Clawback Policy (incorporated by reference to Exhibit 97 to the Annual Report on Form 10-K for the year ended December 31, 2023).</w:t>
      </w:r>
    </w:p>
    <w:p>
      <w:pPr>
        <w:spacing w:after="0" w:line="118" w:lineRule="exact"/>
        <w:rPr>
          <w:sz w:val="20"/>
          <w:szCs w:val="20"/>
          <w:color w:val="auto"/>
        </w:rPr>
      </w:pPr>
    </w:p>
    <w:p>
      <w:pPr>
        <w:ind w:left="797"/>
        <w:spacing w:after="0"/>
        <w:tabs>
          <w:tab w:leader="none" w:pos="1577" w:val="left"/>
        </w:tabs>
        <w:rPr>
          <w:sz w:val="20"/>
          <w:szCs w:val="20"/>
          <w:color w:val="auto"/>
        </w:rPr>
      </w:pPr>
      <w:r>
        <w:rPr>
          <w:rFonts w:ascii="Calibri" w:cs="Calibri" w:eastAsia="Calibri" w:hAnsi="Calibri"/>
          <w:sz w:val="16"/>
          <w:szCs w:val="16"/>
          <w:color w:val="auto"/>
        </w:rPr>
        <w:t>99.1</w:t>
      </w:r>
      <w:r>
        <w:rPr>
          <w:sz w:val="20"/>
          <w:szCs w:val="20"/>
          <w:color w:val="auto"/>
        </w:rPr>
        <w:tab/>
      </w:r>
      <w:r>
        <w:rPr>
          <w:rFonts w:ascii="Calibri" w:cs="Calibri" w:eastAsia="Calibri" w:hAnsi="Calibri"/>
          <w:sz w:val="15"/>
          <w:szCs w:val="15"/>
          <w:color w:val="auto"/>
        </w:rPr>
        <w:t>Audit report of Netherland, Sewell &amp; Associates, Inc. (filed herewith).</w:t>
      </w:r>
    </w:p>
    <w:p>
      <w:pPr>
        <w:spacing w:after="0" w:line="151" w:lineRule="exact"/>
        <w:rPr>
          <w:sz w:val="20"/>
          <w:szCs w:val="20"/>
          <w:color w:val="auto"/>
        </w:rPr>
      </w:pPr>
    </w:p>
    <w:p>
      <w:pPr>
        <w:ind w:left="1597" w:right="60" w:hanging="791"/>
        <w:spacing w:after="0" w:line="229" w:lineRule="auto"/>
        <w:tabs>
          <w:tab w:leader="none" w:pos="1597" w:val="left"/>
        </w:tabs>
        <w:numPr>
          <w:ilvl w:val="0"/>
          <w:numId w:val="74"/>
        </w:numPr>
        <w:rPr>
          <w:rFonts w:ascii="Calibri" w:cs="Calibri" w:eastAsia="Calibri" w:hAnsi="Calibri"/>
          <w:sz w:val="16"/>
          <w:szCs w:val="16"/>
          <w:color w:val="auto"/>
        </w:rPr>
      </w:pPr>
      <w:r>
        <w:rPr>
          <w:rFonts w:ascii="Calibri" w:cs="Calibri" w:eastAsia="Calibri" w:hAnsi="Calibri"/>
          <w:sz w:val="16"/>
          <w:szCs w:val="16"/>
          <w:color w:val="auto"/>
        </w:rPr>
        <w:t>The following financial information from Matador Resources Company’s Annual Report on Form 10-K for the year ended December 31, 2025, formatted in Inline XBRL (Inline eXtensible Business Reporting Language): (i) the Consolidated Balance Sheets, (ii) the Consolidated Statements of Income, (iii) the Consolidated Statements of Changes in Shareholders’ Equity, (iv) the Consolidated Statements of Cash Flows and (v) the Notes to Consolidated Financial Statements (submitted electronically herewith).</w:t>
      </w:r>
    </w:p>
    <w:p>
      <w:pPr>
        <w:spacing w:after="0" w:line="131" w:lineRule="exact"/>
        <w:rPr>
          <w:sz w:val="20"/>
          <w:szCs w:val="20"/>
          <w:color w:val="auto"/>
        </w:rPr>
      </w:pPr>
    </w:p>
    <w:p>
      <w:pPr>
        <w:ind w:left="797"/>
        <w:spacing w:after="0"/>
        <w:tabs>
          <w:tab w:leader="none" w:pos="1577" w:val="left"/>
        </w:tabs>
        <w:rPr>
          <w:sz w:val="20"/>
          <w:szCs w:val="20"/>
          <w:color w:val="auto"/>
        </w:rPr>
      </w:pPr>
      <w:r>
        <w:rPr>
          <w:rFonts w:ascii="Calibri" w:cs="Calibri" w:eastAsia="Calibri" w:hAnsi="Calibri"/>
          <w:sz w:val="16"/>
          <w:szCs w:val="16"/>
          <w:color w:val="auto"/>
        </w:rPr>
        <w:t>104</w:t>
      </w:r>
      <w:r>
        <w:rPr>
          <w:sz w:val="20"/>
          <w:szCs w:val="20"/>
          <w:color w:val="auto"/>
        </w:rPr>
        <w:tab/>
      </w:r>
      <w:r>
        <w:rPr>
          <w:rFonts w:ascii="Calibri" w:cs="Calibri" w:eastAsia="Calibri" w:hAnsi="Calibri"/>
          <w:sz w:val="16"/>
          <w:szCs w:val="16"/>
          <w:color w:val="auto"/>
        </w:rPr>
        <w:t>Cover Page Interactive Data File, formatted in Inline XBRL (included as Exhibit 101).</w:t>
      </w:r>
    </w:p>
    <w:p>
      <w:pPr>
        <w:sectPr>
          <w:pgSz w:w="11880" w:h="15480" w:orient="portrait"/>
          <w:cols w:equalWidth="0" w:num="1">
            <w:col w:w="10277"/>
          </w:cols>
          <w:pgMar w:left="403" w:top="498" w:right="12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77"/>
        <w:spacing w:after="0"/>
        <w:rPr>
          <w:sz w:val="20"/>
          <w:szCs w:val="20"/>
          <w:color w:val="auto"/>
        </w:rPr>
      </w:pPr>
      <w:r>
        <w:rPr>
          <w:rFonts w:ascii="Calibri" w:cs="Calibri" w:eastAsia="Calibri" w:hAnsi="Calibri"/>
          <w:sz w:val="17"/>
          <w:szCs w:val="17"/>
          <w:color w:val="auto"/>
        </w:rPr>
        <w:t>FORM 10-K PART IV</w:t>
      </w:r>
    </w:p>
    <w:p>
      <w:pPr>
        <w:sectPr>
          <w:pgSz w:w="11880" w:h="15480" w:orient="portrait"/>
          <w:cols w:equalWidth="0" w:num="1">
            <w:col w:w="10277"/>
          </w:cols>
          <w:pgMar w:left="403" w:top="498" w:right="1200" w:bottom="0" w:gutter="0" w:footer="0" w:header="0"/>
          <w:type w:val="continuous"/>
        </w:sectPr>
      </w:pPr>
    </w:p>
    <w:bookmarkStart w:id="124" w:name="page125"/>
    <w:bookmarkEnd w:id="124"/>
    <w:tbl>
      <w:tblPr>
        <w:tblLayout w:type="fixed"/>
        <w:tblInd w:w="7840" w:type="dxa"/>
        <w:tblCellMar>
          <w:top w:w="0" w:type="dxa"/>
          <w:left w:w="0" w:type="dxa"/>
          <w:bottom w:w="0" w:type="dxa"/>
          <w:right w:w="0" w:type="dxa"/>
        </w:tblCellMar>
      </w:tblPr>
      <w:tr>
        <w:trPr>
          <w:trHeight w:val="220"/>
        </w:trPr>
        <w:tc>
          <w:tcPr>
            <w:tcW w:w="190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540" w:type="dxa"/>
            <w:vAlign w:val="bottom"/>
          </w:tcPr>
          <w:p>
            <w:pPr>
              <w:jc w:val="right"/>
              <w:spacing w:after="0"/>
              <w:rPr>
                <w:sz w:val="20"/>
                <w:szCs w:val="20"/>
                <w:color w:val="auto"/>
              </w:rPr>
            </w:pPr>
            <w:r>
              <w:rPr>
                <w:rFonts w:ascii="Calibri" w:cs="Calibri" w:eastAsia="Calibri" w:hAnsi="Calibri"/>
                <w:sz w:val="18"/>
                <w:szCs w:val="18"/>
                <w:color w:val="auto"/>
              </w:rPr>
              <w:t>111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-762000</wp:posOffset>
                </wp:positionH>
                <wp:positionV relativeFrom="paragraph">
                  <wp:posOffset>320675</wp:posOffset>
                </wp:positionV>
                <wp:extent cx="6811645" cy="0"/>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48" o:spid="_x0000_s12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pt,25.25pt" to="476.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-762000</wp:posOffset>
                </wp:positionH>
                <wp:positionV relativeFrom="paragraph">
                  <wp:posOffset>320675</wp:posOffset>
                </wp:positionV>
                <wp:extent cx="6811645" cy="0"/>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49" o:spid="_x0000_s12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pt,25.25pt" to="476.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Exhibit</w:t>
      </w:r>
    </w:p>
    <w:p>
      <w:pPr>
        <w:spacing w:after="0" w:line="232" w:lineRule="auto"/>
        <w:tabs>
          <w:tab w:leader="none" w:pos="780" w:val="left"/>
        </w:tabs>
        <w:rPr>
          <w:sz w:val="20"/>
          <w:szCs w:val="20"/>
          <w:color w:val="auto"/>
        </w:rPr>
      </w:pPr>
      <w:r>
        <w:rPr>
          <w:rFonts w:ascii="Calibri" w:cs="Calibri" w:eastAsia="Calibri" w:hAnsi="Calibri"/>
          <w:sz w:val="17"/>
          <w:szCs w:val="17"/>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24130</wp:posOffset>
            </wp:positionV>
            <wp:extent cx="6074410" cy="127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5">
                      <a:extLst>
                        <a:ext uri="{28A0092B-C50C-407E-A947-70E740481C1C}"/>
                      </a:extLst>
                    </a:blip>
                    <a:srcRect/>
                    <a:stretch>
                      <a:fillRect/>
                    </a:stretch>
                  </pic:blipFill>
                  <pic:spPr bwMode="auto">
                    <a:xfrm>
                      <a:off x="0" y="0"/>
                      <a:ext cx="6074410" cy="12700"/>
                    </a:xfrm>
                    <a:prstGeom prst="rect">
                      <a:avLst/>
                    </a:prstGeom>
                    <a:noFill/>
                  </pic:spPr>
                </pic:pic>
              </a:graphicData>
            </a:graphic>
          </wp:anchor>
        </w:drawing>
      </w:r>
    </w:p>
    <w:p>
      <w:pPr>
        <w:spacing w:after="0" w:line="118" w:lineRule="exact"/>
        <w:rPr>
          <w:sz w:val="20"/>
          <w:szCs w:val="20"/>
          <w:color w:val="auto"/>
        </w:rPr>
      </w:pPr>
    </w:p>
    <w:p>
      <w:pPr>
        <w:ind w:left="800" w:hanging="791"/>
        <w:spacing w:after="0"/>
        <w:tabs>
          <w:tab w:leader="none" w:pos="800" w:val="left"/>
        </w:tabs>
        <w:numPr>
          <w:ilvl w:val="0"/>
          <w:numId w:val="75"/>
        </w:numPr>
        <w:rPr>
          <w:rFonts w:ascii="Calibri" w:cs="Calibri" w:eastAsia="Calibri" w:hAnsi="Calibri"/>
          <w:sz w:val="16"/>
          <w:szCs w:val="16"/>
          <w:color w:val="auto"/>
        </w:rPr>
      </w:pPr>
      <w:r>
        <w:rPr>
          <w:rFonts w:ascii="Calibri" w:cs="Calibri" w:eastAsia="Calibri" w:hAnsi="Calibri"/>
          <w:sz w:val="16"/>
          <w:szCs w:val="16"/>
          <w:color w:val="auto"/>
        </w:rPr>
        <w:t>Indicates a management contract or compensatory plan or arrangement.</w:t>
      </w:r>
    </w:p>
    <w:p>
      <w:pPr>
        <w:spacing w:after="0" w:line="151" w:lineRule="exact"/>
        <w:rPr>
          <w:sz w:val="20"/>
          <w:szCs w:val="20"/>
          <w:color w:val="auto"/>
        </w:rPr>
      </w:pPr>
    </w:p>
    <w:p>
      <w:pPr>
        <w:jc w:val="both"/>
        <w:ind w:left="800" w:right="980" w:hanging="791"/>
        <w:spacing w:after="0" w:line="228" w:lineRule="auto"/>
        <w:tabs>
          <w:tab w:leader="none" w:pos="800" w:val="left"/>
        </w:tabs>
        <w:numPr>
          <w:ilvl w:val="0"/>
          <w:numId w:val="76"/>
        </w:numPr>
        <w:rPr>
          <w:rFonts w:ascii="Calibri" w:cs="Calibri" w:eastAsia="Calibri" w:hAnsi="Calibri"/>
          <w:sz w:val="16"/>
          <w:szCs w:val="16"/>
          <w:color w:val="auto"/>
        </w:rPr>
      </w:pPr>
      <w:r>
        <w:rPr>
          <w:rFonts w:ascii="Calibri" w:cs="Calibri" w:eastAsia="Calibri" w:hAnsi="Calibri"/>
          <w:sz w:val="16"/>
          <w:szCs w:val="16"/>
          <w:color w:val="auto"/>
        </w:rPr>
        <w:t>This filing excludes certain schedules and exhibits pursuant to Item 601(a)(5) of Regulation S-K, which the Company agrees to furnish supplementally to the SEC upon request; provided, however, that the Company may request confidential treatment pursuant to Rule 24b-2 of the Securities Exchange Act of 1934, as amended, for any schedules or exhibits so furnished.</w:t>
      </w:r>
    </w:p>
    <w:p>
      <w:pPr>
        <w:sectPr>
          <w:pgSz w:w="11880" w:h="15480" w:orient="portrait"/>
          <w:cols w:equalWidth="0" w:num="1">
            <w:col w:w="10280"/>
          </w:cols>
          <w:pgMar w:left="1200" w:top="498"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780"/>
        <w:spacing w:after="0"/>
        <w:rPr>
          <w:sz w:val="20"/>
          <w:szCs w:val="20"/>
          <w:color w:val="auto"/>
        </w:rPr>
      </w:pPr>
      <w:r>
        <w:rPr>
          <w:rFonts w:ascii="Calibri" w:cs="Calibri" w:eastAsia="Calibri" w:hAnsi="Calibri"/>
          <w:sz w:val="17"/>
          <w:szCs w:val="17"/>
          <w:color w:val="auto"/>
        </w:rPr>
        <w:t>FORM 10-K PART IV</w:t>
      </w:r>
    </w:p>
    <w:p>
      <w:pPr>
        <w:sectPr>
          <w:pgSz w:w="11880" w:h="15480" w:orient="portrait"/>
          <w:cols w:equalWidth="0" w:num="1">
            <w:col w:w="10280"/>
          </w:cols>
          <w:pgMar w:left="1200" w:top="498" w:right="400" w:bottom="0" w:gutter="0" w:footer="0" w:header="0"/>
          <w:type w:val="continuous"/>
        </w:sectPr>
      </w:pPr>
    </w:p>
    <w:bookmarkStart w:id="125" w:name="page126"/>
    <w:bookmarkEnd w:id="125"/>
    <w:p>
      <w:pPr>
        <w:spacing w:after="0"/>
        <w:tabs>
          <w:tab w:leader="none" w:pos="780" w:val="left"/>
        </w:tabs>
        <w:rPr>
          <w:sz w:val="20"/>
          <w:szCs w:val="20"/>
          <w:color w:val="auto"/>
        </w:rPr>
      </w:pPr>
      <w:r>
        <w:rPr>
          <w:rFonts w:ascii="Calibri" w:cs="Calibri" w:eastAsia="Calibri" w:hAnsi="Calibri"/>
          <w:sz w:val="18"/>
          <w:szCs w:val="18"/>
          <w:color w:val="auto"/>
        </w:rPr>
        <w:t>112</w:t>
      </w:r>
      <w:r>
        <w:rPr>
          <w:sz w:val="20"/>
          <w:szCs w:val="20"/>
          <w:color w:val="auto"/>
        </w:rPr>
        <w:tab/>
      </w:r>
      <w:r>
        <w:rPr>
          <w:rFonts w:ascii="Calibri" w:cs="Calibri" w:eastAsia="Calibri" w:hAnsi="Calibri"/>
          <w:sz w:val="18"/>
          <w:szCs w:val="18"/>
          <w:color w:val="auto"/>
        </w:rPr>
        <w:t>MATADOR RESOURCES COMPANY</w:t>
      </w:r>
    </w:p>
    <w:p>
      <w:pPr>
        <w:spacing w:after="0" w:line="235" w:lineRule="exact"/>
        <w:rPr>
          <w:sz w:val="20"/>
          <w:szCs w:val="20"/>
          <w:color w:val="auto"/>
        </w:rPr>
      </w:pPr>
    </w:p>
    <w:p>
      <w:pPr>
        <w:ind w:left="800"/>
        <w:spacing w:after="0"/>
        <w:rPr>
          <w:sz w:val="20"/>
          <w:szCs w:val="20"/>
          <w:color w:val="auto"/>
        </w:rPr>
      </w:pPr>
      <w:r>
        <w:rPr>
          <w:rFonts w:ascii="Verdana" w:cs="Verdana" w:eastAsia="Verdana" w:hAnsi="Verdana"/>
          <w:sz w:val="20"/>
          <w:szCs w:val="20"/>
          <w:color w:val="214E93"/>
        </w:rPr>
        <w:t>Signatures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477520</wp:posOffset>
                </wp:positionH>
                <wp:positionV relativeFrom="paragraph">
                  <wp:posOffset>17145</wp:posOffset>
                </wp:positionV>
                <wp:extent cx="6812280" cy="0"/>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51" o:spid="_x0000_s12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pt,1.35pt" to="574pt,1.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477520</wp:posOffset>
                </wp:positionH>
                <wp:positionV relativeFrom="paragraph">
                  <wp:posOffset>17145</wp:posOffset>
                </wp:positionV>
                <wp:extent cx="6812280" cy="0"/>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52" o:spid="_x0000_s12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pt,1.35pt" to="574pt,1.35pt" o:allowincell="f" strokecolor="#214E93" strokeweight="1pt"/>
            </w:pict>
          </mc:Fallback>
        </mc:AlternateContent>
      </w:r>
    </w:p>
    <w:p>
      <w:pPr>
        <w:spacing w:after="0" w:line="162" w:lineRule="exact"/>
        <w:rPr>
          <w:sz w:val="20"/>
          <w:szCs w:val="20"/>
          <w:color w:val="auto"/>
        </w:rPr>
      </w:pPr>
    </w:p>
    <w:p>
      <w:pPr>
        <w:ind w:left="760" w:right="760" w:firstLine="241"/>
        <w:spacing w:after="0" w:line="252" w:lineRule="auto"/>
        <w:rPr>
          <w:sz w:val="20"/>
          <w:szCs w:val="20"/>
          <w:color w:val="auto"/>
        </w:rPr>
      </w:pPr>
      <w:r>
        <w:rPr>
          <w:rFonts w:ascii="Calibri" w:cs="Calibri" w:eastAsia="Calibri" w:hAnsi="Calibri"/>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377" w:lineRule="exact"/>
        <w:rPr>
          <w:sz w:val="20"/>
          <w:szCs w:val="20"/>
          <w:color w:val="auto"/>
        </w:rPr>
      </w:pPr>
    </w:p>
    <w:tbl>
      <w:tblPr>
        <w:tblLayout w:type="fixed"/>
        <w:tblInd w:w="800" w:type="dxa"/>
        <w:tblCellMar>
          <w:top w:w="0" w:type="dxa"/>
          <w:left w:w="0" w:type="dxa"/>
          <w:bottom w:w="0" w:type="dxa"/>
          <w:right w:w="0" w:type="dxa"/>
        </w:tblCellMar>
      </w:tblPr>
      <w:tr>
        <w:trPr>
          <w:trHeight w:val="265"/>
        </w:trPr>
        <w:tc>
          <w:tcPr>
            <w:tcW w:w="348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4020" w:type="dxa"/>
            <w:vAlign w:val="bottom"/>
            <w:gridSpan w:val="2"/>
          </w:tcPr>
          <w:p>
            <w:pPr>
              <w:ind w:left="140"/>
              <w:spacing w:after="0"/>
              <w:rPr>
                <w:sz w:val="20"/>
                <w:szCs w:val="20"/>
                <w:color w:val="auto"/>
              </w:rPr>
            </w:pPr>
            <w:r>
              <w:rPr>
                <w:rFonts w:ascii="Verdana" w:cs="Verdana" w:eastAsia="Verdana" w:hAnsi="Verdana"/>
                <w:sz w:val="20"/>
                <w:szCs w:val="20"/>
                <w:color w:val="214E93"/>
              </w:rPr>
              <w:t>MATADOR RESOURCES COMPANY</w:t>
            </w:r>
          </w:p>
        </w:tc>
      </w:tr>
      <w:tr>
        <w:trPr>
          <w:trHeight w:val="283"/>
        </w:trPr>
        <w:tc>
          <w:tcPr>
            <w:tcW w:w="3480" w:type="dxa"/>
            <w:vAlign w:val="bottom"/>
          </w:tcPr>
          <w:p>
            <w:pPr>
              <w:spacing w:after="0"/>
              <w:rPr>
                <w:sz w:val="20"/>
                <w:szCs w:val="20"/>
                <w:color w:val="auto"/>
              </w:rPr>
            </w:pPr>
            <w:r>
              <w:rPr>
                <w:rFonts w:ascii="Calibri" w:cs="Calibri" w:eastAsia="Calibri" w:hAnsi="Calibri"/>
                <w:sz w:val="18"/>
                <w:szCs w:val="18"/>
                <w:color w:val="auto"/>
              </w:rPr>
              <w:t>February 26, 2026</w:t>
            </w:r>
          </w:p>
        </w:tc>
        <w:tc>
          <w:tcPr>
            <w:tcW w:w="2520" w:type="dxa"/>
            <w:vAlign w:val="bottom"/>
          </w:tcPr>
          <w:p>
            <w:pPr>
              <w:ind w:left="2160"/>
              <w:spacing w:after="0"/>
              <w:rPr>
                <w:sz w:val="20"/>
                <w:szCs w:val="20"/>
                <w:color w:val="auto"/>
              </w:rPr>
            </w:pPr>
            <w:r>
              <w:rPr>
                <w:rFonts w:ascii="Calibri" w:cs="Calibri" w:eastAsia="Calibri" w:hAnsi="Calibri"/>
                <w:sz w:val="18"/>
                <w:szCs w:val="18"/>
                <w:color w:val="auto"/>
              </w:rPr>
              <w:t>By:</w:t>
            </w:r>
          </w:p>
        </w:tc>
        <w:tc>
          <w:tcPr>
            <w:tcW w:w="20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8"/>
              </w:rPr>
              <w:t>/s/ JOSEPH WM. FORAN</w:t>
            </w:r>
          </w:p>
        </w:tc>
      </w:tr>
      <w:tr>
        <w:trPr>
          <w:trHeight w:val="52"/>
        </w:trPr>
        <w:tc>
          <w:tcPr>
            <w:tcW w:w="3480" w:type="dxa"/>
            <w:vAlign w:val="bottom"/>
          </w:tcPr>
          <w:p>
            <w:pPr>
              <w:spacing w:after="0"/>
              <w:rPr>
                <w:sz w:val="4"/>
                <w:szCs w:val="4"/>
                <w:color w:val="auto"/>
              </w:rPr>
            </w:pPr>
          </w:p>
        </w:tc>
        <w:tc>
          <w:tcPr>
            <w:tcW w:w="2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20" w:type="dxa"/>
            <w:vAlign w:val="bottom"/>
            <w:tcBorders>
              <w:bottom w:val="single" w:sz="8" w:color="214E93"/>
            </w:tcBorders>
          </w:tcPr>
          <w:p>
            <w:pPr>
              <w:spacing w:after="0"/>
              <w:rPr>
                <w:sz w:val="4"/>
                <w:szCs w:val="4"/>
                <w:color w:val="auto"/>
              </w:rPr>
            </w:pPr>
          </w:p>
        </w:tc>
      </w:tr>
      <w:tr>
        <w:trPr>
          <w:trHeight w:val="203"/>
        </w:trPr>
        <w:tc>
          <w:tcPr>
            <w:tcW w:w="34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20" w:type="dxa"/>
            <w:vAlign w:val="bottom"/>
          </w:tcPr>
          <w:p>
            <w:pPr>
              <w:jc w:val="center"/>
              <w:spacing w:after="0" w:line="203" w:lineRule="exact"/>
              <w:rPr>
                <w:sz w:val="20"/>
                <w:szCs w:val="20"/>
                <w:color w:val="auto"/>
              </w:rPr>
            </w:pPr>
            <w:r>
              <w:rPr>
                <w:rFonts w:ascii="Calibri" w:cs="Calibri" w:eastAsia="Calibri" w:hAnsi="Calibri"/>
                <w:sz w:val="18"/>
                <w:szCs w:val="18"/>
                <w:color w:val="auto"/>
                <w:w w:val="98"/>
              </w:rPr>
              <w:t>Joseph Wm. Foran</w:t>
            </w:r>
          </w:p>
        </w:tc>
      </w:tr>
      <w:tr>
        <w:trPr>
          <w:trHeight w:val="205"/>
        </w:trPr>
        <w:tc>
          <w:tcPr>
            <w:tcW w:w="34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20" w:type="dxa"/>
            <w:vAlign w:val="bottom"/>
          </w:tcPr>
          <w:p>
            <w:pPr>
              <w:jc w:val="center"/>
              <w:spacing w:after="0" w:line="206" w:lineRule="exact"/>
              <w:rPr>
                <w:sz w:val="20"/>
                <w:szCs w:val="20"/>
                <w:color w:val="auto"/>
              </w:rPr>
            </w:pPr>
            <w:r>
              <w:rPr>
                <w:rFonts w:ascii="Calibri" w:cs="Calibri" w:eastAsia="Calibri" w:hAnsi="Calibri"/>
                <w:sz w:val="18"/>
                <w:szCs w:val="18"/>
                <w:color w:val="auto"/>
                <w:w w:val="98"/>
              </w:rPr>
              <w:t>Chairman and Chief Executive Officer</w:t>
            </w:r>
          </w:p>
        </w:tc>
      </w:tr>
    </w:tbl>
    <w:p>
      <w:pPr>
        <w:spacing w:after="0" w:line="20" w:lineRule="exact"/>
        <w:rPr>
          <w:sz w:val="20"/>
          <w:szCs w:val="20"/>
          <w:color w:val="auto"/>
        </w:rPr>
      </w:pPr>
    </w:p>
    <w:p>
      <w:pPr>
        <w:spacing w:after="0" w:line="278" w:lineRule="exact"/>
        <w:rPr>
          <w:sz w:val="20"/>
          <w:szCs w:val="20"/>
          <w:color w:val="auto"/>
        </w:rPr>
      </w:pPr>
    </w:p>
    <w:p>
      <w:pPr>
        <w:ind w:left="760" w:right="600" w:firstLine="241"/>
        <w:spacing w:after="0" w:line="252" w:lineRule="auto"/>
        <w:rPr>
          <w:sz w:val="20"/>
          <w:szCs w:val="20"/>
          <w:color w:val="auto"/>
        </w:rPr>
      </w:pPr>
      <w:r>
        <w:rPr>
          <w:rFonts w:ascii="Calibri" w:cs="Calibri" w:eastAsia="Calibri" w:hAnsi="Calibri"/>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217"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180" w:type="dxa"/>
            <w:vAlign w:val="bottom"/>
          </w:tcPr>
          <w:p>
            <w:pPr>
              <w:jc w:val="center"/>
              <w:spacing w:after="0"/>
              <w:rPr>
                <w:sz w:val="20"/>
                <w:szCs w:val="20"/>
                <w:color w:val="auto"/>
              </w:rPr>
            </w:pPr>
            <w:r>
              <w:rPr>
                <w:rFonts w:ascii="Calibri" w:cs="Calibri" w:eastAsia="Calibri" w:hAnsi="Calibri"/>
                <w:sz w:val="17"/>
                <w:szCs w:val="17"/>
                <w:b w:val="1"/>
                <w:bCs w:val="1"/>
                <w:color w:val="auto"/>
                <w:w w:val="97"/>
              </w:rPr>
              <w:t>Signature</w:t>
            </w:r>
          </w:p>
        </w:tc>
        <w:tc>
          <w:tcPr>
            <w:tcW w:w="4840" w:type="dxa"/>
            <w:vAlign w:val="bottom"/>
          </w:tcPr>
          <w:p>
            <w:pPr>
              <w:jc w:val="center"/>
              <w:ind w:left="112"/>
              <w:spacing w:after="0"/>
              <w:rPr>
                <w:sz w:val="20"/>
                <w:szCs w:val="20"/>
                <w:color w:val="auto"/>
              </w:rPr>
            </w:pPr>
            <w:r>
              <w:rPr>
                <w:rFonts w:ascii="Calibri" w:cs="Calibri" w:eastAsia="Calibri" w:hAnsi="Calibri"/>
                <w:sz w:val="17"/>
                <w:szCs w:val="17"/>
                <w:b w:val="1"/>
                <w:bCs w:val="1"/>
                <w:color w:val="auto"/>
              </w:rPr>
              <w:t>Title</w:t>
            </w:r>
          </w:p>
        </w:tc>
        <w:tc>
          <w:tcPr>
            <w:tcW w:w="2040" w:type="dxa"/>
            <w:vAlign w:val="bottom"/>
          </w:tcPr>
          <w:p>
            <w:pPr>
              <w:jc w:val="center"/>
              <w:ind w:left="112"/>
              <w:spacing w:after="0"/>
              <w:rPr>
                <w:sz w:val="20"/>
                <w:szCs w:val="20"/>
                <w:color w:val="auto"/>
              </w:rPr>
            </w:pPr>
            <w:r>
              <w:rPr>
                <w:rFonts w:ascii="Calibri" w:cs="Calibri" w:eastAsia="Calibri" w:hAnsi="Calibri"/>
                <w:sz w:val="17"/>
                <w:szCs w:val="17"/>
                <w:b w:val="1"/>
                <w:bCs w:val="1"/>
                <w:color w:val="auto"/>
                <w:w w:val="95"/>
              </w:rPr>
              <w:t>Date</w:t>
            </w:r>
          </w:p>
        </w:tc>
      </w:tr>
      <w:tr>
        <w:trPr>
          <w:trHeight w:val="29"/>
        </w:trPr>
        <w:tc>
          <w:tcPr>
            <w:tcW w:w="3180" w:type="dxa"/>
            <w:vAlign w:val="bottom"/>
            <w:tcBorders>
              <w:bottom w:val="single" w:sz="8" w:color="214E93"/>
            </w:tcBorders>
          </w:tcPr>
          <w:p>
            <w:pPr>
              <w:spacing w:after="0"/>
              <w:rPr>
                <w:sz w:val="2"/>
                <w:szCs w:val="2"/>
                <w:color w:val="auto"/>
              </w:rPr>
            </w:pPr>
          </w:p>
        </w:tc>
        <w:tc>
          <w:tcPr>
            <w:tcW w:w="4840" w:type="dxa"/>
            <w:vAlign w:val="bottom"/>
            <w:tcBorders>
              <w:bottom w:val="single" w:sz="8" w:color="214E93"/>
            </w:tcBorders>
          </w:tcPr>
          <w:p>
            <w:pPr>
              <w:spacing w:after="0"/>
              <w:rPr>
                <w:sz w:val="2"/>
                <w:szCs w:val="2"/>
                <w:color w:val="auto"/>
              </w:rPr>
            </w:pPr>
          </w:p>
        </w:tc>
        <w:tc>
          <w:tcPr>
            <w:tcW w:w="2040" w:type="dxa"/>
            <w:vAlign w:val="bottom"/>
            <w:tcBorders>
              <w:bottom w:val="single" w:sz="8" w:color="214E93"/>
            </w:tcBorders>
          </w:tcPr>
          <w:p>
            <w:pPr>
              <w:spacing w:after="0"/>
              <w:rPr>
                <w:sz w:val="2"/>
                <w:szCs w:val="2"/>
                <w:color w:val="auto"/>
              </w:rPr>
            </w:pPr>
          </w:p>
        </w:tc>
      </w:tr>
      <w:tr>
        <w:trPr>
          <w:trHeight w:val="319"/>
        </w:trPr>
        <w:tc>
          <w:tcPr>
            <w:tcW w:w="3180" w:type="dxa"/>
            <w:vAlign w:val="bottom"/>
          </w:tcPr>
          <w:p>
            <w:pPr>
              <w:jc w:val="center"/>
              <w:spacing w:after="0"/>
              <w:rPr>
                <w:sz w:val="20"/>
                <w:szCs w:val="20"/>
                <w:color w:val="auto"/>
              </w:rPr>
            </w:pPr>
            <w:r>
              <w:rPr>
                <w:rFonts w:ascii="Calibri" w:cs="Calibri" w:eastAsia="Calibri" w:hAnsi="Calibri"/>
                <w:sz w:val="18"/>
                <w:szCs w:val="18"/>
                <w:color w:val="auto"/>
                <w:w w:val="98"/>
              </w:rPr>
              <w:t>/s/ JOSEPH WM. FORAN</w:t>
            </w:r>
          </w:p>
        </w:tc>
        <w:tc>
          <w:tcPr>
            <w:tcW w:w="4840" w:type="dxa"/>
            <w:vAlign w:val="bottom"/>
          </w:tcPr>
          <w:p>
            <w:pPr>
              <w:jc w:val="center"/>
              <w:ind w:left="112"/>
              <w:spacing w:after="0"/>
              <w:rPr>
                <w:sz w:val="20"/>
                <w:szCs w:val="20"/>
                <w:color w:val="auto"/>
              </w:rPr>
            </w:pPr>
            <w:r>
              <w:rPr>
                <w:rFonts w:ascii="Calibri" w:cs="Calibri" w:eastAsia="Calibri" w:hAnsi="Calibri"/>
                <w:sz w:val="18"/>
                <w:szCs w:val="18"/>
                <w:color w:val="auto"/>
                <w:w w:val="98"/>
              </w:rPr>
              <w:t>Chairman and Chief Executive Officer</w:t>
            </w:r>
          </w:p>
        </w:tc>
        <w:tc>
          <w:tcPr>
            <w:tcW w:w="2040" w:type="dxa"/>
            <w:vAlign w:val="bottom"/>
          </w:tcPr>
          <w:p>
            <w:pPr>
              <w:jc w:val="center"/>
              <w:ind w:left="112"/>
              <w:spacing w:after="0"/>
              <w:rPr>
                <w:sz w:val="20"/>
                <w:szCs w:val="20"/>
                <w:color w:val="auto"/>
              </w:rPr>
            </w:pPr>
            <w:r>
              <w:rPr>
                <w:rFonts w:ascii="Calibri" w:cs="Calibri" w:eastAsia="Calibri" w:hAnsi="Calibri"/>
                <w:sz w:val="18"/>
                <w:szCs w:val="18"/>
                <w:color w:val="auto"/>
                <w:w w:val="99"/>
              </w:rPr>
              <w:t>February 26, 2026</w:t>
            </w:r>
          </w:p>
        </w:tc>
      </w:tr>
      <w:tr>
        <w:trPr>
          <w:trHeight w:val="30"/>
        </w:trPr>
        <w:tc>
          <w:tcPr>
            <w:tcW w:w="3180" w:type="dxa"/>
            <w:vAlign w:val="bottom"/>
            <w:tcBorders>
              <w:bottom w:val="single" w:sz="8" w:color="214E93"/>
            </w:tcBorders>
          </w:tcPr>
          <w:p>
            <w:pPr>
              <w:spacing w:after="0"/>
              <w:rPr>
                <w:sz w:val="2"/>
                <w:szCs w:val="2"/>
                <w:color w:val="auto"/>
              </w:rPr>
            </w:pPr>
          </w:p>
        </w:tc>
        <w:tc>
          <w:tcPr>
            <w:tcW w:w="48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5"/>
        </w:trPr>
        <w:tc>
          <w:tcPr>
            <w:tcW w:w="3180" w:type="dxa"/>
            <w:vAlign w:val="bottom"/>
          </w:tcPr>
          <w:p>
            <w:pPr>
              <w:jc w:val="center"/>
              <w:spacing w:after="0"/>
              <w:rPr>
                <w:sz w:val="20"/>
                <w:szCs w:val="20"/>
                <w:color w:val="auto"/>
              </w:rPr>
            </w:pPr>
            <w:r>
              <w:rPr>
                <w:rFonts w:ascii="Calibri" w:cs="Calibri" w:eastAsia="Calibri" w:hAnsi="Calibri"/>
                <w:sz w:val="18"/>
                <w:szCs w:val="18"/>
                <w:color w:val="auto"/>
                <w:w w:val="98"/>
              </w:rPr>
              <w:t>Joseph Wm. Foran</w:t>
            </w:r>
          </w:p>
        </w:tc>
        <w:tc>
          <w:tcPr>
            <w:tcW w:w="4840" w:type="dxa"/>
            <w:vAlign w:val="bottom"/>
          </w:tcPr>
          <w:p>
            <w:pPr>
              <w:jc w:val="center"/>
              <w:ind w:left="132"/>
              <w:spacing w:after="0"/>
              <w:rPr>
                <w:sz w:val="20"/>
                <w:szCs w:val="20"/>
                <w:color w:val="auto"/>
              </w:rPr>
            </w:pPr>
            <w:r>
              <w:rPr>
                <w:rFonts w:ascii="Calibri" w:cs="Calibri" w:eastAsia="Calibri" w:hAnsi="Calibri"/>
                <w:sz w:val="18"/>
                <w:szCs w:val="18"/>
                <w:color w:val="auto"/>
                <w:w w:val="98"/>
              </w:rPr>
              <w:t>(Principal Executive Officer)</w:t>
            </w:r>
          </w:p>
        </w:tc>
        <w:tc>
          <w:tcPr>
            <w:tcW w:w="2040" w:type="dxa"/>
            <w:vAlign w:val="bottom"/>
          </w:tcPr>
          <w:p>
            <w:pPr>
              <w:spacing w:after="0"/>
              <w:rPr>
                <w:sz w:val="21"/>
                <w:szCs w:val="21"/>
                <w:color w:val="auto"/>
              </w:rPr>
            </w:pPr>
          </w:p>
        </w:tc>
      </w:tr>
      <w:tr>
        <w:trPr>
          <w:trHeight w:val="354"/>
        </w:trPr>
        <w:tc>
          <w:tcPr>
            <w:tcW w:w="3180" w:type="dxa"/>
            <w:vAlign w:val="bottom"/>
          </w:tcPr>
          <w:p>
            <w:pPr>
              <w:jc w:val="center"/>
              <w:spacing w:after="0"/>
              <w:rPr>
                <w:sz w:val="20"/>
                <w:szCs w:val="20"/>
                <w:color w:val="auto"/>
              </w:rPr>
            </w:pPr>
            <w:r>
              <w:rPr>
                <w:rFonts w:ascii="Calibri" w:cs="Calibri" w:eastAsia="Calibri" w:hAnsi="Calibri"/>
                <w:sz w:val="18"/>
                <w:szCs w:val="18"/>
                <w:color w:val="auto"/>
                <w:w w:val="98"/>
              </w:rPr>
              <w:t>/s/ ROBERT T. MACALIK</w:t>
            </w:r>
          </w:p>
        </w:tc>
        <w:tc>
          <w:tcPr>
            <w:tcW w:w="4840" w:type="dxa"/>
            <w:vAlign w:val="bottom"/>
          </w:tcPr>
          <w:p>
            <w:pPr>
              <w:jc w:val="center"/>
              <w:ind w:left="112"/>
              <w:spacing w:after="0"/>
              <w:rPr>
                <w:sz w:val="20"/>
                <w:szCs w:val="20"/>
                <w:color w:val="auto"/>
              </w:rPr>
            </w:pPr>
            <w:r>
              <w:rPr>
                <w:rFonts w:ascii="Calibri" w:cs="Calibri" w:eastAsia="Calibri" w:hAnsi="Calibri"/>
                <w:sz w:val="18"/>
                <w:szCs w:val="18"/>
                <w:color w:val="auto"/>
                <w:w w:val="98"/>
              </w:rPr>
              <w:t>Executive Vice President and Chief Financial Officer</w:t>
            </w:r>
          </w:p>
        </w:tc>
        <w:tc>
          <w:tcPr>
            <w:tcW w:w="2040" w:type="dxa"/>
            <w:vAlign w:val="bottom"/>
          </w:tcPr>
          <w:p>
            <w:pPr>
              <w:jc w:val="center"/>
              <w:ind w:left="112"/>
              <w:spacing w:after="0"/>
              <w:rPr>
                <w:sz w:val="20"/>
                <w:szCs w:val="20"/>
                <w:color w:val="auto"/>
              </w:rPr>
            </w:pPr>
            <w:r>
              <w:rPr>
                <w:rFonts w:ascii="Calibri" w:cs="Calibri" w:eastAsia="Calibri" w:hAnsi="Calibri"/>
                <w:sz w:val="18"/>
                <w:szCs w:val="18"/>
                <w:color w:val="auto"/>
                <w:w w:val="99"/>
              </w:rPr>
              <w:t>February 26, 2026</w:t>
            </w:r>
          </w:p>
        </w:tc>
      </w:tr>
      <w:tr>
        <w:trPr>
          <w:trHeight w:val="30"/>
        </w:trPr>
        <w:tc>
          <w:tcPr>
            <w:tcW w:w="3180" w:type="dxa"/>
            <w:vAlign w:val="bottom"/>
            <w:tcBorders>
              <w:bottom w:val="single" w:sz="8" w:color="214E93"/>
            </w:tcBorders>
          </w:tcPr>
          <w:p>
            <w:pPr>
              <w:spacing w:after="0"/>
              <w:rPr>
                <w:sz w:val="2"/>
                <w:szCs w:val="2"/>
                <w:color w:val="auto"/>
              </w:rPr>
            </w:pPr>
          </w:p>
        </w:tc>
        <w:tc>
          <w:tcPr>
            <w:tcW w:w="48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5"/>
        </w:trPr>
        <w:tc>
          <w:tcPr>
            <w:tcW w:w="3180" w:type="dxa"/>
            <w:vAlign w:val="bottom"/>
          </w:tcPr>
          <w:p>
            <w:pPr>
              <w:jc w:val="center"/>
              <w:spacing w:after="0"/>
              <w:rPr>
                <w:sz w:val="20"/>
                <w:szCs w:val="20"/>
                <w:color w:val="auto"/>
              </w:rPr>
            </w:pPr>
            <w:r>
              <w:rPr>
                <w:rFonts w:ascii="Calibri" w:cs="Calibri" w:eastAsia="Calibri" w:hAnsi="Calibri"/>
                <w:sz w:val="18"/>
                <w:szCs w:val="18"/>
                <w:color w:val="auto"/>
                <w:w w:val="98"/>
              </w:rPr>
              <w:t>Robert T. Macalik</w:t>
            </w:r>
          </w:p>
        </w:tc>
        <w:tc>
          <w:tcPr>
            <w:tcW w:w="4840" w:type="dxa"/>
            <w:vAlign w:val="bottom"/>
          </w:tcPr>
          <w:p>
            <w:pPr>
              <w:jc w:val="center"/>
              <w:ind w:left="112"/>
              <w:spacing w:after="0"/>
              <w:rPr>
                <w:sz w:val="20"/>
                <w:szCs w:val="20"/>
                <w:color w:val="auto"/>
              </w:rPr>
            </w:pPr>
            <w:r>
              <w:rPr>
                <w:rFonts w:ascii="Calibri" w:cs="Calibri" w:eastAsia="Calibri" w:hAnsi="Calibri"/>
                <w:sz w:val="18"/>
                <w:szCs w:val="18"/>
                <w:color w:val="auto"/>
                <w:w w:val="97"/>
              </w:rPr>
              <w:t>(Principal Financial Officer)</w:t>
            </w:r>
          </w:p>
        </w:tc>
        <w:tc>
          <w:tcPr>
            <w:tcW w:w="2040" w:type="dxa"/>
            <w:vAlign w:val="bottom"/>
          </w:tcPr>
          <w:p>
            <w:pPr>
              <w:spacing w:after="0"/>
              <w:rPr>
                <w:sz w:val="21"/>
                <w:szCs w:val="21"/>
                <w:color w:val="auto"/>
              </w:rPr>
            </w:pPr>
          </w:p>
        </w:tc>
      </w:tr>
      <w:tr>
        <w:trPr>
          <w:trHeight w:val="369"/>
        </w:trPr>
        <w:tc>
          <w:tcPr>
            <w:tcW w:w="3180" w:type="dxa"/>
            <w:vAlign w:val="bottom"/>
          </w:tcPr>
          <w:p>
            <w:pPr>
              <w:jc w:val="center"/>
              <w:spacing w:after="0"/>
              <w:rPr>
                <w:sz w:val="20"/>
                <w:szCs w:val="20"/>
                <w:color w:val="auto"/>
              </w:rPr>
            </w:pPr>
            <w:r>
              <w:rPr>
                <w:rFonts w:ascii="Calibri" w:cs="Calibri" w:eastAsia="Calibri" w:hAnsi="Calibri"/>
                <w:sz w:val="18"/>
                <w:szCs w:val="18"/>
                <w:color w:val="auto"/>
                <w:w w:val="98"/>
              </w:rPr>
              <w:t>/s/ BENJAMIN T. COLODNEY</w:t>
            </w:r>
          </w:p>
        </w:tc>
        <w:tc>
          <w:tcPr>
            <w:tcW w:w="4840" w:type="dxa"/>
            <w:vAlign w:val="bottom"/>
          </w:tcPr>
          <w:p>
            <w:pPr>
              <w:jc w:val="center"/>
              <w:ind w:left="132"/>
              <w:spacing w:after="0"/>
              <w:rPr>
                <w:sz w:val="20"/>
                <w:szCs w:val="20"/>
                <w:color w:val="auto"/>
              </w:rPr>
            </w:pPr>
            <w:r>
              <w:rPr>
                <w:rFonts w:ascii="Calibri" w:cs="Calibri" w:eastAsia="Calibri" w:hAnsi="Calibri"/>
                <w:sz w:val="18"/>
                <w:szCs w:val="18"/>
                <w:color w:val="auto"/>
                <w:w w:val="98"/>
              </w:rPr>
              <w:t>Senior Vice President and Chief Accounting Officer</w:t>
            </w:r>
          </w:p>
        </w:tc>
        <w:tc>
          <w:tcPr>
            <w:tcW w:w="2040" w:type="dxa"/>
            <w:vAlign w:val="bottom"/>
          </w:tcPr>
          <w:p>
            <w:pPr>
              <w:jc w:val="center"/>
              <w:ind w:left="112"/>
              <w:spacing w:after="0"/>
              <w:rPr>
                <w:sz w:val="20"/>
                <w:szCs w:val="20"/>
                <w:color w:val="auto"/>
              </w:rPr>
            </w:pPr>
            <w:r>
              <w:rPr>
                <w:rFonts w:ascii="Calibri" w:cs="Calibri" w:eastAsia="Calibri" w:hAnsi="Calibri"/>
                <w:sz w:val="18"/>
                <w:szCs w:val="18"/>
                <w:color w:val="auto"/>
                <w:w w:val="99"/>
              </w:rPr>
              <w:t>February 26, 2026</w:t>
            </w:r>
          </w:p>
        </w:tc>
      </w:tr>
      <w:tr>
        <w:trPr>
          <w:trHeight w:val="30"/>
        </w:trPr>
        <w:tc>
          <w:tcPr>
            <w:tcW w:w="3180" w:type="dxa"/>
            <w:vAlign w:val="bottom"/>
            <w:tcBorders>
              <w:bottom w:val="single" w:sz="8" w:color="214E93"/>
            </w:tcBorders>
          </w:tcPr>
          <w:p>
            <w:pPr>
              <w:spacing w:after="0"/>
              <w:rPr>
                <w:sz w:val="2"/>
                <w:szCs w:val="2"/>
                <w:color w:val="auto"/>
              </w:rPr>
            </w:pPr>
          </w:p>
        </w:tc>
        <w:tc>
          <w:tcPr>
            <w:tcW w:w="48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5"/>
        </w:trPr>
        <w:tc>
          <w:tcPr>
            <w:tcW w:w="3180" w:type="dxa"/>
            <w:vAlign w:val="bottom"/>
          </w:tcPr>
          <w:p>
            <w:pPr>
              <w:jc w:val="center"/>
              <w:spacing w:after="0"/>
              <w:rPr>
                <w:sz w:val="20"/>
                <w:szCs w:val="20"/>
                <w:color w:val="auto"/>
              </w:rPr>
            </w:pPr>
            <w:r>
              <w:rPr>
                <w:rFonts w:ascii="Calibri" w:cs="Calibri" w:eastAsia="Calibri" w:hAnsi="Calibri"/>
                <w:sz w:val="18"/>
                <w:szCs w:val="18"/>
                <w:color w:val="auto"/>
                <w:w w:val="99"/>
              </w:rPr>
              <w:t>Benjamin T. Colodney</w:t>
            </w:r>
          </w:p>
        </w:tc>
        <w:tc>
          <w:tcPr>
            <w:tcW w:w="4840" w:type="dxa"/>
            <w:vAlign w:val="bottom"/>
          </w:tcPr>
          <w:p>
            <w:pPr>
              <w:jc w:val="center"/>
              <w:ind w:left="132"/>
              <w:spacing w:after="0"/>
              <w:rPr>
                <w:sz w:val="20"/>
                <w:szCs w:val="20"/>
                <w:color w:val="auto"/>
              </w:rPr>
            </w:pPr>
            <w:r>
              <w:rPr>
                <w:rFonts w:ascii="Calibri" w:cs="Calibri" w:eastAsia="Calibri" w:hAnsi="Calibri"/>
                <w:sz w:val="18"/>
                <w:szCs w:val="18"/>
                <w:color w:val="auto"/>
                <w:w w:val="98"/>
              </w:rPr>
              <w:t>(Principal Accounting Officer)</w:t>
            </w:r>
          </w:p>
        </w:tc>
        <w:tc>
          <w:tcPr>
            <w:tcW w:w="2040" w:type="dxa"/>
            <w:vAlign w:val="bottom"/>
          </w:tcPr>
          <w:p>
            <w:pPr>
              <w:spacing w:after="0"/>
              <w:rPr>
                <w:sz w:val="21"/>
                <w:szCs w:val="21"/>
                <w:color w:val="auto"/>
              </w:rPr>
            </w:pPr>
          </w:p>
        </w:tc>
      </w:tr>
      <w:tr>
        <w:trPr>
          <w:trHeight w:val="369"/>
        </w:trPr>
        <w:tc>
          <w:tcPr>
            <w:tcW w:w="3180" w:type="dxa"/>
            <w:vAlign w:val="bottom"/>
          </w:tcPr>
          <w:p>
            <w:pPr>
              <w:jc w:val="center"/>
              <w:spacing w:after="0"/>
              <w:rPr>
                <w:sz w:val="20"/>
                <w:szCs w:val="20"/>
                <w:color w:val="auto"/>
              </w:rPr>
            </w:pPr>
            <w:r>
              <w:rPr>
                <w:rFonts w:ascii="Calibri" w:cs="Calibri" w:eastAsia="Calibri" w:hAnsi="Calibri"/>
                <w:sz w:val="18"/>
                <w:szCs w:val="18"/>
                <w:color w:val="auto"/>
                <w:w w:val="98"/>
              </w:rPr>
              <w:t>/s/ SHELLEY F. APPEL</w:t>
            </w:r>
          </w:p>
        </w:tc>
        <w:tc>
          <w:tcPr>
            <w:tcW w:w="4840" w:type="dxa"/>
            <w:vAlign w:val="bottom"/>
          </w:tcPr>
          <w:p>
            <w:pPr>
              <w:jc w:val="center"/>
              <w:ind w:left="112"/>
              <w:spacing w:after="0"/>
              <w:rPr>
                <w:sz w:val="20"/>
                <w:szCs w:val="20"/>
                <w:color w:val="auto"/>
              </w:rPr>
            </w:pPr>
            <w:r>
              <w:rPr>
                <w:rFonts w:ascii="Calibri" w:cs="Calibri" w:eastAsia="Calibri" w:hAnsi="Calibri"/>
                <w:sz w:val="18"/>
                <w:szCs w:val="18"/>
                <w:color w:val="auto"/>
              </w:rPr>
              <w:t>Director</w:t>
            </w:r>
          </w:p>
        </w:tc>
        <w:tc>
          <w:tcPr>
            <w:tcW w:w="2040" w:type="dxa"/>
            <w:vAlign w:val="bottom"/>
          </w:tcPr>
          <w:p>
            <w:pPr>
              <w:jc w:val="center"/>
              <w:ind w:left="112"/>
              <w:spacing w:after="0"/>
              <w:rPr>
                <w:sz w:val="20"/>
                <w:szCs w:val="20"/>
                <w:color w:val="auto"/>
              </w:rPr>
            </w:pPr>
            <w:r>
              <w:rPr>
                <w:rFonts w:ascii="Calibri" w:cs="Calibri" w:eastAsia="Calibri" w:hAnsi="Calibri"/>
                <w:sz w:val="18"/>
                <w:szCs w:val="18"/>
                <w:color w:val="auto"/>
                <w:w w:val="99"/>
              </w:rPr>
              <w:t>February 26, 2026</w:t>
            </w:r>
          </w:p>
        </w:tc>
      </w:tr>
      <w:tr>
        <w:trPr>
          <w:trHeight w:val="30"/>
        </w:trPr>
        <w:tc>
          <w:tcPr>
            <w:tcW w:w="3180" w:type="dxa"/>
            <w:vAlign w:val="bottom"/>
            <w:tcBorders>
              <w:bottom w:val="single" w:sz="8" w:color="214E93"/>
            </w:tcBorders>
          </w:tcPr>
          <w:p>
            <w:pPr>
              <w:spacing w:after="0"/>
              <w:rPr>
                <w:sz w:val="2"/>
                <w:szCs w:val="2"/>
                <w:color w:val="auto"/>
              </w:rPr>
            </w:pPr>
          </w:p>
        </w:tc>
        <w:tc>
          <w:tcPr>
            <w:tcW w:w="48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5"/>
        </w:trPr>
        <w:tc>
          <w:tcPr>
            <w:tcW w:w="3180" w:type="dxa"/>
            <w:vAlign w:val="bottom"/>
          </w:tcPr>
          <w:p>
            <w:pPr>
              <w:jc w:val="center"/>
              <w:spacing w:after="0"/>
              <w:rPr>
                <w:sz w:val="20"/>
                <w:szCs w:val="20"/>
                <w:color w:val="auto"/>
              </w:rPr>
            </w:pPr>
            <w:r>
              <w:rPr>
                <w:rFonts w:ascii="Calibri" w:cs="Calibri" w:eastAsia="Calibri" w:hAnsi="Calibri"/>
                <w:sz w:val="18"/>
                <w:szCs w:val="18"/>
                <w:color w:val="auto"/>
                <w:w w:val="98"/>
              </w:rPr>
              <w:t>Shelley F. Appel</w:t>
            </w:r>
          </w:p>
        </w:tc>
        <w:tc>
          <w:tcPr>
            <w:tcW w:w="484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369"/>
        </w:trPr>
        <w:tc>
          <w:tcPr>
            <w:tcW w:w="3180" w:type="dxa"/>
            <w:vAlign w:val="bottom"/>
          </w:tcPr>
          <w:p>
            <w:pPr>
              <w:jc w:val="center"/>
              <w:spacing w:after="0"/>
              <w:rPr>
                <w:sz w:val="20"/>
                <w:szCs w:val="20"/>
                <w:color w:val="auto"/>
              </w:rPr>
            </w:pPr>
            <w:r>
              <w:rPr>
                <w:rFonts w:ascii="Calibri" w:cs="Calibri" w:eastAsia="Calibri" w:hAnsi="Calibri"/>
                <w:sz w:val="18"/>
                <w:szCs w:val="18"/>
                <w:color w:val="auto"/>
                <w:w w:val="97"/>
              </w:rPr>
              <w:t>/s/ REYNALD A. BARIBAULT</w:t>
            </w:r>
          </w:p>
        </w:tc>
        <w:tc>
          <w:tcPr>
            <w:tcW w:w="4840" w:type="dxa"/>
            <w:vAlign w:val="bottom"/>
          </w:tcPr>
          <w:p>
            <w:pPr>
              <w:jc w:val="center"/>
              <w:ind w:left="112"/>
              <w:spacing w:after="0"/>
              <w:rPr>
                <w:sz w:val="20"/>
                <w:szCs w:val="20"/>
                <w:color w:val="auto"/>
              </w:rPr>
            </w:pPr>
            <w:r>
              <w:rPr>
                <w:rFonts w:ascii="Calibri" w:cs="Calibri" w:eastAsia="Calibri" w:hAnsi="Calibri"/>
                <w:sz w:val="18"/>
                <w:szCs w:val="18"/>
                <w:color w:val="auto"/>
              </w:rPr>
              <w:t>Director</w:t>
            </w:r>
          </w:p>
        </w:tc>
        <w:tc>
          <w:tcPr>
            <w:tcW w:w="2040" w:type="dxa"/>
            <w:vAlign w:val="bottom"/>
          </w:tcPr>
          <w:p>
            <w:pPr>
              <w:jc w:val="center"/>
              <w:ind w:left="112"/>
              <w:spacing w:after="0"/>
              <w:rPr>
                <w:sz w:val="20"/>
                <w:szCs w:val="20"/>
                <w:color w:val="auto"/>
              </w:rPr>
            </w:pPr>
            <w:r>
              <w:rPr>
                <w:rFonts w:ascii="Calibri" w:cs="Calibri" w:eastAsia="Calibri" w:hAnsi="Calibri"/>
                <w:sz w:val="18"/>
                <w:szCs w:val="18"/>
                <w:color w:val="auto"/>
                <w:w w:val="99"/>
              </w:rPr>
              <w:t>February 26, 2026</w:t>
            </w:r>
          </w:p>
        </w:tc>
      </w:tr>
      <w:tr>
        <w:trPr>
          <w:trHeight w:val="30"/>
        </w:trPr>
        <w:tc>
          <w:tcPr>
            <w:tcW w:w="3180" w:type="dxa"/>
            <w:vAlign w:val="bottom"/>
            <w:tcBorders>
              <w:bottom w:val="single" w:sz="8" w:color="214E93"/>
            </w:tcBorders>
          </w:tcPr>
          <w:p>
            <w:pPr>
              <w:spacing w:after="0"/>
              <w:rPr>
                <w:sz w:val="2"/>
                <w:szCs w:val="2"/>
                <w:color w:val="auto"/>
              </w:rPr>
            </w:pPr>
          </w:p>
        </w:tc>
        <w:tc>
          <w:tcPr>
            <w:tcW w:w="48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5"/>
        </w:trPr>
        <w:tc>
          <w:tcPr>
            <w:tcW w:w="3180" w:type="dxa"/>
            <w:vAlign w:val="bottom"/>
          </w:tcPr>
          <w:p>
            <w:pPr>
              <w:jc w:val="center"/>
              <w:spacing w:after="0"/>
              <w:rPr>
                <w:sz w:val="20"/>
                <w:szCs w:val="20"/>
                <w:color w:val="auto"/>
              </w:rPr>
            </w:pPr>
            <w:r>
              <w:rPr>
                <w:rFonts w:ascii="Calibri" w:cs="Calibri" w:eastAsia="Calibri" w:hAnsi="Calibri"/>
                <w:sz w:val="18"/>
                <w:szCs w:val="18"/>
                <w:color w:val="auto"/>
                <w:w w:val="98"/>
              </w:rPr>
              <w:t>Reynald A. Baribault</w:t>
            </w:r>
          </w:p>
        </w:tc>
        <w:tc>
          <w:tcPr>
            <w:tcW w:w="484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369"/>
        </w:trPr>
        <w:tc>
          <w:tcPr>
            <w:tcW w:w="3180" w:type="dxa"/>
            <w:vAlign w:val="bottom"/>
          </w:tcPr>
          <w:p>
            <w:pPr>
              <w:jc w:val="center"/>
              <w:spacing w:after="0"/>
              <w:rPr>
                <w:sz w:val="20"/>
                <w:szCs w:val="20"/>
                <w:color w:val="auto"/>
              </w:rPr>
            </w:pPr>
            <w:r>
              <w:rPr>
                <w:rFonts w:ascii="Calibri" w:cs="Calibri" w:eastAsia="Calibri" w:hAnsi="Calibri"/>
                <w:sz w:val="18"/>
                <w:szCs w:val="18"/>
                <w:color w:val="auto"/>
                <w:w w:val="98"/>
              </w:rPr>
              <w:t>/s/ R. GAINES BATY</w:t>
            </w:r>
          </w:p>
        </w:tc>
        <w:tc>
          <w:tcPr>
            <w:tcW w:w="4840" w:type="dxa"/>
            <w:vAlign w:val="bottom"/>
          </w:tcPr>
          <w:p>
            <w:pPr>
              <w:jc w:val="center"/>
              <w:ind w:left="112"/>
              <w:spacing w:after="0"/>
              <w:rPr>
                <w:sz w:val="20"/>
                <w:szCs w:val="20"/>
                <w:color w:val="auto"/>
              </w:rPr>
            </w:pPr>
            <w:r>
              <w:rPr>
                <w:rFonts w:ascii="Calibri" w:cs="Calibri" w:eastAsia="Calibri" w:hAnsi="Calibri"/>
                <w:sz w:val="18"/>
                <w:szCs w:val="18"/>
                <w:color w:val="auto"/>
              </w:rPr>
              <w:t>Director</w:t>
            </w:r>
          </w:p>
        </w:tc>
        <w:tc>
          <w:tcPr>
            <w:tcW w:w="2040" w:type="dxa"/>
            <w:vAlign w:val="bottom"/>
          </w:tcPr>
          <w:p>
            <w:pPr>
              <w:jc w:val="center"/>
              <w:ind w:left="112"/>
              <w:spacing w:after="0"/>
              <w:rPr>
                <w:sz w:val="20"/>
                <w:szCs w:val="20"/>
                <w:color w:val="auto"/>
              </w:rPr>
            </w:pPr>
            <w:r>
              <w:rPr>
                <w:rFonts w:ascii="Calibri" w:cs="Calibri" w:eastAsia="Calibri" w:hAnsi="Calibri"/>
                <w:sz w:val="18"/>
                <w:szCs w:val="18"/>
                <w:color w:val="auto"/>
                <w:w w:val="99"/>
              </w:rPr>
              <w:t>February 26, 2026</w:t>
            </w:r>
          </w:p>
        </w:tc>
      </w:tr>
      <w:tr>
        <w:trPr>
          <w:trHeight w:val="30"/>
        </w:trPr>
        <w:tc>
          <w:tcPr>
            <w:tcW w:w="3180" w:type="dxa"/>
            <w:vAlign w:val="bottom"/>
            <w:tcBorders>
              <w:bottom w:val="single" w:sz="8" w:color="214E93"/>
            </w:tcBorders>
          </w:tcPr>
          <w:p>
            <w:pPr>
              <w:spacing w:after="0"/>
              <w:rPr>
                <w:sz w:val="2"/>
                <w:szCs w:val="2"/>
                <w:color w:val="auto"/>
              </w:rPr>
            </w:pPr>
          </w:p>
        </w:tc>
        <w:tc>
          <w:tcPr>
            <w:tcW w:w="48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5"/>
        </w:trPr>
        <w:tc>
          <w:tcPr>
            <w:tcW w:w="3180" w:type="dxa"/>
            <w:vAlign w:val="bottom"/>
          </w:tcPr>
          <w:p>
            <w:pPr>
              <w:jc w:val="center"/>
              <w:spacing w:after="0"/>
              <w:rPr>
                <w:sz w:val="20"/>
                <w:szCs w:val="20"/>
                <w:color w:val="auto"/>
              </w:rPr>
            </w:pPr>
            <w:r>
              <w:rPr>
                <w:rFonts w:ascii="Calibri" w:cs="Calibri" w:eastAsia="Calibri" w:hAnsi="Calibri"/>
                <w:sz w:val="18"/>
                <w:szCs w:val="18"/>
                <w:color w:val="auto"/>
                <w:w w:val="97"/>
              </w:rPr>
              <w:t>R. Gaines Baty</w:t>
            </w:r>
          </w:p>
        </w:tc>
        <w:tc>
          <w:tcPr>
            <w:tcW w:w="484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369"/>
        </w:trPr>
        <w:tc>
          <w:tcPr>
            <w:tcW w:w="3180" w:type="dxa"/>
            <w:vAlign w:val="bottom"/>
          </w:tcPr>
          <w:p>
            <w:pPr>
              <w:jc w:val="center"/>
              <w:spacing w:after="0"/>
              <w:rPr>
                <w:sz w:val="20"/>
                <w:szCs w:val="20"/>
                <w:color w:val="auto"/>
              </w:rPr>
            </w:pPr>
            <w:r>
              <w:rPr>
                <w:rFonts w:ascii="Calibri" w:cs="Calibri" w:eastAsia="Calibri" w:hAnsi="Calibri"/>
                <w:sz w:val="18"/>
                <w:szCs w:val="18"/>
                <w:color w:val="auto"/>
                <w:w w:val="98"/>
              </w:rPr>
              <w:t>/s/ WILLIAM M. BYERLEY</w:t>
            </w:r>
          </w:p>
        </w:tc>
        <w:tc>
          <w:tcPr>
            <w:tcW w:w="4840" w:type="dxa"/>
            <w:vAlign w:val="bottom"/>
          </w:tcPr>
          <w:p>
            <w:pPr>
              <w:jc w:val="center"/>
              <w:ind w:left="112"/>
              <w:spacing w:after="0"/>
              <w:rPr>
                <w:sz w:val="20"/>
                <w:szCs w:val="20"/>
                <w:color w:val="auto"/>
              </w:rPr>
            </w:pPr>
            <w:r>
              <w:rPr>
                <w:rFonts w:ascii="Calibri" w:cs="Calibri" w:eastAsia="Calibri" w:hAnsi="Calibri"/>
                <w:sz w:val="18"/>
                <w:szCs w:val="18"/>
                <w:color w:val="auto"/>
              </w:rPr>
              <w:t>Director</w:t>
            </w:r>
          </w:p>
        </w:tc>
        <w:tc>
          <w:tcPr>
            <w:tcW w:w="2040" w:type="dxa"/>
            <w:vAlign w:val="bottom"/>
          </w:tcPr>
          <w:p>
            <w:pPr>
              <w:jc w:val="center"/>
              <w:ind w:left="112"/>
              <w:spacing w:after="0"/>
              <w:rPr>
                <w:sz w:val="20"/>
                <w:szCs w:val="20"/>
                <w:color w:val="auto"/>
              </w:rPr>
            </w:pPr>
            <w:r>
              <w:rPr>
                <w:rFonts w:ascii="Calibri" w:cs="Calibri" w:eastAsia="Calibri" w:hAnsi="Calibri"/>
                <w:sz w:val="18"/>
                <w:szCs w:val="18"/>
                <w:color w:val="auto"/>
                <w:w w:val="99"/>
              </w:rPr>
              <w:t>February 26, 2026</w:t>
            </w:r>
          </w:p>
        </w:tc>
      </w:tr>
      <w:tr>
        <w:trPr>
          <w:trHeight w:val="30"/>
        </w:trPr>
        <w:tc>
          <w:tcPr>
            <w:tcW w:w="3180" w:type="dxa"/>
            <w:vAlign w:val="bottom"/>
            <w:tcBorders>
              <w:bottom w:val="single" w:sz="8" w:color="214E93"/>
            </w:tcBorders>
          </w:tcPr>
          <w:p>
            <w:pPr>
              <w:spacing w:after="0"/>
              <w:rPr>
                <w:sz w:val="2"/>
                <w:szCs w:val="2"/>
                <w:color w:val="auto"/>
              </w:rPr>
            </w:pPr>
          </w:p>
        </w:tc>
        <w:tc>
          <w:tcPr>
            <w:tcW w:w="48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5"/>
        </w:trPr>
        <w:tc>
          <w:tcPr>
            <w:tcW w:w="3180" w:type="dxa"/>
            <w:vAlign w:val="bottom"/>
          </w:tcPr>
          <w:p>
            <w:pPr>
              <w:jc w:val="center"/>
              <w:spacing w:after="0"/>
              <w:rPr>
                <w:sz w:val="20"/>
                <w:szCs w:val="20"/>
                <w:color w:val="auto"/>
              </w:rPr>
            </w:pPr>
            <w:r>
              <w:rPr>
                <w:rFonts w:ascii="Calibri" w:cs="Calibri" w:eastAsia="Calibri" w:hAnsi="Calibri"/>
                <w:sz w:val="18"/>
                <w:szCs w:val="18"/>
                <w:color w:val="auto"/>
                <w:w w:val="98"/>
              </w:rPr>
              <w:t>William M. Byerley</w:t>
            </w:r>
          </w:p>
        </w:tc>
        <w:tc>
          <w:tcPr>
            <w:tcW w:w="484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369"/>
        </w:trPr>
        <w:tc>
          <w:tcPr>
            <w:tcW w:w="3180" w:type="dxa"/>
            <w:vAlign w:val="bottom"/>
          </w:tcPr>
          <w:p>
            <w:pPr>
              <w:jc w:val="center"/>
              <w:spacing w:after="0"/>
              <w:rPr>
                <w:sz w:val="20"/>
                <w:szCs w:val="20"/>
                <w:color w:val="auto"/>
              </w:rPr>
            </w:pPr>
            <w:r>
              <w:rPr>
                <w:rFonts w:ascii="Calibri" w:cs="Calibri" w:eastAsia="Calibri" w:hAnsi="Calibri"/>
                <w:sz w:val="18"/>
                <w:szCs w:val="18"/>
                <w:color w:val="auto"/>
                <w:w w:val="99"/>
              </w:rPr>
              <w:t>/s/ MONIKA U. EHRMAN</w:t>
            </w:r>
          </w:p>
        </w:tc>
        <w:tc>
          <w:tcPr>
            <w:tcW w:w="4840" w:type="dxa"/>
            <w:vAlign w:val="bottom"/>
          </w:tcPr>
          <w:p>
            <w:pPr>
              <w:jc w:val="center"/>
              <w:ind w:left="112"/>
              <w:spacing w:after="0"/>
              <w:rPr>
                <w:sz w:val="20"/>
                <w:szCs w:val="20"/>
                <w:color w:val="auto"/>
              </w:rPr>
            </w:pPr>
            <w:r>
              <w:rPr>
                <w:rFonts w:ascii="Calibri" w:cs="Calibri" w:eastAsia="Calibri" w:hAnsi="Calibri"/>
                <w:sz w:val="18"/>
                <w:szCs w:val="18"/>
                <w:color w:val="auto"/>
              </w:rPr>
              <w:t>Director</w:t>
            </w:r>
          </w:p>
        </w:tc>
        <w:tc>
          <w:tcPr>
            <w:tcW w:w="2040" w:type="dxa"/>
            <w:vAlign w:val="bottom"/>
          </w:tcPr>
          <w:p>
            <w:pPr>
              <w:jc w:val="center"/>
              <w:ind w:left="112"/>
              <w:spacing w:after="0"/>
              <w:rPr>
                <w:sz w:val="20"/>
                <w:szCs w:val="20"/>
                <w:color w:val="auto"/>
              </w:rPr>
            </w:pPr>
            <w:r>
              <w:rPr>
                <w:rFonts w:ascii="Calibri" w:cs="Calibri" w:eastAsia="Calibri" w:hAnsi="Calibri"/>
                <w:sz w:val="18"/>
                <w:szCs w:val="18"/>
                <w:color w:val="auto"/>
                <w:w w:val="99"/>
              </w:rPr>
              <w:t>February 26, 2026</w:t>
            </w:r>
          </w:p>
        </w:tc>
      </w:tr>
      <w:tr>
        <w:trPr>
          <w:trHeight w:val="30"/>
        </w:trPr>
        <w:tc>
          <w:tcPr>
            <w:tcW w:w="3180" w:type="dxa"/>
            <w:vAlign w:val="bottom"/>
            <w:tcBorders>
              <w:bottom w:val="single" w:sz="8" w:color="214E93"/>
            </w:tcBorders>
          </w:tcPr>
          <w:p>
            <w:pPr>
              <w:spacing w:after="0"/>
              <w:rPr>
                <w:sz w:val="2"/>
                <w:szCs w:val="2"/>
                <w:color w:val="auto"/>
              </w:rPr>
            </w:pPr>
          </w:p>
        </w:tc>
        <w:tc>
          <w:tcPr>
            <w:tcW w:w="48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5"/>
        </w:trPr>
        <w:tc>
          <w:tcPr>
            <w:tcW w:w="3180" w:type="dxa"/>
            <w:vAlign w:val="bottom"/>
          </w:tcPr>
          <w:p>
            <w:pPr>
              <w:jc w:val="center"/>
              <w:spacing w:after="0"/>
              <w:rPr>
                <w:sz w:val="20"/>
                <w:szCs w:val="20"/>
                <w:color w:val="auto"/>
              </w:rPr>
            </w:pPr>
            <w:r>
              <w:rPr>
                <w:rFonts w:ascii="Calibri" w:cs="Calibri" w:eastAsia="Calibri" w:hAnsi="Calibri"/>
                <w:sz w:val="18"/>
                <w:szCs w:val="18"/>
                <w:color w:val="auto"/>
                <w:w w:val="98"/>
              </w:rPr>
              <w:t>Monika U. Ehrman</w:t>
            </w:r>
          </w:p>
        </w:tc>
        <w:tc>
          <w:tcPr>
            <w:tcW w:w="484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310"/>
        </w:trPr>
        <w:tc>
          <w:tcPr>
            <w:tcW w:w="3180" w:type="dxa"/>
            <w:vAlign w:val="bottom"/>
          </w:tcPr>
          <w:p>
            <w:pPr>
              <w:jc w:val="center"/>
              <w:spacing w:after="0"/>
              <w:rPr>
                <w:sz w:val="20"/>
                <w:szCs w:val="20"/>
                <w:color w:val="auto"/>
              </w:rPr>
            </w:pPr>
            <w:r>
              <w:rPr>
                <w:rFonts w:ascii="Calibri" w:cs="Calibri" w:eastAsia="Calibri" w:hAnsi="Calibri"/>
                <w:sz w:val="18"/>
                <w:szCs w:val="18"/>
                <w:color w:val="auto"/>
                <w:w w:val="98"/>
              </w:rPr>
              <w:t>/s/ PAUL W. HARVEY</w:t>
            </w:r>
          </w:p>
        </w:tc>
        <w:tc>
          <w:tcPr>
            <w:tcW w:w="4840" w:type="dxa"/>
            <w:vAlign w:val="bottom"/>
          </w:tcPr>
          <w:p>
            <w:pPr>
              <w:jc w:val="center"/>
              <w:ind w:left="112"/>
              <w:spacing w:after="0"/>
              <w:rPr>
                <w:sz w:val="20"/>
                <w:szCs w:val="20"/>
                <w:color w:val="auto"/>
              </w:rPr>
            </w:pPr>
            <w:r>
              <w:rPr>
                <w:rFonts w:ascii="Calibri" w:cs="Calibri" w:eastAsia="Calibri" w:hAnsi="Calibri"/>
                <w:sz w:val="18"/>
                <w:szCs w:val="18"/>
                <w:color w:val="auto"/>
              </w:rPr>
              <w:t>Director</w:t>
            </w:r>
          </w:p>
        </w:tc>
        <w:tc>
          <w:tcPr>
            <w:tcW w:w="2040" w:type="dxa"/>
            <w:vAlign w:val="bottom"/>
          </w:tcPr>
          <w:p>
            <w:pPr>
              <w:jc w:val="center"/>
              <w:ind w:left="112"/>
              <w:spacing w:after="0"/>
              <w:rPr>
                <w:sz w:val="20"/>
                <w:szCs w:val="20"/>
                <w:color w:val="auto"/>
              </w:rPr>
            </w:pPr>
            <w:r>
              <w:rPr>
                <w:rFonts w:ascii="Calibri" w:cs="Calibri" w:eastAsia="Calibri" w:hAnsi="Calibri"/>
                <w:sz w:val="18"/>
                <w:szCs w:val="18"/>
                <w:color w:val="auto"/>
                <w:w w:val="99"/>
              </w:rPr>
              <w:t>February 26, 2026</w:t>
            </w:r>
          </w:p>
        </w:tc>
      </w:tr>
      <w:tr>
        <w:trPr>
          <w:trHeight w:val="30"/>
        </w:trPr>
        <w:tc>
          <w:tcPr>
            <w:tcW w:w="3180" w:type="dxa"/>
            <w:vAlign w:val="bottom"/>
            <w:tcBorders>
              <w:bottom w:val="single" w:sz="8" w:color="214E93"/>
            </w:tcBorders>
          </w:tcPr>
          <w:p>
            <w:pPr>
              <w:spacing w:after="0"/>
              <w:rPr>
                <w:sz w:val="2"/>
                <w:szCs w:val="2"/>
                <w:color w:val="auto"/>
              </w:rPr>
            </w:pPr>
          </w:p>
        </w:tc>
        <w:tc>
          <w:tcPr>
            <w:tcW w:w="48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31"/>
        </w:trPr>
        <w:tc>
          <w:tcPr>
            <w:tcW w:w="3180" w:type="dxa"/>
            <w:vAlign w:val="bottom"/>
          </w:tcPr>
          <w:p>
            <w:pPr>
              <w:jc w:val="center"/>
              <w:spacing w:after="0"/>
              <w:rPr>
                <w:sz w:val="20"/>
                <w:szCs w:val="20"/>
                <w:color w:val="auto"/>
              </w:rPr>
            </w:pPr>
            <w:r>
              <w:rPr>
                <w:rFonts w:ascii="Calibri" w:cs="Calibri" w:eastAsia="Calibri" w:hAnsi="Calibri"/>
                <w:sz w:val="18"/>
                <w:szCs w:val="18"/>
                <w:color w:val="auto"/>
                <w:w w:val="98"/>
              </w:rPr>
              <w:t>Paul W. Harvey</w:t>
            </w:r>
          </w:p>
        </w:tc>
        <w:tc>
          <w:tcPr>
            <w:tcW w:w="484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369"/>
        </w:trPr>
        <w:tc>
          <w:tcPr>
            <w:tcW w:w="3180" w:type="dxa"/>
            <w:vAlign w:val="bottom"/>
          </w:tcPr>
          <w:p>
            <w:pPr>
              <w:jc w:val="center"/>
              <w:spacing w:after="0"/>
              <w:rPr>
                <w:sz w:val="20"/>
                <w:szCs w:val="20"/>
                <w:color w:val="auto"/>
              </w:rPr>
            </w:pPr>
            <w:r>
              <w:rPr>
                <w:rFonts w:ascii="Calibri" w:cs="Calibri" w:eastAsia="Calibri" w:hAnsi="Calibri"/>
                <w:sz w:val="18"/>
                <w:szCs w:val="18"/>
                <w:color w:val="auto"/>
                <w:w w:val="98"/>
              </w:rPr>
              <w:t>/s/ TIMOTHY E. PARKER</w:t>
            </w:r>
          </w:p>
        </w:tc>
        <w:tc>
          <w:tcPr>
            <w:tcW w:w="4840" w:type="dxa"/>
            <w:vAlign w:val="bottom"/>
          </w:tcPr>
          <w:p>
            <w:pPr>
              <w:jc w:val="center"/>
              <w:ind w:left="112"/>
              <w:spacing w:after="0"/>
              <w:rPr>
                <w:sz w:val="20"/>
                <w:szCs w:val="20"/>
                <w:color w:val="auto"/>
              </w:rPr>
            </w:pPr>
            <w:r>
              <w:rPr>
                <w:rFonts w:ascii="Calibri" w:cs="Calibri" w:eastAsia="Calibri" w:hAnsi="Calibri"/>
                <w:sz w:val="18"/>
                <w:szCs w:val="18"/>
                <w:color w:val="auto"/>
              </w:rPr>
              <w:t>Director</w:t>
            </w:r>
          </w:p>
        </w:tc>
        <w:tc>
          <w:tcPr>
            <w:tcW w:w="2040" w:type="dxa"/>
            <w:vAlign w:val="bottom"/>
          </w:tcPr>
          <w:p>
            <w:pPr>
              <w:jc w:val="center"/>
              <w:ind w:left="112"/>
              <w:spacing w:after="0"/>
              <w:rPr>
                <w:sz w:val="20"/>
                <w:szCs w:val="20"/>
                <w:color w:val="auto"/>
              </w:rPr>
            </w:pPr>
            <w:r>
              <w:rPr>
                <w:rFonts w:ascii="Calibri" w:cs="Calibri" w:eastAsia="Calibri" w:hAnsi="Calibri"/>
                <w:sz w:val="18"/>
                <w:szCs w:val="18"/>
                <w:color w:val="auto"/>
                <w:w w:val="99"/>
              </w:rPr>
              <w:t>February 26, 2026</w:t>
            </w:r>
          </w:p>
        </w:tc>
      </w:tr>
      <w:tr>
        <w:trPr>
          <w:trHeight w:val="30"/>
        </w:trPr>
        <w:tc>
          <w:tcPr>
            <w:tcW w:w="3180" w:type="dxa"/>
            <w:vAlign w:val="bottom"/>
            <w:tcBorders>
              <w:bottom w:val="single" w:sz="8" w:color="214E93"/>
            </w:tcBorders>
          </w:tcPr>
          <w:p>
            <w:pPr>
              <w:spacing w:after="0"/>
              <w:rPr>
                <w:sz w:val="2"/>
                <w:szCs w:val="2"/>
                <w:color w:val="auto"/>
              </w:rPr>
            </w:pPr>
          </w:p>
        </w:tc>
        <w:tc>
          <w:tcPr>
            <w:tcW w:w="48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5"/>
        </w:trPr>
        <w:tc>
          <w:tcPr>
            <w:tcW w:w="3180" w:type="dxa"/>
            <w:vAlign w:val="bottom"/>
          </w:tcPr>
          <w:p>
            <w:pPr>
              <w:jc w:val="center"/>
              <w:spacing w:after="0"/>
              <w:rPr>
                <w:sz w:val="20"/>
                <w:szCs w:val="20"/>
                <w:color w:val="auto"/>
              </w:rPr>
            </w:pPr>
            <w:r>
              <w:rPr>
                <w:rFonts w:ascii="Calibri" w:cs="Calibri" w:eastAsia="Calibri" w:hAnsi="Calibri"/>
                <w:sz w:val="18"/>
                <w:szCs w:val="18"/>
                <w:color w:val="auto"/>
                <w:w w:val="97"/>
              </w:rPr>
              <w:t>Timothy E. Parker</w:t>
            </w:r>
          </w:p>
        </w:tc>
        <w:tc>
          <w:tcPr>
            <w:tcW w:w="484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369"/>
        </w:trPr>
        <w:tc>
          <w:tcPr>
            <w:tcW w:w="3180" w:type="dxa"/>
            <w:vAlign w:val="bottom"/>
          </w:tcPr>
          <w:p>
            <w:pPr>
              <w:jc w:val="center"/>
              <w:spacing w:after="0"/>
              <w:rPr>
                <w:sz w:val="20"/>
                <w:szCs w:val="20"/>
                <w:color w:val="auto"/>
              </w:rPr>
            </w:pPr>
            <w:r>
              <w:rPr>
                <w:rFonts w:ascii="Calibri" w:cs="Calibri" w:eastAsia="Calibri" w:hAnsi="Calibri"/>
                <w:sz w:val="18"/>
                <w:szCs w:val="18"/>
                <w:color w:val="auto"/>
                <w:w w:val="97"/>
              </w:rPr>
              <w:t>/s/ KENNETH L. STEWART</w:t>
            </w:r>
          </w:p>
        </w:tc>
        <w:tc>
          <w:tcPr>
            <w:tcW w:w="4840" w:type="dxa"/>
            <w:vAlign w:val="bottom"/>
          </w:tcPr>
          <w:p>
            <w:pPr>
              <w:jc w:val="center"/>
              <w:ind w:left="112"/>
              <w:spacing w:after="0"/>
              <w:rPr>
                <w:sz w:val="20"/>
                <w:szCs w:val="20"/>
                <w:color w:val="auto"/>
              </w:rPr>
            </w:pPr>
            <w:r>
              <w:rPr>
                <w:rFonts w:ascii="Calibri" w:cs="Calibri" w:eastAsia="Calibri" w:hAnsi="Calibri"/>
                <w:sz w:val="18"/>
                <w:szCs w:val="18"/>
                <w:color w:val="auto"/>
              </w:rPr>
              <w:t>Director</w:t>
            </w:r>
          </w:p>
        </w:tc>
        <w:tc>
          <w:tcPr>
            <w:tcW w:w="2040" w:type="dxa"/>
            <w:vAlign w:val="bottom"/>
          </w:tcPr>
          <w:p>
            <w:pPr>
              <w:jc w:val="center"/>
              <w:ind w:left="112"/>
              <w:spacing w:after="0"/>
              <w:rPr>
                <w:sz w:val="20"/>
                <w:szCs w:val="20"/>
                <w:color w:val="auto"/>
              </w:rPr>
            </w:pPr>
            <w:r>
              <w:rPr>
                <w:rFonts w:ascii="Calibri" w:cs="Calibri" w:eastAsia="Calibri" w:hAnsi="Calibri"/>
                <w:sz w:val="18"/>
                <w:szCs w:val="18"/>
                <w:color w:val="auto"/>
                <w:w w:val="99"/>
              </w:rPr>
              <w:t>February 26, 2026</w:t>
            </w:r>
          </w:p>
        </w:tc>
      </w:tr>
      <w:tr>
        <w:trPr>
          <w:trHeight w:val="30"/>
        </w:trPr>
        <w:tc>
          <w:tcPr>
            <w:tcW w:w="3180" w:type="dxa"/>
            <w:vAlign w:val="bottom"/>
            <w:tcBorders>
              <w:bottom w:val="single" w:sz="8" w:color="214E93"/>
            </w:tcBorders>
          </w:tcPr>
          <w:p>
            <w:pPr>
              <w:spacing w:after="0"/>
              <w:rPr>
                <w:sz w:val="2"/>
                <w:szCs w:val="2"/>
                <w:color w:val="auto"/>
              </w:rPr>
            </w:pPr>
          </w:p>
        </w:tc>
        <w:tc>
          <w:tcPr>
            <w:tcW w:w="48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5"/>
        </w:trPr>
        <w:tc>
          <w:tcPr>
            <w:tcW w:w="3180" w:type="dxa"/>
            <w:vAlign w:val="bottom"/>
          </w:tcPr>
          <w:p>
            <w:pPr>
              <w:jc w:val="center"/>
              <w:spacing w:after="0"/>
              <w:rPr>
                <w:sz w:val="20"/>
                <w:szCs w:val="20"/>
                <w:color w:val="auto"/>
              </w:rPr>
            </w:pPr>
            <w:r>
              <w:rPr>
                <w:rFonts w:ascii="Calibri" w:cs="Calibri" w:eastAsia="Calibri" w:hAnsi="Calibri"/>
                <w:sz w:val="18"/>
                <w:szCs w:val="18"/>
                <w:color w:val="auto"/>
                <w:w w:val="99"/>
              </w:rPr>
              <w:t>Kenneth L. Stewart</w:t>
            </w:r>
          </w:p>
        </w:tc>
        <w:tc>
          <w:tcPr>
            <w:tcW w:w="484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295"/>
        </w:trPr>
        <w:tc>
          <w:tcPr>
            <w:tcW w:w="3180" w:type="dxa"/>
            <w:vAlign w:val="bottom"/>
          </w:tcPr>
          <w:p>
            <w:pPr>
              <w:jc w:val="center"/>
              <w:spacing w:after="0"/>
              <w:rPr>
                <w:sz w:val="20"/>
                <w:szCs w:val="20"/>
                <w:color w:val="auto"/>
              </w:rPr>
            </w:pPr>
            <w:r>
              <w:rPr>
                <w:rFonts w:ascii="Calibri" w:cs="Calibri" w:eastAsia="Calibri" w:hAnsi="Calibri"/>
                <w:sz w:val="18"/>
                <w:szCs w:val="18"/>
                <w:color w:val="auto"/>
                <w:w w:val="98"/>
              </w:rPr>
              <w:t>/s/ SUSAN M. WARD</w:t>
            </w:r>
          </w:p>
        </w:tc>
        <w:tc>
          <w:tcPr>
            <w:tcW w:w="4840" w:type="dxa"/>
            <w:vAlign w:val="bottom"/>
          </w:tcPr>
          <w:p>
            <w:pPr>
              <w:jc w:val="center"/>
              <w:ind w:left="112"/>
              <w:spacing w:after="0"/>
              <w:rPr>
                <w:sz w:val="20"/>
                <w:szCs w:val="20"/>
                <w:color w:val="auto"/>
              </w:rPr>
            </w:pPr>
            <w:r>
              <w:rPr>
                <w:rFonts w:ascii="Calibri" w:cs="Calibri" w:eastAsia="Calibri" w:hAnsi="Calibri"/>
                <w:sz w:val="18"/>
                <w:szCs w:val="18"/>
                <w:color w:val="auto"/>
              </w:rPr>
              <w:t>Director</w:t>
            </w:r>
          </w:p>
        </w:tc>
        <w:tc>
          <w:tcPr>
            <w:tcW w:w="2040" w:type="dxa"/>
            <w:vAlign w:val="bottom"/>
          </w:tcPr>
          <w:p>
            <w:pPr>
              <w:jc w:val="center"/>
              <w:ind w:left="112"/>
              <w:spacing w:after="0"/>
              <w:rPr>
                <w:sz w:val="20"/>
                <w:szCs w:val="20"/>
                <w:color w:val="auto"/>
              </w:rPr>
            </w:pPr>
            <w:r>
              <w:rPr>
                <w:rFonts w:ascii="Calibri" w:cs="Calibri" w:eastAsia="Calibri" w:hAnsi="Calibri"/>
                <w:sz w:val="18"/>
                <w:szCs w:val="18"/>
                <w:color w:val="auto"/>
                <w:w w:val="99"/>
              </w:rPr>
              <w:t>February 26, 2026</w:t>
            </w:r>
          </w:p>
        </w:tc>
      </w:tr>
      <w:tr>
        <w:trPr>
          <w:trHeight w:val="30"/>
        </w:trPr>
        <w:tc>
          <w:tcPr>
            <w:tcW w:w="3180" w:type="dxa"/>
            <w:vAlign w:val="bottom"/>
            <w:tcBorders>
              <w:bottom w:val="single" w:sz="8" w:color="214E93"/>
            </w:tcBorders>
          </w:tcPr>
          <w:p>
            <w:pPr>
              <w:spacing w:after="0"/>
              <w:rPr>
                <w:sz w:val="2"/>
                <w:szCs w:val="2"/>
                <w:color w:val="auto"/>
              </w:rPr>
            </w:pPr>
          </w:p>
        </w:tc>
        <w:tc>
          <w:tcPr>
            <w:tcW w:w="48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5"/>
        </w:trPr>
        <w:tc>
          <w:tcPr>
            <w:tcW w:w="3180" w:type="dxa"/>
            <w:vAlign w:val="bottom"/>
          </w:tcPr>
          <w:p>
            <w:pPr>
              <w:jc w:val="center"/>
              <w:spacing w:after="0"/>
              <w:rPr>
                <w:sz w:val="20"/>
                <w:szCs w:val="20"/>
                <w:color w:val="auto"/>
              </w:rPr>
            </w:pPr>
            <w:r>
              <w:rPr>
                <w:rFonts w:ascii="Calibri" w:cs="Calibri" w:eastAsia="Calibri" w:hAnsi="Calibri"/>
                <w:sz w:val="18"/>
                <w:szCs w:val="18"/>
                <w:color w:val="auto"/>
                <w:w w:val="98"/>
              </w:rPr>
              <w:t>Susan M. Ward</w:t>
            </w:r>
          </w:p>
        </w:tc>
        <w:tc>
          <w:tcPr>
            <w:tcW w:w="4840" w:type="dxa"/>
            <w:vAlign w:val="bottom"/>
          </w:tcPr>
          <w:p>
            <w:pPr>
              <w:spacing w:after="0"/>
              <w:rPr>
                <w:sz w:val="21"/>
                <w:szCs w:val="21"/>
                <w:color w:val="auto"/>
              </w:rPr>
            </w:pPr>
          </w:p>
        </w:tc>
        <w:tc>
          <w:tcPr>
            <w:tcW w:w="2040" w:type="dxa"/>
            <w:vAlign w:val="bottom"/>
          </w:tcPr>
          <w:p>
            <w:pPr>
              <w:spacing w:after="0"/>
              <w:rPr>
                <w:sz w:val="21"/>
                <w:szCs w:val="21"/>
                <w:color w:val="auto"/>
              </w:rPr>
            </w:pPr>
          </w:p>
        </w:tc>
      </w:tr>
    </w:tbl>
    <w:p>
      <w:pPr>
        <w:spacing w:after="0" w:line="20" w:lineRule="exact"/>
        <w:rPr>
          <w:sz w:val="20"/>
          <w:szCs w:val="20"/>
          <w:color w:val="auto"/>
        </w:rPr>
      </w:pPr>
    </w:p>
    <w:p>
      <w:pPr>
        <w:sectPr>
          <w:pgSz w:w="11880" w:h="15480" w:orient="portrait"/>
          <w:cols w:equalWidth="0" w:num="1">
            <w:col w:w="10820"/>
          </w:cols>
          <w:pgMar w:left="400" w:top="498"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80"/>
        <w:spacing w:after="0"/>
        <w:rPr>
          <w:sz w:val="20"/>
          <w:szCs w:val="20"/>
          <w:color w:val="auto"/>
        </w:rPr>
      </w:pPr>
      <w:r>
        <w:rPr>
          <w:rFonts w:ascii="Calibri" w:cs="Calibri" w:eastAsia="Calibri" w:hAnsi="Calibri"/>
          <w:sz w:val="17"/>
          <w:szCs w:val="17"/>
          <w:color w:val="auto"/>
        </w:rPr>
        <w:t>FORM 10-K PART IV</w:t>
      </w:r>
    </w:p>
    <w:p>
      <w:pPr>
        <w:sectPr>
          <w:pgSz w:w="11880" w:h="15480" w:orient="portrait"/>
          <w:cols w:equalWidth="0" w:num="1">
            <w:col w:w="10820"/>
          </w:cols>
          <w:pgMar w:left="400" w:top="498" w:right="660" w:bottom="0" w:gutter="0" w:footer="0" w:header="0"/>
          <w:type w:val="continuous"/>
        </w:sectPr>
      </w:pPr>
    </w:p>
    <w:bookmarkStart w:id="126" w:name="page127"/>
    <w:bookmarkEnd w:id="126"/>
    <w:tbl>
      <w:tblPr>
        <w:tblLayout w:type="fixed"/>
        <w:tblInd w:w="7880" w:type="dxa"/>
        <w:tblCellMar>
          <w:top w:w="0" w:type="dxa"/>
          <w:left w:w="0" w:type="dxa"/>
          <w:bottom w:w="0" w:type="dxa"/>
          <w:right w:w="0" w:type="dxa"/>
        </w:tblCellMar>
      </w:tblPr>
      <w:tr>
        <w:trPr>
          <w:trHeight w:val="220"/>
        </w:trPr>
        <w:tc>
          <w:tcPr>
            <w:tcW w:w="190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540" w:type="dxa"/>
            <w:vAlign w:val="bottom"/>
          </w:tcPr>
          <w:p>
            <w:pPr>
              <w:jc w:val="right"/>
              <w:spacing w:after="0"/>
              <w:rPr>
                <w:sz w:val="20"/>
                <w:szCs w:val="20"/>
                <w:color w:val="auto"/>
              </w:rPr>
            </w:pPr>
            <w:r>
              <w:rPr>
                <w:rFonts w:ascii="Calibri" w:cs="Calibri" w:eastAsia="Calibri" w:hAnsi="Calibri"/>
                <w:sz w:val="18"/>
                <w:szCs w:val="18"/>
                <w:color w:val="auto"/>
              </w:rPr>
              <w:t>113</w:t>
            </w:r>
          </w:p>
        </w:tc>
      </w:tr>
    </w:tbl>
    <w:p>
      <w:pPr>
        <w:spacing w:after="0" w:line="235" w:lineRule="exact"/>
        <w:rPr>
          <w:sz w:val="20"/>
          <w:szCs w:val="20"/>
          <w:color w:val="auto"/>
        </w:rPr>
      </w:pPr>
    </w:p>
    <w:p>
      <w:pPr>
        <w:ind w:left="40"/>
        <w:spacing w:after="0"/>
        <w:rPr>
          <w:sz w:val="20"/>
          <w:szCs w:val="20"/>
          <w:color w:val="auto"/>
        </w:rPr>
      </w:pPr>
      <w:r>
        <w:rPr>
          <w:rFonts w:ascii="Verdana" w:cs="Verdana" w:eastAsia="Verdana" w:hAnsi="Verdana"/>
          <w:sz w:val="20"/>
          <w:szCs w:val="20"/>
          <w:color w:val="214E93"/>
        </w:rPr>
        <w:t>Glossary of Oil and Natural Gas Terms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17145</wp:posOffset>
                </wp:positionV>
                <wp:extent cx="6811645" cy="0"/>
                <wp:wrapNone/>
                <wp:docPr id="253" name="Shape 2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53" o:spid="_x0000_s12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1.35pt" to="478.35pt,1.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17145</wp:posOffset>
                </wp:positionV>
                <wp:extent cx="6811645" cy="0"/>
                <wp:wrapNone/>
                <wp:docPr id="254" name="Shape 2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54" o:spid="_x0000_s12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1.35pt" to="478.35pt,1.35pt" o:allowincell="f" strokecolor="#214E93" strokeweight="1pt"/>
            </w:pict>
          </mc:Fallback>
        </mc:AlternateContent>
      </w:r>
    </w:p>
    <w:p>
      <w:pPr>
        <w:spacing w:after="0" w:line="145" w:lineRule="exact"/>
        <w:rPr>
          <w:sz w:val="20"/>
          <w:szCs w:val="20"/>
          <w:color w:val="auto"/>
        </w:rPr>
      </w:pPr>
    </w:p>
    <w:p>
      <w:pPr>
        <w:ind w:left="240"/>
        <w:spacing w:after="0"/>
        <w:rPr>
          <w:sz w:val="20"/>
          <w:szCs w:val="20"/>
          <w:color w:val="auto"/>
        </w:rPr>
      </w:pPr>
      <w:r>
        <w:rPr>
          <w:rFonts w:ascii="Calibri" w:cs="Calibri" w:eastAsia="Calibri" w:hAnsi="Calibri"/>
          <w:sz w:val="18"/>
          <w:szCs w:val="18"/>
          <w:color w:val="auto"/>
        </w:rPr>
        <w:t>The following is a description of the meanings of some of the oil and natural gas industry terms used in this Annual Report.</w:t>
      </w:r>
    </w:p>
    <w:p>
      <w:pPr>
        <w:spacing w:after="0" w:line="219" w:lineRule="exact"/>
        <w:rPr>
          <w:sz w:val="20"/>
          <w:szCs w:val="20"/>
          <w:color w:val="auto"/>
        </w:rPr>
      </w:pPr>
    </w:p>
    <w:p>
      <w:pPr>
        <w:ind w:right="800" w:firstLine="241"/>
        <w:spacing w:after="0" w:line="277" w:lineRule="auto"/>
        <w:rPr>
          <w:sz w:val="20"/>
          <w:szCs w:val="20"/>
          <w:color w:val="auto"/>
        </w:rPr>
      </w:pPr>
      <w:r>
        <w:rPr>
          <w:rFonts w:ascii="Calibri" w:cs="Calibri" w:eastAsia="Calibri" w:hAnsi="Calibri"/>
          <w:sz w:val="19"/>
          <w:szCs w:val="19"/>
          <w:b w:val="1"/>
          <w:bCs w:val="1"/>
          <w:color w:val="214E93"/>
        </w:rPr>
        <w:t>Batch drilling</w:t>
      </w:r>
      <w:r>
        <w:rPr>
          <w:rFonts w:ascii="Times New Roman" w:cs="Times New Roman" w:eastAsia="Times New Roman" w:hAnsi="Times New Roman"/>
          <w:sz w:val="19"/>
          <w:szCs w:val="19"/>
          <w:color w:val="000000"/>
        </w:rPr>
        <w:t>.</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The process by which multiple horizontal wells are drilled from a single pad. In batch drilling, the surface holes for</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each well are drilled first and then the production holes, including the horizontal laterals for each well, are drilled.</w:t>
      </w:r>
    </w:p>
    <w:p>
      <w:pPr>
        <w:spacing w:after="0" w:line="204" w:lineRule="exact"/>
        <w:rPr>
          <w:sz w:val="20"/>
          <w:szCs w:val="20"/>
          <w:color w:val="auto"/>
        </w:rPr>
      </w:pPr>
    </w:p>
    <w:p>
      <w:pPr>
        <w:ind w:right="1180" w:firstLine="241"/>
        <w:spacing w:after="0" w:line="256" w:lineRule="auto"/>
        <w:rPr>
          <w:sz w:val="20"/>
          <w:szCs w:val="20"/>
          <w:color w:val="auto"/>
        </w:rPr>
      </w:pPr>
      <w:r>
        <w:rPr>
          <w:rFonts w:ascii="Calibri" w:cs="Calibri" w:eastAsia="Calibri" w:hAnsi="Calibri"/>
          <w:sz w:val="19"/>
          <w:szCs w:val="19"/>
          <w:b w:val="1"/>
          <w:bCs w:val="1"/>
          <w:color w:val="214E93"/>
        </w:rPr>
        <w:t xml:space="preserve">Bbl. </w:t>
      </w:r>
      <w:r>
        <w:rPr>
          <w:rFonts w:ascii="Calibri" w:cs="Calibri" w:eastAsia="Calibri" w:hAnsi="Calibri"/>
          <w:sz w:val="17"/>
          <w:szCs w:val="17"/>
          <w:color w:val="000000"/>
        </w:rPr>
        <w:t>One stock tank barrel, or 42 U.S. gallons liquid volume, used in this Annual Report in reference to crude oil, other liquid</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hydrocarbons or produced water.</w:t>
      </w:r>
    </w:p>
    <w:p>
      <w:pPr>
        <w:spacing w:after="0" w:line="206" w:lineRule="exact"/>
        <w:rPr>
          <w:sz w:val="20"/>
          <w:szCs w:val="20"/>
          <w:color w:val="auto"/>
        </w:rPr>
      </w:pPr>
    </w:p>
    <w:p>
      <w:pPr>
        <w:ind w:left="240"/>
        <w:spacing w:after="0"/>
        <w:rPr>
          <w:sz w:val="20"/>
          <w:szCs w:val="20"/>
          <w:color w:val="auto"/>
        </w:rPr>
      </w:pPr>
      <w:r>
        <w:rPr>
          <w:rFonts w:ascii="Calibri" w:cs="Calibri" w:eastAsia="Calibri" w:hAnsi="Calibri"/>
          <w:sz w:val="19"/>
          <w:szCs w:val="19"/>
          <w:b w:val="1"/>
          <w:bCs w:val="1"/>
          <w:color w:val="214E93"/>
        </w:rPr>
        <w:t xml:space="preserve">Bcf. </w:t>
      </w:r>
      <w:r>
        <w:rPr>
          <w:rFonts w:ascii="Calibri" w:cs="Calibri" w:eastAsia="Calibri" w:hAnsi="Calibri"/>
          <w:sz w:val="17"/>
          <w:szCs w:val="17"/>
          <w:color w:val="000000"/>
        </w:rPr>
        <w:t>One billion cubic feet of natural gas.</w:t>
      </w:r>
    </w:p>
    <w:p>
      <w:pPr>
        <w:spacing w:after="0" w:line="239" w:lineRule="exact"/>
        <w:rPr>
          <w:sz w:val="20"/>
          <w:szCs w:val="20"/>
          <w:color w:val="auto"/>
        </w:rPr>
      </w:pPr>
    </w:p>
    <w:p>
      <w:pPr>
        <w:ind w:left="240"/>
        <w:spacing w:after="0"/>
        <w:rPr>
          <w:sz w:val="20"/>
          <w:szCs w:val="20"/>
          <w:color w:val="auto"/>
        </w:rPr>
      </w:pPr>
      <w:r>
        <w:rPr>
          <w:rFonts w:ascii="Calibri" w:cs="Calibri" w:eastAsia="Calibri" w:hAnsi="Calibri"/>
          <w:sz w:val="19"/>
          <w:szCs w:val="19"/>
          <w:b w:val="1"/>
          <w:bCs w:val="1"/>
          <w:color w:val="214E93"/>
        </w:rPr>
        <w:t xml:space="preserve">Bench. </w:t>
      </w:r>
      <w:r>
        <w:rPr>
          <w:rFonts w:ascii="Calibri" w:cs="Calibri" w:eastAsia="Calibri" w:hAnsi="Calibri"/>
          <w:sz w:val="17"/>
          <w:szCs w:val="17"/>
          <w:color w:val="000000"/>
        </w:rPr>
        <w:t>A geologic zone or formation or a subdivision of a geologic formation.</w:t>
      </w:r>
    </w:p>
    <w:p>
      <w:pPr>
        <w:spacing w:after="0" w:line="239" w:lineRule="exact"/>
        <w:rPr>
          <w:sz w:val="20"/>
          <w:szCs w:val="20"/>
          <w:color w:val="auto"/>
        </w:rPr>
      </w:pPr>
    </w:p>
    <w:p>
      <w:pPr>
        <w:ind w:left="240"/>
        <w:spacing w:after="0"/>
        <w:rPr>
          <w:sz w:val="20"/>
          <w:szCs w:val="20"/>
          <w:color w:val="auto"/>
        </w:rPr>
      </w:pPr>
      <w:r>
        <w:rPr>
          <w:rFonts w:ascii="Calibri" w:cs="Calibri" w:eastAsia="Calibri" w:hAnsi="Calibri"/>
          <w:sz w:val="19"/>
          <w:szCs w:val="19"/>
          <w:b w:val="1"/>
          <w:bCs w:val="1"/>
          <w:color w:val="214E93"/>
        </w:rPr>
        <w:t xml:space="preserve">BOE. </w:t>
      </w:r>
      <w:r>
        <w:rPr>
          <w:rFonts w:ascii="Calibri" w:cs="Calibri" w:eastAsia="Calibri" w:hAnsi="Calibri"/>
          <w:sz w:val="17"/>
          <w:szCs w:val="17"/>
          <w:color w:val="000000"/>
        </w:rPr>
        <w:t>Barrels of oil equivalent, determined using the ratio of one Bbl of crude oil, condensate or NGLs to six Mcf of natural gas.</w:t>
      </w:r>
    </w:p>
    <w:p>
      <w:pPr>
        <w:spacing w:after="0" w:line="225" w:lineRule="exact"/>
        <w:rPr>
          <w:sz w:val="20"/>
          <w:szCs w:val="20"/>
          <w:color w:val="auto"/>
        </w:rPr>
      </w:pPr>
    </w:p>
    <w:p>
      <w:pPr>
        <w:ind w:left="240"/>
        <w:spacing w:after="0"/>
        <w:rPr>
          <w:sz w:val="20"/>
          <w:szCs w:val="20"/>
          <w:color w:val="auto"/>
        </w:rPr>
      </w:pPr>
      <w:r>
        <w:rPr>
          <w:rFonts w:ascii="Calibri" w:cs="Calibri" w:eastAsia="Calibri" w:hAnsi="Calibri"/>
          <w:sz w:val="19"/>
          <w:szCs w:val="19"/>
          <w:b w:val="1"/>
          <w:bCs w:val="1"/>
          <w:color w:val="214E93"/>
        </w:rPr>
        <w:t xml:space="preserve">BOE/d. </w:t>
      </w:r>
      <w:r>
        <w:rPr>
          <w:rFonts w:ascii="Calibri" w:cs="Calibri" w:eastAsia="Calibri" w:hAnsi="Calibri"/>
          <w:sz w:val="17"/>
          <w:szCs w:val="17"/>
          <w:color w:val="000000"/>
        </w:rPr>
        <w:t>BOE per day.</w:t>
      </w:r>
    </w:p>
    <w:p>
      <w:pPr>
        <w:spacing w:after="0" w:line="257" w:lineRule="exact"/>
        <w:rPr>
          <w:sz w:val="20"/>
          <w:szCs w:val="20"/>
          <w:color w:val="auto"/>
        </w:rPr>
      </w:pPr>
    </w:p>
    <w:p>
      <w:pPr>
        <w:ind w:right="1280" w:firstLine="241"/>
        <w:spacing w:after="0" w:line="256" w:lineRule="auto"/>
        <w:rPr>
          <w:sz w:val="20"/>
          <w:szCs w:val="20"/>
          <w:color w:val="auto"/>
        </w:rPr>
      </w:pPr>
      <w:r>
        <w:rPr>
          <w:rFonts w:ascii="Calibri" w:cs="Calibri" w:eastAsia="Calibri" w:hAnsi="Calibri"/>
          <w:sz w:val="19"/>
          <w:szCs w:val="19"/>
          <w:b w:val="1"/>
          <w:bCs w:val="1"/>
          <w:color w:val="214E93"/>
        </w:rPr>
        <w:t xml:space="preserve">Btu or British thermal unit. </w:t>
      </w:r>
      <w:r>
        <w:rPr>
          <w:rFonts w:ascii="Calibri" w:cs="Calibri" w:eastAsia="Calibri" w:hAnsi="Calibri"/>
          <w:sz w:val="17"/>
          <w:szCs w:val="17"/>
          <w:color w:val="000000"/>
        </w:rPr>
        <w:t>The quantity of heat required to raise the temperature of one pound of water by one degree</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Fahrenheit.</w:t>
      </w:r>
    </w:p>
    <w:p>
      <w:pPr>
        <w:spacing w:after="0" w:line="224" w:lineRule="exact"/>
        <w:rPr>
          <w:sz w:val="20"/>
          <w:szCs w:val="20"/>
          <w:color w:val="auto"/>
        </w:rPr>
      </w:pPr>
    </w:p>
    <w:p>
      <w:pPr>
        <w:ind w:right="900" w:firstLine="241"/>
        <w:spacing w:after="0" w:line="276" w:lineRule="auto"/>
        <w:rPr>
          <w:sz w:val="20"/>
          <w:szCs w:val="20"/>
          <w:color w:val="auto"/>
        </w:rPr>
      </w:pPr>
      <w:r>
        <w:rPr>
          <w:rFonts w:ascii="Calibri" w:cs="Calibri" w:eastAsia="Calibri" w:hAnsi="Calibri"/>
          <w:sz w:val="19"/>
          <w:szCs w:val="19"/>
          <w:b w:val="1"/>
          <w:bCs w:val="1"/>
          <w:color w:val="214E93"/>
        </w:rPr>
        <w:t xml:space="preserve">Central delivery point or CDP. </w:t>
      </w:r>
      <w:r>
        <w:rPr>
          <w:rFonts w:ascii="Calibri" w:cs="Calibri" w:eastAsia="Calibri" w:hAnsi="Calibri"/>
          <w:sz w:val="17"/>
          <w:szCs w:val="17"/>
          <w:color w:val="000000"/>
        </w:rPr>
        <w:t>The point on an oil, natural gas or produced water system where such product is aggregated</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from one or more gathering or transportation pipelines, wells, tank batteries or leases. Custody is often transferred to a third party at a central delivery point.</w:t>
      </w:r>
    </w:p>
    <w:p>
      <w:pPr>
        <w:spacing w:after="0" w:line="209" w:lineRule="exact"/>
        <w:rPr>
          <w:sz w:val="20"/>
          <w:szCs w:val="20"/>
          <w:color w:val="auto"/>
        </w:rPr>
      </w:pPr>
    </w:p>
    <w:p>
      <w:pPr>
        <w:ind w:right="760" w:firstLine="241"/>
        <w:spacing w:after="0" w:line="271" w:lineRule="auto"/>
        <w:rPr>
          <w:sz w:val="20"/>
          <w:szCs w:val="20"/>
          <w:color w:val="auto"/>
        </w:rPr>
      </w:pPr>
      <w:r>
        <w:rPr>
          <w:rFonts w:ascii="Calibri" w:cs="Calibri" w:eastAsia="Calibri" w:hAnsi="Calibri"/>
          <w:sz w:val="19"/>
          <w:szCs w:val="19"/>
          <w:b w:val="1"/>
          <w:bCs w:val="1"/>
          <w:color w:val="214E93"/>
        </w:rPr>
        <w:t xml:space="preserve">Completion. </w:t>
      </w:r>
      <w:r>
        <w:rPr>
          <w:rFonts w:ascii="Calibri" w:cs="Calibri" w:eastAsia="Calibri" w:hAnsi="Calibri"/>
          <w:sz w:val="17"/>
          <w:szCs w:val="17"/>
          <w:color w:val="000000"/>
        </w:rPr>
        <w:t>The operations required to establish production of oil or natural gas from a wellbore, usually involving perforations,</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stimulation and/or installation of permanent equipment in the well, or in the case of a dry hole, the reporting of abandonment to the appropriate agency.</w:t>
      </w:r>
    </w:p>
    <w:p>
      <w:pPr>
        <w:spacing w:after="0" w:line="209" w:lineRule="exact"/>
        <w:rPr>
          <w:sz w:val="20"/>
          <w:szCs w:val="20"/>
          <w:color w:val="auto"/>
        </w:rPr>
      </w:pPr>
    </w:p>
    <w:p>
      <w:pPr>
        <w:ind w:right="1100" w:firstLine="241"/>
        <w:spacing w:after="0" w:line="256" w:lineRule="auto"/>
        <w:rPr>
          <w:sz w:val="20"/>
          <w:szCs w:val="20"/>
          <w:color w:val="auto"/>
        </w:rPr>
      </w:pPr>
      <w:r>
        <w:rPr>
          <w:rFonts w:ascii="Calibri" w:cs="Calibri" w:eastAsia="Calibri" w:hAnsi="Calibri"/>
          <w:sz w:val="19"/>
          <w:szCs w:val="19"/>
          <w:b w:val="1"/>
          <w:bCs w:val="1"/>
          <w:color w:val="214E93"/>
        </w:rPr>
        <w:t xml:space="preserve">Condensate. </w:t>
      </w:r>
      <w:r>
        <w:rPr>
          <w:rFonts w:ascii="Calibri" w:cs="Calibri" w:eastAsia="Calibri" w:hAnsi="Calibri"/>
          <w:sz w:val="17"/>
          <w:szCs w:val="17"/>
          <w:color w:val="000000"/>
        </w:rPr>
        <w:t>A mixture of hydrocarbons that exists in the gaseous phase at original reservoir temperature and pressure, but</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that, when produced, is in the liquid phase at surface pressure and temperature.</w:t>
      </w:r>
    </w:p>
    <w:p>
      <w:pPr>
        <w:spacing w:after="0" w:line="224" w:lineRule="exact"/>
        <w:rPr>
          <w:sz w:val="20"/>
          <w:szCs w:val="20"/>
          <w:color w:val="auto"/>
        </w:rPr>
      </w:pPr>
    </w:p>
    <w:p>
      <w:pPr>
        <w:ind w:right="760" w:firstLine="241"/>
        <w:spacing w:after="0" w:line="256" w:lineRule="auto"/>
        <w:rPr>
          <w:sz w:val="20"/>
          <w:szCs w:val="20"/>
          <w:color w:val="auto"/>
        </w:rPr>
      </w:pPr>
      <w:r>
        <w:rPr>
          <w:rFonts w:ascii="Calibri" w:cs="Calibri" w:eastAsia="Calibri" w:hAnsi="Calibri"/>
          <w:sz w:val="19"/>
          <w:szCs w:val="19"/>
          <w:b w:val="1"/>
          <w:bCs w:val="1"/>
          <w:color w:val="214E93"/>
        </w:rPr>
        <w:t xml:space="preserve">Conventional reservoirs or resources. </w:t>
      </w:r>
      <w:r>
        <w:rPr>
          <w:rFonts w:ascii="Calibri" w:cs="Calibri" w:eastAsia="Calibri" w:hAnsi="Calibri"/>
          <w:sz w:val="17"/>
          <w:szCs w:val="17"/>
          <w:color w:val="000000"/>
        </w:rPr>
        <w:t>Natural gas or oil that is produced by a well drilled into a geologic formation in which the</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reservoir and fluid characteristics permit the natural gas or oil to readily flow to the wellbore.</w:t>
      </w:r>
    </w:p>
    <w:p>
      <w:pPr>
        <w:spacing w:after="0" w:line="224" w:lineRule="exact"/>
        <w:rPr>
          <w:sz w:val="20"/>
          <w:szCs w:val="20"/>
          <w:color w:val="auto"/>
        </w:rPr>
      </w:pPr>
    </w:p>
    <w:p>
      <w:pPr>
        <w:ind w:right="780" w:firstLine="241"/>
        <w:spacing w:after="0" w:line="280" w:lineRule="auto"/>
        <w:rPr>
          <w:sz w:val="20"/>
          <w:szCs w:val="20"/>
          <w:color w:val="auto"/>
        </w:rPr>
      </w:pPr>
      <w:r>
        <w:rPr>
          <w:rFonts w:ascii="Calibri" w:cs="Calibri" w:eastAsia="Calibri" w:hAnsi="Calibri"/>
          <w:sz w:val="19"/>
          <w:szCs w:val="19"/>
          <w:b w:val="1"/>
          <w:bCs w:val="1"/>
          <w:color w:val="214E93"/>
        </w:rPr>
        <w:t xml:space="preserve">Coring. </w:t>
      </w:r>
      <w:r>
        <w:rPr>
          <w:rFonts w:ascii="Calibri" w:cs="Calibri" w:eastAsia="Calibri" w:hAnsi="Calibri"/>
          <w:sz w:val="17"/>
          <w:szCs w:val="17"/>
          <w:color w:val="000000"/>
        </w:rPr>
        <w:t>The act of taking a core. A core is a solid column of rock, usually from two to four inches in diameter, taken as a sample</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of an underground formation. It is common practice to take cores from wells in the process of being drilled. A core bit is attached to the end of the drill pipe. The core bit then cuts a column of rock from the formation being penetrated. The core is then removed and tested for evidence of oil or natural gas, and its characteristics (porosity, permeability, etc.) are determined.</w:t>
      </w:r>
    </w:p>
    <w:p>
      <w:pPr>
        <w:spacing w:after="0" w:line="187" w:lineRule="exact"/>
        <w:rPr>
          <w:sz w:val="20"/>
          <w:szCs w:val="20"/>
          <w:color w:val="auto"/>
        </w:rPr>
      </w:pPr>
    </w:p>
    <w:p>
      <w:pPr>
        <w:ind w:left="240"/>
        <w:spacing w:after="0"/>
        <w:rPr>
          <w:sz w:val="20"/>
          <w:szCs w:val="20"/>
          <w:color w:val="auto"/>
        </w:rPr>
      </w:pPr>
      <w:r>
        <w:rPr>
          <w:rFonts w:ascii="Calibri" w:cs="Calibri" w:eastAsia="Calibri" w:hAnsi="Calibri"/>
          <w:sz w:val="19"/>
          <w:szCs w:val="19"/>
          <w:b w:val="1"/>
          <w:bCs w:val="1"/>
          <w:color w:val="214E93"/>
        </w:rPr>
        <w:t xml:space="preserve">Developed acreage. </w:t>
      </w:r>
      <w:r>
        <w:rPr>
          <w:rFonts w:ascii="Calibri" w:cs="Calibri" w:eastAsia="Calibri" w:hAnsi="Calibri"/>
          <w:sz w:val="17"/>
          <w:szCs w:val="17"/>
          <w:color w:val="000000"/>
        </w:rPr>
        <w:t>The number of acres that are allocated or assignable to productive wells.</w:t>
      </w:r>
    </w:p>
    <w:p>
      <w:pPr>
        <w:spacing w:after="0" w:line="257" w:lineRule="exact"/>
        <w:rPr>
          <w:sz w:val="20"/>
          <w:szCs w:val="20"/>
          <w:color w:val="auto"/>
        </w:rPr>
      </w:pPr>
    </w:p>
    <w:p>
      <w:pPr>
        <w:ind w:right="760" w:firstLine="241"/>
        <w:spacing w:after="0" w:line="280" w:lineRule="auto"/>
        <w:rPr>
          <w:sz w:val="20"/>
          <w:szCs w:val="20"/>
          <w:color w:val="auto"/>
        </w:rPr>
      </w:pPr>
      <w:r>
        <w:rPr>
          <w:rFonts w:ascii="Calibri" w:cs="Calibri" w:eastAsia="Calibri" w:hAnsi="Calibri"/>
          <w:sz w:val="19"/>
          <w:szCs w:val="19"/>
          <w:b w:val="1"/>
          <w:bCs w:val="1"/>
          <w:color w:val="214E93"/>
        </w:rPr>
        <w:t xml:space="preserve">Developed oil and natural gas reserves. </w:t>
      </w:r>
      <w:r>
        <w:rPr>
          <w:rFonts w:ascii="Calibri" w:cs="Calibri" w:eastAsia="Calibri" w:hAnsi="Calibri"/>
          <w:sz w:val="17"/>
          <w:szCs w:val="17"/>
          <w:color w:val="000000"/>
        </w:rPr>
        <w:t>Reserves of any category that can be expected to be recovered (i) through existing</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wells with existing equipment and operating methods or in which the cost of the required equipment is relatively minor compared to the cost of a new well and (ii) through installed extraction equipment and infrastructure operational at the time of the reserves estimate if the extraction is by means not involving a well.</w:t>
      </w:r>
    </w:p>
    <w:p>
      <w:pPr>
        <w:spacing w:after="0" w:line="204" w:lineRule="exact"/>
        <w:rPr>
          <w:sz w:val="20"/>
          <w:szCs w:val="20"/>
          <w:color w:val="auto"/>
        </w:rPr>
      </w:pPr>
    </w:p>
    <w:p>
      <w:pPr>
        <w:ind w:right="820" w:firstLine="241"/>
        <w:spacing w:after="0" w:line="256" w:lineRule="auto"/>
        <w:rPr>
          <w:sz w:val="20"/>
          <w:szCs w:val="20"/>
          <w:color w:val="auto"/>
        </w:rPr>
      </w:pPr>
      <w:r>
        <w:rPr>
          <w:rFonts w:ascii="Calibri" w:cs="Calibri" w:eastAsia="Calibri" w:hAnsi="Calibri"/>
          <w:sz w:val="19"/>
          <w:szCs w:val="19"/>
          <w:b w:val="1"/>
          <w:bCs w:val="1"/>
          <w:color w:val="214E93"/>
        </w:rPr>
        <w:t xml:space="preserve">Development well. </w:t>
      </w:r>
      <w:r>
        <w:rPr>
          <w:rFonts w:ascii="Calibri" w:cs="Calibri" w:eastAsia="Calibri" w:hAnsi="Calibri"/>
          <w:sz w:val="17"/>
          <w:szCs w:val="17"/>
          <w:color w:val="000000"/>
        </w:rPr>
        <w:t>A well drilled within the proved area of an oil or natural gas reservoir to the depth of a stratigraphic horizon</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known to be productive.</w:t>
      </w:r>
    </w:p>
    <w:p>
      <w:pPr>
        <w:spacing w:after="0" w:line="224" w:lineRule="exact"/>
        <w:rPr>
          <w:sz w:val="20"/>
          <w:szCs w:val="20"/>
          <w:color w:val="auto"/>
        </w:rPr>
      </w:pPr>
    </w:p>
    <w:p>
      <w:pPr>
        <w:ind w:right="800" w:firstLine="241"/>
        <w:spacing w:after="0" w:line="256" w:lineRule="auto"/>
        <w:rPr>
          <w:sz w:val="20"/>
          <w:szCs w:val="20"/>
          <w:color w:val="auto"/>
        </w:rPr>
      </w:pPr>
      <w:r>
        <w:rPr>
          <w:rFonts w:ascii="Calibri" w:cs="Calibri" w:eastAsia="Calibri" w:hAnsi="Calibri"/>
          <w:sz w:val="19"/>
          <w:szCs w:val="19"/>
          <w:b w:val="1"/>
          <w:bCs w:val="1"/>
          <w:color w:val="214E93"/>
        </w:rPr>
        <w:t xml:space="preserve">Differential. </w:t>
      </w:r>
      <w:r>
        <w:rPr>
          <w:rFonts w:ascii="Calibri" w:cs="Calibri" w:eastAsia="Calibri" w:hAnsi="Calibri"/>
          <w:sz w:val="17"/>
          <w:szCs w:val="17"/>
          <w:color w:val="000000"/>
        </w:rPr>
        <w:t>The difference between a particular oil or natural gas price and the applicable benchmark price, such as the NYMEX</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West Texas Intermediate oil price or the NYMEX Henry Hub natural gas price.</w:t>
      </w:r>
    </w:p>
    <w:p>
      <w:pPr>
        <w:spacing w:after="0" w:line="206" w:lineRule="exact"/>
        <w:rPr>
          <w:sz w:val="20"/>
          <w:szCs w:val="20"/>
          <w:color w:val="auto"/>
        </w:rPr>
      </w:pPr>
    </w:p>
    <w:p>
      <w:pPr>
        <w:ind w:left="240"/>
        <w:spacing w:after="0"/>
        <w:rPr>
          <w:sz w:val="20"/>
          <w:szCs w:val="20"/>
          <w:color w:val="auto"/>
        </w:rPr>
      </w:pPr>
      <w:r>
        <w:rPr>
          <w:rFonts w:ascii="Calibri" w:cs="Calibri" w:eastAsia="Calibri" w:hAnsi="Calibri"/>
          <w:sz w:val="19"/>
          <w:szCs w:val="19"/>
          <w:b w:val="1"/>
          <w:bCs w:val="1"/>
          <w:color w:val="214E93"/>
        </w:rPr>
        <w:t xml:space="preserve">Dry hole. </w:t>
      </w:r>
      <w:r>
        <w:rPr>
          <w:rFonts w:ascii="Calibri" w:cs="Calibri" w:eastAsia="Calibri" w:hAnsi="Calibri"/>
          <w:sz w:val="17"/>
          <w:szCs w:val="17"/>
          <w:color w:val="000000"/>
        </w:rPr>
        <w:t>A well found to be incapable of producing hydrocarbons.</w:t>
      </w:r>
    </w:p>
    <w:p>
      <w:pPr>
        <w:sectPr>
          <w:pgSz w:w="11880" w:h="15480" w:orient="portrait"/>
          <w:cols w:equalWidth="0" w:num="1">
            <w:col w:w="10320"/>
          </w:cols>
          <w:pgMar w:left="1160" w:top="498"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660"/>
        <w:spacing w:after="0"/>
        <w:rPr>
          <w:sz w:val="20"/>
          <w:szCs w:val="20"/>
          <w:color w:val="auto"/>
        </w:rPr>
      </w:pPr>
      <w:r>
        <w:rPr>
          <w:rFonts w:ascii="Calibri" w:cs="Calibri" w:eastAsia="Calibri" w:hAnsi="Calibri"/>
          <w:sz w:val="17"/>
          <w:szCs w:val="17"/>
          <w:color w:val="auto"/>
        </w:rPr>
        <w:t>Glossary of Oil and Natural Gas Terms FORM 10-K</w:t>
      </w:r>
    </w:p>
    <w:p>
      <w:pPr>
        <w:sectPr>
          <w:pgSz w:w="11880" w:h="15480" w:orient="portrait"/>
          <w:cols w:equalWidth="0" w:num="1">
            <w:col w:w="10320"/>
          </w:cols>
          <w:pgMar w:left="1160" w:top="498" w:right="400" w:bottom="0" w:gutter="0" w:footer="0" w:header="0"/>
          <w:type w:val="continuous"/>
        </w:sectPr>
      </w:pPr>
    </w:p>
    <w:bookmarkStart w:id="127" w:name="page128"/>
    <w:bookmarkEnd w:id="127"/>
    <w:p>
      <w:pPr>
        <w:spacing w:after="0"/>
        <w:tabs>
          <w:tab w:leader="none" w:pos="780" w:val="left"/>
        </w:tabs>
        <w:rPr>
          <w:sz w:val="20"/>
          <w:szCs w:val="20"/>
          <w:color w:val="auto"/>
        </w:rPr>
      </w:pPr>
      <w:r>
        <w:rPr>
          <w:rFonts w:ascii="Calibri" w:cs="Calibri" w:eastAsia="Calibri" w:hAnsi="Calibri"/>
          <w:sz w:val="18"/>
          <w:szCs w:val="18"/>
          <w:color w:val="auto"/>
        </w:rPr>
        <w:t>114</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477520</wp:posOffset>
                </wp:positionH>
                <wp:positionV relativeFrom="paragraph">
                  <wp:posOffset>320675</wp:posOffset>
                </wp:positionV>
                <wp:extent cx="6812280" cy="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55" o:spid="_x0000_s12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pt,25.25pt" to="574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477520</wp:posOffset>
                </wp:positionH>
                <wp:positionV relativeFrom="paragraph">
                  <wp:posOffset>320675</wp:posOffset>
                </wp:positionV>
                <wp:extent cx="6812280" cy="0"/>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56" o:spid="_x0000_s12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pt,25.25pt" to="574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60" w:right="640" w:firstLine="241"/>
        <w:spacing w:after="0" w:line="242" w:lineRule="auto"/>
        <w:rPr>
          <w:sz w:val="20"/>
          <w:szCs w:val="20"/>
          <w:color w:val="auto"/>
        </w:rPr>
      </w:pPr>
      <w:r>
        <w:rPr>
          <w:rFonts w:ascii="Calibri" w:cs="Calibri" w:eastAsia="Calibri" w:hAnsi="Calibri"/>
          <w:sz w:val="19"/>
          <w:szCs w:val="19"/>
          <w:b w:val="1"/>
          <w:bCs w:val="1"/>
          <w:color w:val="214E93"/>
        </w:rPr>
        <w:t xml:space="preserve">Economically producible. </w:t>
      </w:r>
      <w:r>
        <w:rPr>
          <w:rFonts w:ascii="Calibri" w:cs="Calibri" w:eastAsia="Calibri" w:hAnsi="Calibri"/>
          <w:sz w:val="17"/>
          <w:szCs w:val="17"/>
          <w:color w:val="000000"/>
        </w:rPr>
        <w:t>As it relates to a resource, a resource which generates revenue that exceeds, or is reasonably</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expected to exceed, the costs of the operation.</w:t>
      </w:r>
    </w:p>
    <w:p>
      <w:pPr>
        <w:spacing w:after="0" w:line="220" w:lineRule="exact"/>
        <w:rPr>
          <w:sz w:val="20"/>
          <w:szCs w:val="20"/>
          <w:color w:val="auto"/>
        </w:rPr>
      </w:pPr>
    </w:p>
    <w:p>
      <w:pPr>
        <w:ind w:left="1000"/>
        <w:spacing w:after="0"/>
        <w:rPr>
          <w:sz w:val="20"/>
          <w:szCs w:val="20"/>
          <w:color w:val="auto"/>
        </w:rPr>
      </w:pPr>
      <w:r>
        <w:rPr>
          <w:rFonts w:ascii="Calibri" w:cs="Calibri" w:eastAsia="Calibri" w:hAnsi="Calibri"/>
          <w:sz w:val="19"/>
          <w:szCs w:val="19"/>
          <w:b w:val="1"/>
          <w:bCs w:val="1"/>
          <w:color w:val="214E93"/>
        </w:rPr>
        <w:t xml:space="preserve">ESP. </w:t>
      </w:r>
      <w:r>
        <w:rPr>
          <w:rFonts w:ascii="Calibri" w:cs="Calibri" w:eastAsia="Calibri" w:hAnsi="Calibri"/>
          <w:sz w:val="17"/>
          <w:szCs w:val="17"/>
          <w:color w:val="000000"/>
        </w:rPr>
        <w:t>Electric submersible pump.</w:t>
      </w:r>
    </w:p>
    <w:p>
      <w:pPr>
        <w:spacing w:after="0" w:line="257" w:lineRule="exact"/>
        <w:rPr>
          <w:sz w:val="20"/>
          <w:szCs w:val="20"/>
          <w:color w:val="auto"/>
        </w:rPr>
      </w:pPr>
    </w:p>
    <w:p>
      <w:pPr>
        <w:ind w:left="760" w:right="80" w:firstLine="241"/>
        <w:spacing w:after="0" w:line="263" w:lineRule="auto"/>
        <w:rPr>
          <w:sz w:val="20"/>
          <w:szCs w:val="20"/>
          <w:color w:val="auto"/>
        </w:rPr>
      </w:pPr>
      <w:r>
        <w:rPr>
          <w:rFonts w:ascii="Calibri" w:cs="Calibri" w:eastAsia="Calibri" w:hAnsi="Calibri"/>
          <w:sz w:val="19"/>
          <w:szCs w:val="19"/>
          <w:b w:val="1"/>
          <w:bCs w:val="1"/>
          <w:color w:val="214E93"/>
        </w:rPr>
        <w:t xml:space="preserve">Exploratory well. </w:t>
      </w:r>
      <w:r>
        <w:rPr>
          <w:rFonts w:ascii="Calibri" w:cs="Calibri" w:eastAsia="Calibri" w:hAnsi="Calibri"/>
          <w:sz w:val="17"/>
          <w:szCs w:val="17"/>
          <w:color w:val="000000"/>
        </w:rPr>
        <w:t>A well drilled to find a new field or to find a new reservoir in a field previously found to be productive of oil or</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natural gas in another reservoir. Generally, an exploratory well is any well that is not a development well, an extension well, a service well or a stratigraphic test well.</w:t>
      </w:r>
    </w:p>
    <w:p>
      <w:pPr>
        <w:spacing w:after="0" w:line="200" w:lineRule="exact"/>
        <w:rPr>
          <w:sz w:val="20"/>
          <w:szCs w:val="20"/>
          <w:color w:val="auto"/>
        </w:rPr>
      </w:pPr>
    </w:p>
    <w:p>
      <w:pPr>
        <w:ind w:left="1000"/>
        <w:spacing w:after="0"/>
        <w:rPr>
          <w:sz w:val="20"/>
          <w:szCs w:val="20"/>
          <w:color w:val="auto"/>
        </w:rPr>
      </w:pPr>
      <w:r>
        <w:rPr>
          <w:rFonts w:ascii="Calibri" w:cs="Calibri" w:eastAsia="Calibri" w:hAnsi="Calibri"/>
          <w:sz w:val="19"/>
          <w:szCs w:val="19"/>
          <w:b w:val="1"/>
          <w:bCs w:val="1"/>
          <w:color w:val="214E93"/>
        </w:rPr>
        <w:t xml:space="preserve">Extension well. </w:t>
      </w:r>
      <w:r>
        <w:rPr>
          <w:rFonts w:ascii="Calibri" w:cs="Calibri" w:eastAsia="Calibri" w:hAnsi="Calibri"/>
          <w:sz w:val="17"/>
          <w:szCs w:val="17"/>
          <w:color w:val="000000"/>
        </w:rPr>
        <w:t>A well drilled to extend the limits of a known reservoir.</w:t>
      </w:r>
    </w:p>
    <w:p>
      <w:pPr>
        <w:spacing w:after="0" w:line="257" w:lineRule="exact"/>
        <w:rPr>
          <w:sz w:val="20"/>
          <w:szCs w:val="20"/>
          <w:color w:val="auto"/>
        </w:rPr>
      </w:pPr>
    </w:p>
    <w:p>
      <w:pPr>
        <w:ind w:left="760" w:right="20" w:firstLine="241"/>
        <w:spacing w:after="0" w:line="274" w:lineRule="auto"/>
        <w:rPr>
          <w:sz w:val="20"/>
          <w:szCs w:val="20"/>
          <w:color w:val="auto"/>
        </w:rPr>
      </w:pPr>
      <w:r>
        <w:rPr>
          <w:rFonts w:ascii="Calibri" w:cs="Calibri" w:eastAsia="Calibri" w:hAnsi="Calibri"/>
          <w:sz w:val="19"/>
          <w:szCs w:val="19"/>
          <w:b w:val="1"/>
          <w:bCs w:val="1"/>
          <w:color w:val="214E93"/>
        </w:rPr>
        <w:t xml:space="preserve">Farmin or farmout. </w:t>
      </w:r>
      <w:r>
        <w:rPr>
          <w:rFonts w:ascii="Calibri" w:cs="Calibri" w:eastAsia="Calibri" w:hAnsi="Calibri"/>
          <w:sz w:val="17"/>
          <w:szCs w:val="17"/>
          <w:color w:val="000000"/>
        </w:rPr>
        <w:t>An agreement under which the owner of a working interest in an oil or natural gas lease assigns the working</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interest or a portion of the working interest to another party who desires to drill on the leased acreage. Generally, the assignee is required to drill one or more wells in order to earn its interest in the acreage. The assignor usually retains a royalty or reversionary interest in the lease. The interest received by an assignee is a “farmin” while the interest transferred by the assignor is a “farmout.”</w:t>
      </w:r>
    </w:p>
    <w:p>
      <w:pPr>
        <w:spacing w:after="0" w:line="212" w:lineRule="exact"/>
        <w:rPr>
          <w:sz w:val="20"/>
          <w:szCs w:val="20"/>
          <w:color w:val="auto"/>
        </w:rPr>
      </w:pPr>
    </w:p>
    <w:p>
      <w:pPr>
        <w:ind w:left="760" w:right="280" w:firstLine="241"/>
        <w:spacing w:after="0" w:line="242" w:lineRule="auto"/>
        <w:rPr>
          <w:sz w:val="20"/>
          <w:szCs w:val="20"/>
          <w:color w:val="auto"/>
        </w:rPr>
      </w:pPr>
      <w:r>
        <w:rPr>
          <w:rFonts w:ascii="Calibri" w:cs="Calibri" w:eastAsia="Calibri" w:hAnsi="Calibri"/>
          <w:sz w:val="19"/>
          <w:szCs w:val="19"/>
          <w:b w:val="1"/>
          <w:bCs w:val="1"/>
          <w:color w:val="214E93"/>
        </w:rPr>
        <w:t xml:space="preserve">Field. </w:t>
      </w:r>
      <w:r>
        <w:rPr>
          <w:rFonts w:ascii="Calibri" w:cs="Calibri" w:eastAsia="Calibri" w:hAnsi="Calibri"/>
          <w:sz w:val="17"/>
          <w:szCs w:val="17"/>
          <w:color w:val="000000"/>
        </w:rPr>
        <w:t>An area consisting of a single reservoir or multiple reservoirs all grouped on or related to the same individual geological</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structural feature and/or stratigraphic condition.</w:t>
      </w:r>
    </w:p>
    <w:p>
      <w:pPr>
        <w:spacing w:after="0" w:line="220" w:lineRule="exact"/>
        <w:rPr>
          <w:sz w:val="20"/>
          <w:szCs w:val="20"/>
          <w:color w:val="auto"/>
        </w:rPr>
      </w:pPr>
    </w:p>
    <w:p>
      <w:pPr>
        <w:ind w:left="1000"/>
        <w:spacing w:after="0"/>
        <w:rPr>
          <w:sz w:val="20"/>
          <w:szCs w:val="20"/>
          <w:color w:val="auto"/>
        </w:rPr>
      </w:pPr>
      <w:r>
        <w:rPr>
          <w:rFonts w:ascii="Calibri" w:cs="Calibri" w:eastAsia="Calibri" w:hAnsi="Calibri"/>
          <w:sz w:val="19"/>
          <w:szCs w:val="19"/>
          <w:b w:val="1"/>
          <w:bCs w:val="1"/>
          <w:color w:val="214E93"/>
        </w:rPr>
        <w:t xml:space="preserve">GAAP, or U.S. GAAP. </w:t>
      </w:r>
      <w:r>
        <w:rPr>
          <w:rFonts w:ascii="Calibri" w:cs="Calibri" w:eastAsia="Calibri" w:hAnsi="Calibri"/>
          <w:sz w:val="17"/>
          <w:szCs w:val="17"/>
          <w:color w:val="000000"/>
        </w:rPr>
        <w:t>United States, generally accepted accounting principles.</w:t>
      </w:r>
    </w:p>
    <w:p>
      <w:pPr>
        <w:spacing w:after="0" w:line="225" w:lineRule="exact"/>
        <w:rPr>
          <w:sz w:val="20"/>
          <w:szCs w:val="20"/>
          <w:color w:val="auto"/>
        </w:rPr>
      </w:pPr>
    </w:p>
    <w:p>
      <w:pPr>
        <w:ind w:left="1000"/>
        <w:spacing w:after="0"/>
        <w:rPr>
          <w:sz w:val="20"/>
          <w:szCs w:val="20"/>
          <w:color w:val="auto"/>
        </w:rPr>
      </w:pPr>
      <w:r>
        <w:rPr>
          <w:rFonts w:ascii="Calibri" w:cs="Calibri" w:eastAsia="Calibri" w:hAnsi="Calibri"/>
          <w:sz w:val="19"/>
          <w:szCs w:val="19"/>
          <w:b w:val="1"/>
          <w:bCs w:val="1"/>
          <w:color w:val="214E93"/>
        </w:rPr>
        <w:t xml:space="preserve">Gross acres or gross wells. </w:t>
      </w:r>
      <w:r>
        <w:rPr>
          <w:rFonts w:ascii="Calibri" w:cs="Calibri" w:eastAsia="Calibri" w:hAnsi="Calibri"/>
          <w:sz w:val="17"/>
          <w:szCs w:val="17"/>
          <w:color w:val="000000"/>
        </w:rPr>
        <w:t>The total acres or wells in which a working interest is owned.</w:t>
      </w:r>
    </w:p>
    <w:p>
      <w:pPr>
        <w:spacing w:after="0" w:line="243" w:lineRule="exact"/>
        <w:rPr>
          <w:sz w:val="20"/>
          <w:szCs w:val="20"/>
          <w:color w:val="auto"/>
        </w:rPr>
      </w:pPr>
    </w:p>
    <w:p>
      <w:pPr>
        <w:ind w:left="760" w:right="280" w:firstLine="241"/>
        <w:spacing w:after="0" w:line="242" w:lineRule="auto"/>
        <w:rPr>
          <w:sz w:val="20"/>
          <w:szCs w:val="20"/>
          <w:color w:val="auto"/>
        </w:rPr>
      </w:pPr>
      <w:r>
        <w:rPr>
          <w:rFonts w:ascii="Calibri" w:cs="Calibri" w:eastAsia="Calibri" w:hAnsi="Calibri"/>
          <w:sz w:val="19"/>
          <w:szCs w:val="19"/>
          <w:b w:val="1"/>
          <w:bCs w:val="1"/>
          <w:color w:val="214E93"/>
        </w:rPr>
        <w:t xml:space="preserve">Held by production. </w:t>
      </w:r>
      <w:r>
        <w:rPr>
          <w:rFonts w:ascii="Calibri" w:cs="Calibri" w:eastAsia="Calibri" w:hAnsi="Calibri"/>
          <w:sz w:val="17"/>
          <w:szCs w:val="17"/>
          <w:color w:val="000000"/>
        </w:rPr>
        <w:t>An oil and natural gas property under lease in which the lease continues to be in force after the primary</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term of the lease in accordance with its terms as a result of production from the property.</w:t>
      </w:r>
    </w:p>
    <w:p>
      <w:pPr>
        <w:spacing w:after="0" w:line="238" w:lineRule="exact"/>
        <w:rPr>
          <w:sz w:val="20"/>
          <w:szCs w:val="20"/>
          <w:color w:val="auto"/>
        </w:rPr>
      </w:pPr>
    </w:p>
    <w:p>
      <w:pPr>
        <w:ind w:left="760" w:right="40" w:firstLine="241"/>
        <w:spacing w:after="0" w:line="269" w:lineRule="auto"/>
        <w:rPr>
          <w:sz w:val="20"/>
          <w:szCs w:val="20"/>
          <w:color w:val="auto"/>
        </w:rPr>
      </w:pPr>
      <w:r>
        <w:rPr>
          <w:rFonts w:ascii="Calibri" w:cs="Calibri" w:eastAsia="Calibri" w:hAnsi="Calibri"/>
          <w:sz w:val="19"/>
          <w:szCs w:val="19"/>
          <w:b w:val="1"/>
          <w:bCs w:val="1"/>
          <w:color w:val="214E93"/>
        </w:rPr>
        <w:t xml:space="preserve">Horizontal drilling or well. </w:t>
      </w:r>
      <w:r>
        <w:rPr>
          <w:rFonts w:ascii="Calibri" w:cs="Calibri" w:eastAsia="Calibri" w:hAnsi="Calibri"/>
          <w:sz w:val="17"/>
          <w:szCs w:val="17"/>
          <w:color w:val="000000"/>
        </w:rPr>
        <w:t>A drilling operation in which a portion of the well is drilled horizontally within a productive or</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potentially productive formation. This operation typically yields a horizontal well that has the ability to produce higher volumes than a vertical well drilled in the same formation. A horizontal well is designed to replace multiple vertical wells, resulting in lower capital expenditures for draining like acreage and limiting surface disruption.</w:t>
      </w:r>
    </w:p>
    <w:p>
      <w:pPr>
        <w:spacing w:after="0" w:line="216" w:lineRule="exact"/>
        <w:rPr>
          <w:sz w:val="20"/>
          <w:szCs w:val="20"/>
          <w:color w:val="auto"/>
        </w:rPr>
      </w:pPr>
    </w:p>
    <w:p>
      <w:pPr>
        <w:ind w:left="760" w:firstLine="241"/>
        <w:spacing w:after="0" w:line="269" w:lineRule="auto"/>
        <w:rPr>
          <w:sz w:val="20"/>
          <w:szCs w:val="20"/>
          <w:color w:val="auto"/>
        </w:rPr>
      </w:pPr>
      <w:r>
        <w:rPr>
          <w:rFonts w:ascii="Calibri" w:cs="Calibri" w:eastAsia="Calibri" w:hAnsi="Calibri"/>
          <w:sz w:val="19"/>
          <w:szCs w:val="19"/>
          <w:b w:val="1"/>
          <w:bCs w:val="1"/>
          <w:color w:val="214E93"/>
        </w:rPr>
        <w:t xml:space="preserve">Hydraulic fracturing. </w:t>
      </w:r>
      <w:r>
        <w:rPr>
          <w:rFonts w:ascii="Calibri" w:cs="Calibri" w:eastAsia="Calibri" w:hAnsi="Calibri"/>
          <w:sz w:val="17"/>
          <w:szCs w:val="17"/>
          <w:color w:val="000000"/>
        </w:rPr>
        <w:t>The technique of improving a well’s production or injection rates by pumping a mixture of fluids into the</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formation and rupturing the rock, creating an artificial channel. As part of this technique, sand or other material may also be injected into the formation to prop the channel open, so that fluids or gases may more easily flow from the formation, through the fracture channel and into the wellbore. This technique may also be referred to as fracture stimulation.</w:t>
      </w:r>
    </w:p>
    <w:p>
      <w:pPr>
        <w:spacing w:after="0" w:line="198" w:lineRule="exact"/>
        <w:rPr>
          <w:sz w:val="20"/>
          <w:szCs w:val="20"/>
          <w:color w:val="auto"/>
        </w:rPr>
      </w:pPr>
    </w:p>
    <w:p>
      <w:pPr>
        <w:ind w:left="1000"/>
        <w:spacing w:after="0"/>
        <w:rPr>
          <w:sz w:val="20"/>
          <w:szCs w:val="20"/>
          <w:color w:val="auto"/>
        </w:rPr>
      </w:pPr>
      <w:r>
        <w:rPr>
          <w:rFonts w:ascii="Calibri" w:cs="Calibri" w:eastAsia="Calibri" w:hAnsi="Calibri"/>
          <w:sz w:val="19"/>
          <w:szCs w:val="19"/>
          <w:b w:val="1"/>
          <w:bCs w:val="1"/>
          <w:color w:val="214E93"/>
        </w:rPr>
        <w:t xml:space="preserve">Lateral length. </w:t>
      </w:r>
      <w:r>
        <w:rPr>
          <w:rFonts w:ascii="Calibri" w:cs="Calibri" w:eastAsia="Calibri" w:hAnsi="Calibri"/>
          <w:sz w:val="17"/>
          <w:szCs w:val="17"/>
          <w:color w:val="000000"/>
        </w:rPr>
        <w:t>Length of the drilled or completed portion of a horizontal well.</w:t>
      </w:r>
    </w:p>
    <w:p>
      <w:pPr>
        <w:spacing w:after="0" w:line="243" w:lineRule="exact"/>
        <w:rPr>
          <w:sz w:val="20"/>
          <w:szCs w:val="20"/>
          <w:color w:val="auto"/>
        </w:rPr>
      </w:pPr>
    </w:p>
    <w:p>
      <w:pPr>
        <w:ind w:left="760" w:right="220" w:firstLine="241"/>
        <w:spacing w:after="0" w:line="271" w:lineRule="auto"/>
        <w:rPr>
          <w:sz w:val="20"/>
          <w:szCs w:val="20"/>
          <w:color w:val="auto"/>
        </w:rPr>
      </w:pPr>
      <w:r>
        <w:rPr>
          <w:rFonts w:ascii="Calibri" w:cs="Calibri" w:eastAsia="Calibri" w:hAnsi="Calibri"/>
          <w:sz w:val="19"/>
          <w:szCs w:val="19"/>
          <w:b w:val="1"/>
          <w:bCs w:val="1"/>
          <w:color w:val="214E93"/>
        </w:rPr>
        <w:t xml:space="preserve">Liquids. </w:t>
      </w:r>
      <w:r>
        <w:rPr>
          <w:rFonts w:ascii="Calibri" w:cs="Calibri" w:eastAsia="Calibri" w:hAnsi="Calibri"/>
          <w:sz w:val="17"/>
          <w:szCs w:val="17"/>
          <w:color w:val="000000"/>
        </w:rPr>
        <w:t>Liquids, or natural gas liquids, are marketable liquid products including ethane, propane, butane, pentane and natural</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gasoline resulting from the further processing of liquefiable hydrocarbons separated from raw natural gas by a natural gas processing facility.</w:t>
      </w:r>
    </w:p>
    <w:p>
      <w:pPr>
        <w:spacing w:after="0" w:line="191" w:lineRule="exact"/>
        <w:rPr>
          <w:sz w:val="20"/>
          <w:szCs w:val="20"/>
          <w:color w:val="auto"/>
        </w:rPr>
      </w:pPr>
    </w:p>
    <w:p>
      <w:pPr>
        <w:ind w:left="1000"/>
        <w:spacing w:after="0"/>
        <w:rPr>
          <w:sz w:val="20"/>
          <w:szCs w:val="20"/>
          <w:color w:val="auto"/>
        </w:rPr>
      </w:pPr>
      <w:r>
        <w:rPr>
          <w:rFonts w:ascii="Calibri" w:cs="Calibri" w:eastAsia="Calibri" w:hAnsi="Calibri"/>
          <w:sz w:val="19"/>
          <w:szCs w:val="19"/>
          <w:b w:val="1"/>
          <w:bCs w:val="1"/>
          <w:color w:val="214E93"/>
        </w:rPr>
        <w:t xml:space="preserve">MBbl. </w:t>
      </w:r>
      <w:r>
        <w:rPr>
          <w:rFonts w:ascii="Calibri" w:cs="Calibri" w:eastAsia="Calibri" w:hAnsi="Calibri"/>
          <w:sz w:val="17"/>
          <w:szCs w:val="17"/>
          <w:color w:val="000000"/>
        </w:rPr>
        <w:t>One thousand barrels of crude oil, other liquid hydrocarbons or produced water.</w:t>
      </w:r>
    </w:p>
    <w:p>
      <w:pPr>
        <w:spacing w:after="0" w:line="239" w:lineRule="exact"/>
        <w:rPr>
          <w:sz w:val="20"/>
          <w:szCs w:val="20"/>
          <w:color w:val="auto"/>
        </w:rPr>
      </w:pPr>
    </w:p>
    <w:p>
      <w:pPr>
        <w:ind w:left="1000"/>
        <w:spacing w:after="0"/>
        <w:rPr>
          <w:sz w:val="20"/>
          <w:szCs w:val="20"/>
          <w:color w:val="auto"/>
        </w:rPr>
      </w:pPr>
      <w:r>
        <w:rPr>
          <w:rFonts w:ascii="Calibri" w:cs="Calibri" w:eastAsia="Calibri" w:hAnsi="Calibri"/>
          <w:sz w:val="19"/>
          <w:szCs w:val="19"/>
          <w:b w:val="1"/>
          <w:bCs w:val="1"/>
          <w:color w:val="214E93"/>
        </w:rPr>
        <w:t xml:space="preserve">MBOE. </w:t>
      </w:r>
      <w:r>
        <w:rPr>
          <w:rFonts w:ascii="Calibri" w:cs="Calibri" w:eastAsia="Calibri" w:hAnsi="Calibri"/>
          <w:sz w:val="17"/>
          <w:szCs w:val="17"/>
          <w:color w:val="000000"/>
        </w:rPr>
        <w:t>One thousand BOE.</w:t>
      </w:r>
    </w:p>
    <w:p>
      <w:pPr>
        <w:spacing w:after="0" w:line="225" w:lineRule="exact"/>
        <w:rPr>
          <w:sz w:val="20"/>
          <w:szCs w:val="20"/>
          <w:color w:val="auto"/>
        </w:rPr>
      </w:pPr>
    </w:p>
    <w:p>
      <w:pPr>
        <w:ind w:left="1000"/>
        <w:spacing w:after="0"/>
        <w:rPr>
          <w:sz w:val="20"/>
          <w:szCs w:val="20"/>
          <w:color w:val="auto"/>
        </w:rPr>
      </w:pPr>
      <w:r>
        <w:rPr>
          <w:rFonts w:ascii="Calibri" w:cs="Calibri" w:eastAsia="Calibri" w:hAnsi="Calibri"/>
          <w:sz w:val="19"/>
          <w:szCs w:val="19"/>
          <w:b w:val="1"/>
          <w:bCs w:val="1"/>
          <w:color w:val="214E93"/>
        </w:rPr>
        <w:t xml:space="preserve">Mcf. </w:t>
      </w:r>
      <w:r>
        <w:rPr>
          <w:rFonts w:ascii="Calibri" w:cs="Calibri" w:eastAsia="Calibri" w:hAnsi="Calibri"/>
          <w:sz w:val="17"/>
          <w:szCs w:val="17"/>
          <w:color w:val="000000"/>
        </w:rPr>
        <w:t>One thousand cubic feet of natural gas.</w:t>
      </w:r>
    </w:p>
    <w:p>
      <w:pPr>
        <w:spacing w:after="0" w:line="239" w:lineRule="exact"/>
        <w:rPr>
          <w:sz w:val="20"/>
          <w:szCs w:val="20"/>
          <w:color w:val="auto"/>
        </w:rPr>
      </w:pPr>
    </w:p>
    <w:p>
      <w:pPr>
        <w:ind w:left="1000"/>
        <w:spacing w:after="0"/>
        <w:rPr>
          <w:sz w:val="20"/>
          <w:szCs w:val="20"/>
          <w:color w:val="auto"/>
        </w:rPr>
      </w:pPr>
      <w:r>
        <w:rPr>
          <w:rFonts w:ascii="Calibri" w:cs="Calibri" w:eastAsia="Calibri" w:hAnsi="Calibri"/>
          <w:sz w:val="19"/>
          <w:szCs w:val="19"/>
          <w:b w:val="1"/>
          <w:bCs w:val="1"/>
          <w:color w:val="214E93"/>
        </w:rPr>
        <w:t xml:space="preserve">MMBtu. </w:t>
      </w:r>
      <w:r>
        <w:rPr>
          <w:rFonts w:ascii="Calibri" w:cs="Calibri" w:eastAsia="Calibri" w:hAnsi="Calibri"/>
          <w:sz w:val="17"/>
          <w:szCs w:val="17"/>
          <w:color w:val="000000"/>
        </w:rPr>
        <w:t>One million British thermal units.</w:t>
      </w:r>
    </w:p>
    <w:p>
      <w:pPr>
        <w:spacing w:after="0" w:line="239" w:lineRule="exact"/>
        <w:rPr>
          <w:sz w:val="20"/>
          <w:szCs w:val="20"/>
          <w:color w:val="auto"/>
        </w:rPr>
      </w:pPr>
    </w:p>
    <w:p>
      <w:pPr>
        <w:ind w:left="1000"/>
        <w:spacing w:after="0"/>
        <w:rPr>
          <w:sz w:val="20"/>
          <w:szCs w:val="20"/>
          <w:color w:val="auto"/>
        </w:rPr>
      </w:pPr>
      <w:r>
        <w:rPr>
          <w:rFonts w:ascii="Calibri" w:cs="Calibri" w:eastAsia="Calibri" w:hAnsi="Calibri"/>
          <w:sz w:val="19"/>
          <w:szCs w:val="19"/>
          <w:b w:val="1"/>
          <w:bCs w:val="1"/>
          <w:color w:val="214E93"/>
        </w:rPr>
        <w:t xml:space="preserve">MMcf. </w:t>
      </w:r>
      <w:r>
        <w:rPr>
          <w:rFonts w:ascii="Calibri" w:cs="Calibri" w:eastAsia="Calibri" w:hAnsi="Calibri"/>
          <w:sz w:val="17"/>
          <w:szCs w:val="17"/>
          <w:color w:val="000000"/>
        </w:rPr>
        <w:t>One million cubic feet of natural gas.</w:t>
      </w:r>
    </w:p>
    <w:p>
      <w:pPr>
        <w:spacing w:after="0" w:line="239" w:lineRule="exact"/>
        <w:rPr>
          <w:sz w:val="20"/>
          <w:szCs w:val="20"/>
          <w:color w:val="auto"/>
        </w:rPr>
      </w:pPr>
    </w:p>
    <w:p>
      <w:pPr>
        <w:ind w:left="1000"/>
        <w:spacing w:after="0"/>
        <w:rPr>
          <w:sz w:val="20"/>
          <w:szCs w:val="20"/>
          <w:color w:val="auto"/>
        </w:rPr>
      </w:pPr>
      <w:r>
        <w:rPr>
          <w:rFonts w:ascii="Calibri" w:cs="Calibri" w:eastAsia="Calibri" w:hAnsi="Calibri"/>
          <w:sz w:val="19"/>
          <w:szCs w:val="19"/>
          <w:b w:val="1"/>
          <w:bCs w:val="1"/>
          <w:color w:val="214E93"/>
        </w:rPr>
        <w:t xml:space="preserve">NGL. </w:t>
      </w:r>
      <w:r>
        <w:rPr>
          <w:rFonts w:ascii="Calibri" w:cs="Calibri" w:eastAsia="Calibri" w:hAnsi="Calibri"/>
          <w:sz w:val="17"/>
          <w:szCs w:val="17"/>
          <w:color w:val="000000"/>
        </w:rPr>
        <w:t>Natural gas liquids.</w:t>
      </w:r>
    </w:p>
    <w:p>
      <w:pPr>
        <w:sectPr>
          <w:pgSz w:w="11880" w:h="15480" w:orient="portrait"/>
          <w:cols w:equalWidth="0" w:num="1">
            <w:col w:w="10320"/>
          </w:cols>
          <w:pgMar w:left="40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0"/>
        <w:spacing w:after="0"/>
        <w:rPr>
          <w:sz w:val="20"/>
          <w:szCs w:val="20"/>
          <w:color w:val="auto"/>
        </w:rPr>
      </w:pPr>
      <w:r>
        <w:rPr>
          <w:rFonts w:ascii="Calibri" w:cs="Calibri" w:eastAsia="Calibri" w:hAnsi="Calibri"/>
          <w:sz w:val="17"/>
          <w:szCs w:val="17"/>
          <w:color w:val="auto"/>
        </w:rPr>
        <w:t>Glossary of Oil and Natural Gas Terms FORM 10-K</w:t>
      </w:r>
    </w:p>
    <w:p>
      <w:pPr>
        <w:sectPr>
          <w:pgSz w:w="11880" w:h="15480" w:orient="portrait"/>
          <w:cols w:equalWidth="0" w:num="1">
            <w:col w:w="10320"/>
          </w:cols>
          <w:pgMar w:left="400" w:top="498" w:right="1160" w:bottom="0" w:gutter="0" w:footer="0" w:header="0"/>
          <w:type w:val="continuous"/>
        </w:sectPr>
      </w:pPr>
    </w:p>
    <w:bookmarkStart w:id="128" w:name="page129"/>
    <w:bookmarkEnd w:id="128"/>
    <w:tbl>
      <w:tblPr>
        <w:tblLayout w:type="fixed"/>
        <w:tblInd w:w="7880" w:type="dxa"/>
        <w:tblCellMar>
          <w:top w:w="0" w:type="dxa"/>
          <w:left w:w="0" w:type="dxa"/>
          <w:bottom w:w="0" w:type="dxa"/>
          <w:right w:w="0" w:type="dxa"/>
        </w:tblCellMar>
      </w:tblPr>
      <w:tr>
        <w:trPr>
          <w:trHeight w:val="220"/>
        </w:trPr>
        <w:tc>
          <w:tcPr>
            <w:tcW w:w="190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540" w:type="dxa"/>
            <w:vAlign w:val="bottom"/>
          </w:tcPr>
          <w:p>
            <w:pPr>
              <w:jc w:val="right"/>
              <w:spacing w:after="0"/>
              <w:rPr>
                <w:sz w:val="20"/>
                <w:szCs w:val="20"/>
                <w:color w:val="auto"/>
              </w:rPr>
            </w:pPr>
            <w:r>
              <w:rPr>
                <w:rFonts w:ascii="Calibri" w:cs="Calibri" w:eastAsia="Calibri" w:hAnsi="Calibri"/>
                <w:sz w:val="18"/>
                <w:szCs w:val="18"/>
                <w:color w:val="auto"/>
              </w:rPr>
              <w:t>115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57" o:spid="_x0000_s12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58" o:spid="_x0000_s12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40"/>
        <w:spacing w:after="0"/>
        <w:rPr>
          <w:sz w:val="20"/>
          <w:szCs w:val="20"/>
          <w:color w:val="auto"/>
        </w:rPr>
      </w:pPr>
      <w:r>
        <w:rPr>
          <w:rFonts w:ascii="Calibri" w:cs="Calibri" w:eastAsia="Calibri" w:hAnsi="Calibri"/>
          <w:sz w:val="19"/>
          <w:szCs w:val="19"/>
          <w:b w:val="1"/>
          <w:bCs w:val="1"/>
          <w:color w:val="214E93"/>
        </w:rPr>
        <w:t xml:space="preserve">Net acres or net wells. </w:t>
      </w:r>
      <w:r>
        <w:rPr>
          <w:rFonts w:ascii="Calibri" w:cs="Calibri" w:eastAsia="Calibri" w:hAnsi="Calibri"/>
          <w:sz w:val="17"/>
          <w:szCs w:val="17"/>
          <w:color w:val="000000"/>
        </w:rPr>
        <w:t>The sum of the fractional working interest owned in gross acres or wells.</w:t>
      </w:r>
    </w:p>
    <w:p>
      <w:pPr>
        <w:spacing w:after="0" w:line="257" w:lineRule="exact"/>
        <w:rPr>
          <w:sz w:val="20"/>
          <w:szCs w:val="20"/>
          <w:color w:val="auto"/>
        </w:rPr>
      </w:pPr>
    </w:p>
    <w:p>
      <w:pPr>
        <w:ind w:right="880" w:firstLine="241"/>
        <w:spacing w:after="0" w:line="242" w:lineRule="auto"/>
        <w:rPr>
          <w:sz w:val="20"/>
          <w:szCs w:val="20"/>
          <w:color w:val="auto"/>
        </w:rPr>
      </w:pPr>
      <w:r>
        <w:rPr>
          <w:rFonts w:ascii="Calibri" w:cs="Calibri" w:eastAsia="Calibri" w:hAnsi="Calibri"/>
          <w:sz w:val="19"/>
          <w:szCs w:val="19"/>
          <w:b w:val="1"/>
          <w:bCs w:val="1"/>
          <w:color w:val="214E93"/>
        </w:rPr>
        <w:t xml:space="preserve">Net revenue interest. </w:t>
      </w:r>
      <w:r>
        <w:rPr>
          <w:rFonts w:ascii="Calibri" w:cs="Calibri" w:eastAsia="Calibri" w:hAnsi="Calibri"/>
          <w:sz w:val="17"/>
          <w:szCs w:val="17"/>
          <w:color w:val="000000"/>
        </w:rPr>
        <w:t>The interest that defines the percentage of revenue that an owner of a well receives from the sale of oil,</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natural gas and/or natural gas liquids that are produced from the well.</w:t>
      </w:r>
    </w:p>
    <w:p>
      <w:pPr>
        <w:spacing w:after="0" w:line="220" w:lineRule="exact"/>
        <w:rPr>
          <w:sz w:val="20"/>
          <w:szCs w:val="20"/>
          <w:color w:val="auto"/>
        </w:rPr>
      </w:pPr>
    </w:p>
    <w:p>
      <w:pPr>
        <w:ind w:left="240"/>
        <w:spacing w:after="0"/>
        <w:rPr>
          <w:sz w:val="20"/>
          <w:szCs w:val="20"/>
          <w:color w:val="auto"/>
        </w:rPr>
      </w:pPr>
      <w:r>
        <w:rPr>
          <w:rFonts w:ascii="Calibri" w:cs="Calibri" w:eastAsia="Calibri" w:hAnsi="Calibri"/>
          <w:sz w:val="19"/>
          <w:szCs w:val="19"/>
          <w:b w:val="1"/>
          <w:bCs w:val="1"/>
          <w:color w:val="214E93"/>
        </w:rPr>
        <w:t xml:space="preserve">NYMEX. </w:t>
      </w:r>
      <w:r>
        <w:rPr>
          <w:rFonts w:ascii="Calibri" w:cs="Calibri" w:eastAsia="Calibri" w:hAnsi="Calibri"/>
          <w:sz w:val="17"/>
          <w:szCs w:val="17"/>
          <w:color w:val="000000"/>
        </w:rPr>
        <w:t>New York Mercantile Exchange.</w:t>
      </w:r>
    </w:p>
    <w:p>
      <w:pPr>
        <w:spacing w:after="0" w:line="257" w:lineRule="exact"/>
        <w:rPr>
          <w:sz w:val="20"/>
          <w:szCs w:val="20"/>
          <w:color w:val="auto"/>
        </w:rPr>
      </w:pPr>
    </w:p>
    <w:p>
      <w:pPr>
        <w:ind w:right="780" w:firstLine="241"/>
        <w:spacing w:after="0" w:line="271" w:lineRule="auto"/>
        <w:rPr>
          <w:sz w:val="20"/>
          <w:szCs w:val="20"/>
          <w:color w:val="auto"/>
        </w:rPr>
      </w:pPr>
      <w:r>
        <w:rPr>
          <w:rFonts w:ascii="Calibri" w:cs="Calibri" w:eastAsia="Calibri" w:hAnsi="Calibri"/>
          <w:sz w:val="19"/>
          <w:szCs w:val="19"/>
          <w:b w:val="1"/>
          <w:bCs w:val="1"/>
          <w:color w:val="214E93"/>
        </w:rPr>
        <w:t xml:space="preserve">Organization of Petroleum Exporting Countries or OPEC. </w:t>
      </w:r>
      <w:r>
        <w:rPr>
          <w:rFonts w:ascii="Calibri" w:cs="Calibri" w:eastAsia="Calibri" w:hAnsi="Calibri"/>
          <w:sz w:val="17"/>
          <w:szCs w:val="17"/>
          <w:color w:val="000000"/>
        </w:rPr>
        <w:t>An intergovernmental group of 12 of the world’s major oil-exporting</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countries, which was founded in 1960 to coordinate the petroleum policies of its members and to provide member countries with technical and economic aid.</w:t>
      </w:r>
    </w:p>
    <w:p>
      <w:pPr>
        <w:spacing w:after="0" w:line="209" w:lineRule="exact"/>
        <w:rPr>
          <w:sz w:val="20"/>
          <w:szCs w:val="20"/>
          <w:color w:val="auto"/>
        </w:rPr>
      </w:pPr>
    </w:p>
    <w:p>
      <w:pPr>
        <w:ind w:right="900" w:firstLine="241"/>
        <w:spacing w:after="0" w:line="242" w:lineRule="auto"/>
        <w:rPr>
          <w:sz w:val="20"/>
          <w:szCs w:val="20"/>
          <w:color w:val="auto"/>
        </w:rPr>
      </w:pPr>
      <w:r>
        <w:rPr>
          <w:rFonts w:ascii="Calibri" w:cs="Calibri" w:eastAsia="Calibri" w:hAnsi="Calibri"/>
          <w:sz w:val="19"/>
          <w:szCs w:val="19"/>
          <w:b w:val="1"/>
          <w:bCs w:val="1"/>
          <w:color w:val="214E93"/>
        </w:rPr>
        <w:t xml:space="preserve">OPEC+. </w:t>
      </w:r>
      <w:r>
        <w:rPr>
          <w:rFonts w:ascii="Calibri" w:cs="Calibri" w:eastAsia="Calibri" w:hAnsi="Calibri"/>
          <w:sz w:val="17"/>
          <w:szCs w:val="17"/>
          <w:color w:val="000000"/>
        </w:rPr>
        <w:t>A loose affiliation of the member countries of OPEC and 11 of the world’s other major oil-exporting countries, including</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Russia.</w:t>
      </w:r>
    </w:p>
    <w:p>
      <w:pPr>
        <w:spacing w:after="0" w:line="238" w:lineRule="exact"/>
        <w:rPr>
          <w:sz w:val="20"/>
          <w:szCs w:val="20"/>
          <w:color w:val="auto"/>
        </w:rPr>
      </w:pPr>
    </w:p>
    <w:p>
      <w:pPr>
        <w:ind w:right="800" w:firstLine="241"/>
        <w:spacing w:after="0" w:line="274" w:lineRule="auto"/>
        <w:rPr>
          <w:sz w:val="20"/>
          <w:szCs w:val="20"/>
          <w:color w:val="auto"/>
        </w:rPr>
      </w:pPr>
      <w:r>
        <w:rPr>
          <w:rFonts w:ascii="Calibri" w:cs="Calibri" w:eastAsia="Calibri" w:hAnsi="Calibri"/>
          <w:sz w:val="19"/>
          <w:szCs w:val="19"/>
          <w:b w:val="1"/>
          <w:bCs w:val="1"/>
          <w:color w:val="214E93"/>
        </w:rPr>
        <w:t xml:space="preserve">Overriding royalty interest. </w:t>
      </w:r>
      <w:r>
        <w:rPr>
          <w:rFonts w:ascii="Calibri" w:cs="Calibri" w:eastAsia="Calibri" w:hAnsi="Calibri"/>
          <w:sz w:val="17"/>
          <w:szCs w:val="17"/>
          <w:color w:val="000000"/>
        </w:rPr>
        <w:t>A fractional interest in the gross production of oil and natural gas under a lease, in addition to the</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usual royalties paid to the lessor, free of any expense for exploration, drilling, development, operating, marketing and other costs incident to the production and sale of oil and natural gas produced from the lease. It is an interest carved out of the lessee’s working interest, as distinguished from the lessor’s reserved royalty interest.</w:t>
      </w:r>
    </w:p>
    <w:p>
      <w:pPr>
        <w:spacing w:after="0" w:line="194" w:lineRule="exact"/>
        <w:rPr>
          <w:sz w:val="20"/>
          <w:szCs w:val="20"/>
          <w:color w:val="auto"/>
        </w:rPr>
      </w:pPr>
    </w:p>
    <w:p>
      <w:pPr>
        <w:ind w:left="240"/>
        <w:spacing w:after="0"/>
        <w:rPr>
          <w:sz w:val="20"/>
          <w:szCs w:val="20"/>
          <w:color w:val="auto"/>
        </w:rPr>
      </w:pPr>
      <w:r>
        <w:rPr>
          <w:rFonts w:ascii="Calibri" w:cs="Calibri" w:eastAsia="Calibri" w:hAnsi="Calibri"/>
          <w:sz w:val="19"/>
          <w:szCs w:val="19"/>
          <w:b w:val="1"/>
          <w:bCs w:val="1"/>
          <w:color w:val="214E93"/>
        </w:rPr>
        <w:t xml:space="preserve">Pad. </w:t>
      </w:r>
      <w:r>
        <w:rPr>
          <w:rFonts w:ascii="Calibri" w:cs="Calibri" w:eastAsia="Calibri" w:hAnsi="Calibri"/>
          <w:sz w:val="17"/>
          <w:szCs w:val="17"/>
          <w:color w:val="000000"/>
        </w:rPr>
        <w:t>The surface constructed to accommodate the drilling, completion and production operations of an oil or natural gas well.</w:t>
      </w:r>
    </w:p>
    <w:p>
      <w:pPr>
        <w:spacing w:after="0" w:line="257" w:lineRule="exact"/>
        <w:rPr>
          <w:sz w:val="20"/>
          <w:szCs w:val="20"/>
          <w:color w:val="auto"/>
        </w:rPr>
      </w:pPr>
    </w:p>
    <w:p>
      <w:pPr>
        <w:ind w:right="920" w:firstLine="241"/>
        <w:spacing w:after="0" w:line="256" w:lineRule="auto"/>
        <w:rPr>
          <w:sz w:val="20"/>
          <w:szCs w:val="20"/>
          <w:color w:val="auto"/>
        </w:rPr>
      </w:pPr>
      <w:r>
        <w:rPr>
          <w:rFonts w:ascii="Calibri" w:cs="Calibri" w:eastAsia="Calibri" w:hAnsi="Calibri"/>
          <w:sz w:val="19"/>
          <w:szCs w:val="19"/>
          <w:b w:val="1"/>
          <w:bCs w:val="1"/>
          <w:color w:val="214E93"/>
        </w:rPr>
        <w:t xml:space="preserve">Pad drilling. </w:t>
      </w:r>
      <w:r>
        <w:rPr>
          <w:rFonts w:ascii="Calibri" w:cs="Calibri" w:eastAsia="Calibri" w:hAnsi="Calibri"/>
          <w:sz w:val="17"/>
          <w:szCs w:val="17"/>
          <w:color w:val="000000"/>
        </w:rPr>
        <w:t>The process by which multiple horizontal wells are drilled from a single pad. In pad drilling, each well on the pad is</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drilled to total depth before the next well is initiated.</w:t>
      </w:r>
    </w:p>
    <w:p>
      <w:pPr>
        <w:spacing w:after="0" w:line="206" w:lineRule="exact"/>
        <w:rPr>
          <w:sz w:val="20"/>
          <w:szCs w:val="20"/>
          <w:color w:val="auto"/>
        </w:rPr>
      </w:pPr>
    </w:p>
    <w:p>
      <w:pPr>
        <w:ind w:left="240"/>
        <w:spacing w:after="0"/>
        <w:rPr>
          <w:sz w:val="20"/>
          <w:szCs w:val="20"/>
          <w:color w:val="auto"/>
        </w:rPr>
      </w:pPr>
      <w:r>
        <w:rPr>
          <w:rFonts w:ascii="Calibri" w:cs="Calibri" w:eastAsia="Calibri" w:hAnsi="Calibri"/>
          <w:sz w:val="19"/>
          <w:szCs w:val="19"/>
          <w:b w:val="1"/>
          <w:bCs w:val="1"/>
          <w:color w:val="214E93"/>
        </w:rPr>
        <w:t xml:space="preserve">Permeability. </w:t>
      </w:r>
      <w:r>
        <w:rPr>
          <w:rFonts w:ascii="Calibri" w:cs="Calibri" w:eastAsia="Calibri" w:hAnsi="Calibri"/>
          <w:sz w:val="17"/>
          <w:szCs w:val="17"/>
          <w:color w:val="000000"/>
        </w:rPr>
        <w:t>A reference to the ability of oil and/or natural gas to flow through a reservoir.</w:t>
      </w:r>
    </w:p>
    <w:p>
      <w:pPr>
        <w:spacing w:after="0" w:line="243" w:lineRule="exact"/>
        <w:rPr>
          <w:sz w:val="20"/>
          <w:szCs w:val="20"/>
          <w:color w:val="auto"/>
        </w:rPr>
      </w:pPr>
    </w:p>
    <w:p>
      <w:pPr>
        <w:ind w:right="780" w:firstLine="241"/>
        <w:spacing w:after="0" w:line="271" w:lineRule="auto"/>
        <w:rPr>
          <w:sz w:val="20"/>
          <w:szCs w:val="20"/>
          <w:color w:val="auto"/>
        </w:rPr>
      </w:pPr>
      <w:r>
        <w:rPr>
          <w:rFonts w:ascii="Calibri" w:cs="Calibri" w:eastAsia="Calibri" w:hAnsi="Calibri"/>
          <w:sz w:val="19"/>
          <w:szCs w:val="19"/>
          <w:b w:val="1"/>
          <w:bCs w:val="1"/>
          <w:color w:val="214E93"/>
        </w:rPr>
        <w:t xml:space="preserve">Petrophysical analysis. </w:t>
      </w:r>
      <w:r>
        <w:rPr>
          <w:rFonts w:ascii="Calibri" w:cs="Calibri" w:eastAsia="Calibri" w:hAnsi="Calibri"/>
          <w:sz w:val="17"/>
          <w:szCs w:val="17"/>
          <w:color w:val="000000"/>
        </w:rPr>
        <w:t>The interpretation of well log measurements, obtained from a string of electronic tools inserted into the</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borehole, and from core measurements, in which rock samples are retrieved from the subsurface, then combining these measurements with other relevant geological and geophysical information to describe the reservoir rock properties.</w:t>
      </w:r>
    </w:p>
    <w:p>
      <w:pPr>
        <w:spacing w:after="0" w:line="209" w:lineRule="exact"/>
        <w:rPr>
          <w:sz w:val="20"/>
          <w:szCs w:val="20"/>
          <w:color w:val="auto"/>
        </w:rPr>
      </w:pPr>
    </w:p>
    <w:p>
      <w:pPr>
        <w:ind w:right="1300" w:firstLine="241"/>
        <w:spacing w:after="0" w:line="242" w:lineRule="auto"/>
        <w:rPr>
          <w:sz w:val="20"/>
          <w:szCs w:val="20"/>
          <w:color w:val="auto"/>
        </w:rPr>
      </w:pPr>
      <w:r>
        <w:rPr>
          <w:rFonts w:ascii="Calibri" w:cs="Calibri" w:eastAsia="Calibri" w:hAnsi="Calibri"/>
          <w:sz w:val="19"/>
          <w:szCs w:val="19"/>
          <w:b w:val="1"/>
          <w:bCs w:val="1"/>
          <w:color w:val="214E93"/>
        </w:rPr>
        <w:t xml:space="preserve">Play. </w:t>
      </w:r>
      <w:r>
        <w:rPr>
          <w:rFonts w:ascii="Calibri" w:cs="Calibri" w:eastAsia="Calibri" w:hAnsi="Calibri"/>
          <w:sz w:val="17"/>
          <w:szCs w:val="17"/>
          <w:color w:val="000000"/>
        </w:rPr>
        <w:t>A set of known or postulated oil and/or natural gas accumulations sharing similar geologic, geographic and temporal</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properties, such as source rock, migration pathways, timing, trapping mechanism and hydrocarbon type.</w:t>
      </w:r>
    </w:p>
    <w:p>
      <w:pPr>
        <w:spacing w:after="0" w:line="220" w:lineRule="exact"/>
        <w:rPr>
          <w:sz w:val="20"/>
          <w:szCs w:val="20"/>
          <w:color w:val="auto"/>
        </w:rPr>
      </w:pPr>
    </w:p>
    <w:p>
      <w:pPr>
        <w:ind w:left="240"/>
        <w:spacing w:after="0"/>
        <w:rPr>
          <w:sz w:val="20"/>
          <w:szCs w:val="20"/>
          <w:color w:val="auto"/>
        </w:rPr>
      </w:pPr>
      <w:r>
        <w:rPr>
          <w:rFonts w:ascii="Calibri" w:cs="Calibri" w:eastAsia="Calibri" w:hAnsi="Calibri"/>
          <w:sz w:val="19"/>
          <w:szCs w:val="19"/>
          <w:b w:val="1"/>
          <w:bCs w:val="1"/>
          <w:color w:val="214E93"/>
        </w:rPr>
        <w:t xml:space="preserve">Possible reserves. </w:t>
      </w:r>
      <w:r>
        <w:rPr>
          <w:rFonts w:ascii="Calibri" w:cs="Calibri" w:eastAsia="Calibri" w:hAnsi="Calibri"/>
          <w:sz w:val="17"/>
          <w:szCs w:val="17"/>
          <w:color w:val="000000"/>
        </w:rPr>
        <w:t>Additional reserves that are less certain to be recovered than probable reserves.</w:t>
      </w:r>
    </w:p>
    <w:p>
      <w:pPr>
        <w:spacing w:after="0" w:line="243" w:lineRule="exact"/>
        <w:rPr>
          <w:sz w:val="20"/>
          <w:szCs w:val="20"/>
          <w:color w:val="auto"/>
        </w:rPr>
      </w:pPr>
    </w:p>
    <w:p>
      <w:pPr>
        <w:ind w:right="1180" w:firstLine="241"/>
        <w:spacing w:after="0" w:line="242" w:lineRule="auto"/>
        <w:rPr>
          <w:sz w:val="20"/>
          <w:szCs w:val="20"/>
          <w:color w:val="auto"/>
        </w:rPr>
      </w:pPr>
      <w:r>
        <w:rPr>
          <w:rFonts w:ascii="Calibri" w:cs="Calibri" w:eastAsia="Calibri" w:hAnsi="Calibri"/>
          <w:sz w:val="19"/>
          <w:szCs w:val="19"/>
          <w:b w:val="1"/>
          <w:bCs w:val="1"/>
          <w:color w:val="214E93"/>
        </w:rPr>
        <w:t xml:space="preserve">Probable reserves. </w:t>
      </w:r>
      <w:r>
        <w:rPr>
          <w:rFonts w:ascii="Calibri" w:cs="Calibri" w:eastAsia="Calibri" w:hAnsi="Calibri"/>
          <w:sz w:val="17"/>
          <w:szCs w:val="17"/>
          <w:color w:val="000000"/>
        </w:rPr>
        <w:t>Additional reserves that are less certain to be recovered than proved reserves but which, together with</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proved reserves, are as likely as not to be recovered.</w:t>
      </w:r>
    </w:p>
    <w:p>
      <w:pPr>
        <w:spacing w:after="0" w:line="238" w:lineRule="exact"/>
        <w:rPr>
          <w:sz w:val="20"/>
          <w:szCs w:val="20"/>
          <w:color w:val="auto"/>
        </w:rPr>
      </w:pPr>
    </w:p>
    <w:p>
      <w:pPr>
        <w:ind w:right="940" w:firstLine="241"/>
        <w:spacing w:after="0" w:line="242" w:lineRule="auto"/>
        <w:rPr>
          <w:sz w:val="20"/>
          <w:szCs w:val="20"/>
          <w:color w:val="auto"/>
        </w:rPr>
      </w:pPr>
      <w:r>
        <w:rPr>
          <w:rFonts w:ascii="Calibri" w:cs="Calibri" w:eastAsia="Calibri" w:hAnsi="Calibri"/>
          <w:sz w:val="19"/>
          <w:szCs w:val="19"/>
          <w:b w:val="1"/>
          <w:bCs w:val="1"/>
          <w:color w:val="214E93"/>
        </w:rPr>
        <w:t xml:space="preserve">Producing well, or productive well. </w:t>
      </w:r>
      <w:r>
        <w:rPr>
          <w:rFonts w:ascii="Calibri" w:cs="Calibri" w:eastAsia="Calibri" w:hAnsi="Calibri"/>
          <w:sz w:val="17"/>
          <w:szCs w:val="17"/>
          <w:color w:val="000000"/>
        </w:rPr>
        <w:t>A well that is found to be capable of producing hydrocarbons in sufficient quantities such</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that proceeds from the sale of the well’s production exceed production-related expenses and taxes.</w:t>
      </w:r>
    </w:p>
    <w:p>
      <w:pPr>
        <w:spacing w:after="0" w:line="238" w:lineRule="exact"/>
        <w:rPr>
          <w:sz w:val="20"/>
          <w:szCs w:val="20"/>
          <w:color w:val="auto"/>
        </w:rPr>
      </w:pPr>
    </w:p>
    <w:p>
      <w:pPr>
        <w:ind w:right="820" w:firstLine="241"/>
        <w:spacing w:after="0" w:line="271" w:lineRule="auto"/>
        <w:rPr>
          <w:sz w:val="20"/>
          <w:szCs w:val="20"/>
          <w:color w:val="auto"/>
        </w:rPr>
      </w:pPr>
      <w:r>
        <w:rPr>
          <w:rFonts w:ascii="Calibri" w:cs="Calibri" w:eastAsia="Calibri" w:hAnsi="Calibri"/>
          <w:sz w:val="19"/>
          <w:szCs w:val="19"/>
          <w:b w:val="1"/>
          <w:bCs w:val="1"/>
          <w:color w:val="214E93"/>
        </w:rPr>
        <w:t xml:space="preserve">Production costs. </w:t>
      </w:r>
      <w:r>
        <w:rPr>
          <w:rFonts w:ascii="Calibri" w:cs="Calibri" w:eastAsia="Calibri" w:hAnsi="Calibri"/>
          <w:sz w:val="17"/>
          <w:szCs w:val="17"/>
          <w:color w:val="000000"/>
        </w:rPr>
        <w:t>Costs incurred to operate and maintain wells and related equipment and facilities, including depreciation and</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applicable operating costs of support equipment and facilities and other costs of operating and maintaining such wells and related equipment and facilities.</w:t>
      </w:r>
    </w:p>
    <w:p>
      <w:pPr>
        <w:spacing w:after="0" w:line="209" w:lineRule="exact"/>
        <w:rPr>
          <w:sz w:val="20"/>
          <w:szCs w:val="20"/>
          <w:color w:val="auto"/>
        </w:rPr>
      </w:pPr>
    </w:p>
    <w:p>
      <w:pPr>
        <w:ind w:right="920" w:firstLine="241"/>
        <w:spacing w:after="0" w:line="256" w:lineRule="auto"/>
        <w:rPr>
          <w:sz w:val="20"/>
          <w:szCs w:val="20"/>
          <w:color w:val="auto"/>
        </w:rPr>
      </w:pPr>
      <w:r>
        <w:rPr>
          <w:rFonts w:ascii="Calibri" w:cs="Calibri" w:eastAsia="Calibri" w:hAnsi="Calibri"/>
          <w:sz w:val="19"/>
          <w:szCs w:val="19"/>
          <w:b w:val="1"/>
          <w:bCs w:val="1"/>
          <w:color w:val="214E93"/>
        </w:rPr>
        <w:t xml:space="preserve">Properties. </w:t>
      </w:r>
      <w:r>
        <w:rPr>
          <w:rFonts w:ascii="Calibri" w:cs="Calibri" w:eastAsia="Calibri" w:hAnsi="Calibri"/>
          <w:sz w:val="17"/>
          <w:szCs w:val="17"/>
          <w:color w:val="000000"/>
        </w:rPr>
        <w:t>Natural gas and oil wells, production and related equipment and facilities and oil, natural gas, or other mineral fee,</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leasehold and related interests.</w:t>
      </w:r>
    </w:p>
    <w:p>
      <w:pPr>
        <w:spacing w:after="0" w:line="224" w:lineRule="exact"/>
        <w:rPr>
          <w:sz w:val="20"/>
          <w:szCs w:val="20"/>
          <w:color w:val="auto"/>
        </w:rPr>
      </w:pPr>
    </w:p>
    <w:p>
      <w:pPr>
        <w:jc w:val="both"/>
        <w:ind w:right="780" w:firstLine="241"/>
        <w:spacing w:after="0" w:line="242" w:lineRule="auto"/>
        <w:rPr>
          <w:sz w:val="20"/>
          <w:szCs w:val="20"/>
          <w:color w:val="auto"/>
        </w:rPr>
      </w:pPr>
      <w:r>
        <w:rPr>
          <w:rFonts w:ascii="Calibri" w:cs="Calibri" w:eastAsia="Calibri" w:hAnsi="Calibri"/>
          <w:sz w:val="19"/>
          <w:szCs w:val="19"/>
          <w:b w:val="1"/>
          <w:bCs w:val="1"/>
          <w:color w:val="214E93"/>
        </w:rPr>
        <w:t xml:space="preserve">Prospect. </w:t>
      </w:r>
      <w:r>
        <w:rPr>
          <w:rFonts w:ascii="Calibri" w:cs="Calibri" w:eastAsia="Calibri" w:hAnsi="Calibri"/>
          <w:sz w:val="17"/>
          <w:szCs w:val="17"/>
          <w:color w:val="000000"/>
        </w:rPr>
        <w:t>A specific geographic area which, based on supporting geological, geophysical or other data and preliminary economic</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analysis using reasonably anticipated prices and costs, is considered to have potential for the discovery of commercial hydrocarbons.</w:t>
      </w:r>
    </w:p>
    <w:p>
      <w:pPr>
        <w:spacing w:after="0" w:line="238" w:lineRule="exact"/>
        <w:rPr>
          <w:sz w:val="20"/>
          <w:szCs w:val="20"/>
          <w:color w:val="auto"/>
        </w:rPr>
      </w:pPr>
    </w:p>
    <w:p>
      <w:pPr>
        <w:ind w:right="1260" w:firstLine="241"/>
        <w:spacing w:after="0" w:line="256" w:lineRule="auto"/>
        <w:rPr>
          <w:sz w:val="20"/>
          <w:szCs w:val="20"/>
          <w:color w:val="auto"/>
        </w:rPr>
      </w:pPr>
      <w:r>
        <w:rPr>
          <w:rFonts w:ascii="Calibri" w:cs="Calibri" w:eastAsia="Calibri" w:hAnsi="Calibri"/>
          <w:sz w:val="19"/>
          <w:szCs w:val="19"/>
          <w:b w:val="1"/>
          <w:bCs w:val="1"/>
          <w:color w:val="214E93"/>
        </w:rPr>
        <w:t xml:space="preserve">Prospectivity. </w:t>
      </w:r>
      <w:r>
        <w:rPr>
          <w:rFonts w:ascii="Calibri" w:cs="Calibri" w:eastAsia="Calibri" w:hAnsi="Calibri"/>
          <w:sz w:val="17"/>
          <w:szCs w:val="17"/>
          <w:color w:val="000000"/>
        </w:rPr>
        <w:t>Having the potential for the discovery and/or future development of commercial hydrocarbons in a specific</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geographic area or formation.</w:t>
      </w:r>
    </w:p>
    <w:p>
      <w:pPr>
        <w:sectPr>
          <w:pgSz w:w="11880" w:h="15480" w:orient="portrait"/>
          <w:cols w:equalWidth="0" w:num="1">
            <w:col w:w="10320"/>
          </w:cols>
          <w:pgMar w:left="1160" w:top="498"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660"/>
        <w:spacing w:after="0"/>
        <w:rPr>
          <w:sz w:val="20"/>
          <w:szCs w:val="20"/>
          <w:color w:val="auto"/>
        </w:rPr>
      </w:pPr>
      <w:r>
        <w:rPr>
          <w:rFonts w:ascii="Calibri" w:cs="Calibri" w:eastAsia="Calibri" w:hAnsi="Calibri"/>
          <w:sz w:val="17"/>
          <w:szCs w:val="17"/>
          <w:color w:val="auto"/>
        </w:rPr>
        <w:t>Glossary of Oil and Natural Gas Terms FORM 10-K</w:t>
      </w:r>
    </w:p>
    <w:p>
      <w:pPr>
        <w:sectPr>
          <w:pgSz w:w="11880" w:h="15480" w:orient="portrait"/>
          <w:cols w:equalWidth="0" w:num="1">
            <w:col w:w="10320"/>
          </w:cols>
          <w:pgMar w:left="1160" w:top="498" w:right="400" w:bottom="0" w:gutter="0" w:footer="0" w:header="0"/>
          <w:type w:val="continuous"/>
        </w:sectPr>
      </w:pPr>
    </w:p>
    <w:bookmarkStart w:id="129" w:name="page130"/>
    <w:bookmarkEnd w:id="129"/>
    <w:p>
      <w:pPr>
        <w:spacing w:after="0"/>
        <w:tabs>
          <w:tab w:leader="none" w:pos="780" w:val="left"/>
        </w:tabs>
        <w:rPr>
          <w:sz w:val="20"/>
          <w:szCs w:val="20"/>
          <w:color w:val="auto"/>
        </w:rPr>
      </w:pPr>
      <w:r>
        <w:rPr>
          <w:rFonts w:ascii="Calibri" w:cs="Calibri" w:eastAsia="Calibri" w:hAnsi="Calibri"/>
          <w:sz w:val="18"/>
          <w:szCs w:val="18"/>
          <w:color w:val="auto"/>
        </w:rPr>
        <w:t>116</w:t>
      </w:r>
      <w:r>
        <w:rPr>
          <w:sz w:val="20"/>
          <w:szCs w:val="20"/>
          <w:color w:val="auto"/>
        </w:rPr>
        <w:tab/>
      </w: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477520</wp:posOffset>
                </wp:positionH>
                <wp:positionV relativeFrom="paragraph">
                  <wp:posOffset>320675</wp:posOffset>
                </wp:positionV>
                <wp:extent cx="6812280" cy="0"/>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59" o:spid="_x0000_s12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pt,25.25pt" to="574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477520</wp:posOffset>
                </wp:positionH>
                <wp:positionV relativeFrom="paragraph">
                  <wp:posOffset>320675</wp:posOffset>
                </wp:positionV>
                <wp:extent cx="6812280" cy="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60" o:spid="_x0000_s12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pt,25.25pt" to="574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000"/>
        <w:spacing w:after="0"/>
        <w:rPr>
          <w:sz w:val="20"/>
          <w:szCs w:val="20"/>
          <w:color w:val="auto"/>
        </w:rPr>
      </w:pPr>
      <w:r>
        <w:rPr>
          <w:rFonts w:ascii="Calibri" w:cs="Calibri" w:eastAsia="Calibri" w:hAnsi="Calibri"/>
          <w:sz w:val="19"/>
          <w:szCs w:val="19"/>
          <w:b w:val="1"/>
          <w:bCs w:val="1"/>
          <w:color w:val="214E93"/>
        </w:rPr>
        <w:t xml:space="preserve">Proved area. </w:t>
      </w:r>
      <w:r>
        <w:rPr>
          <w:rFonts w:ascii="Calibri" w:cs="Calibri" w:eastAsia="Calibri" w:hAnsi="Calibri"/>
          <w:sz w:val="17"/>
          <w:szCs w:val="17"/>
          <w:color w:val="000000"/>
        </w:rPr>
        <w:t>The part of a property to which proved reserves have been specifically attributed.</w:t>
      </w:r>
    </w:p>
    <w:p>
      <w:pPr>
        <w:spacing w:after="0" w:line="257" w:lineRule="exact"/>
        <w:rPr>
          <w:sz w:val="20"/>
          <w:szCs w:val="20"/>
          <w:color w:val="auto"/>
        </w:rPr>
      </w:pPr>
    </w:p>
    <w:p>
      <w:pPr>
        <w:ind w:left="760" w:right="120" w:firstLine="241"/>
        <w:spacing w:after="0" w:line="286" w:lineRule="auto"/>
        <w:rPr>
          <w:sz w:val="20"/>
          <w:szCs w:val="20"/>
          <w:color w:val="auto"/>
        </w:rPr>
      </w:pPr>
      <w:r>
        <w:rPr>
          <w:rFonts w:ascii="Calibri" w:cs="Calibri" w:eastAsia="Calibri" w:hAnsi="Calibri"/>
          <w:sz w:val="19"/>
          <w:szCs w:val="19"/>
          <w:b w:val="1"/>
          <w:bCs w:val="1"/>
          <w:color w:val="214E93"/>
        </w:rPr>
        <w:t xml:space="preserve">Proved developed non-producing. </w:t>
      </w:r>
      <w:r>
        <w:rPr>
          <w:rFonts w:ascii="Calibri" w:cs="Calibri" w:eastAsia="Calibri" w:hAnsi="Calibri"/>
          <w:sz w:val="17"/>
          <w:szCs w:val="17"/>
          <w:color w:val="000000"/>
        </w:rPr>
        <w:t>Hydrocarbons in a potentially producing horizon penetrated by a wellbore, the production</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of which has been postponed pending installation of surface equipment or gathering facilities, or pending the production of hydrocarbons from another formation penetrated by the wellbore. The hydrocarbons are classified as proved developed but non-producing reserves.</w:t>
      </w:r>
    </w:p>
    <w:p>
      <w:pPr>
        <w:spacing w:after="0" w:line="200" w:lineRule="exact"/>
        <w:rPr>
          <w:sz w:val="20"/>
          <w:szCs w:val="20"/>
          <w:color w:val="auto"/>
        </w:rPr>
      </w:pPr>
    </w:p>
    <w:p>
      <w:pPr>
        <w:spacing w:after="0" w:line="244" w:lineRule="exact"/>
        <w:rPr>
          <w:sz w:val="20"/>
          <w:szCs w:val="20"/>
          <w:color w:val="auto"/>
        </w:rPr>
      </w:pPr>
    </w:p>
    <w:p>
      <w:pPr>
        <w:ind w:left="760" w:right="140" w:firstLine="241"/>
        <w:spacing w:after="0" w:line="242" w:lineRule="auto"/>
        <w:rPr>
          <w:sz w:val="20"/>
          <w:szCs w:val="20"/>
          <w:color w:val="auto"/>
        </w:rPr>
      </w:pPr>
      <w:r>
        <w:rPr>
          <w:rFonts w:ascii="Calibri" w:cs="Calibri" w:eastAsia="Calibri" w:hAnsi="Calibri"/>
          <w:sz w:val="19"/>
          <w:szCs w:val="19"/>
          <w:b w:val="1"/>
          <w:bCs w:val="1"/>
          <w:color w:val="214E93"/>
        </w:rPr>
        <w:t xml:space="preserve">Proved developed reserves. </w:t>
      </w:r>
      <w:r>
        <w:rPr>
          <w:rFonts w:ascii="Calibri" w:cs="Calibri" w:eastAsia="Calibri" w:hAnsi="Calibri"/>
          <w:sz w:val="17"/>
          <w:szCs w:val="17"/>
          <w:color w:val="000000"/>
        </w:rPr>
        <w:t>Proved reserves that can be expected to be recovered through existing wells and facilities and by</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existing operating methods.</w:t>
      </w:r>
    </w:p>
    <w:p>
      <w:pPr>
        <w:spacing w:after="0" w:line="220" w:lineRule="exact"/>
        <w:rPr>
          <w:sz w:val="20"/>
          <w:szCs w:val="20"/>
          <w:color w:val="auto"/>
        </w:rPr>
      </w:pPr>
    </w:p>
    <w:p>
      <w:pPr>
        <w:ind w:left="1000"/>
        <w:spacing w:after="0"/>
        <w:rPr>
          <w:sz w:val="20"/>
          <w:szCs w:val="20"/>
          <w:color w:val="auto"/>
        </w:rPr>
      </w:pPr>
      <w:r>
        <w:rPr>
          <w:rFonts w:ascii="Calibri" w:cs="Calibri" w:eastAsia="Calibri" w:hAnsi="Calibri"/>
          <w:sz w:val="19"/>
          <w:szCs w:val="19"/>
          <w:b w:val="1"/>
          <w:bCs w:val="1"/>
          <w:color w:val="214E93"/>
        </w:rPr>
        <w:t xml:space="preserve">Proved properties. </w:t>
      </w:r>
      <w:r>
        <w:rPr>
          <w:rFonts w:ascii="Calibri" w:cs="Calibri" w:eastAsia="Calibri" w:hAnsi="Calibri"/>
          <w:sz w:val="17"/>
          <w:szCs w:val="17"/>
          <w:color w:val="000000"/>
        </w:rPr>
        <w:t>Properties with proved reserves.</w:t>
      </w:r>
    </w:p>
    <w:p>
      <w:pPr>
        <w:spacing w:after="0" w:line="243" w:lineRule="exact"/>
        <w:rPr>
          <w:sz w:val="20"/>
          <w:szCs w:val="20"/>
          <w:color w:val="auto"/>
        </w:rPr>
      </w:pPr>
    </w:p>
    <w:p>
      <w:pPr>
        <w:ind w:left="760" w:right="120" w:firstLine="241"/>
        <w:spacing w:after="0" w:line="273" w:lineRule="auto"/>
        <w:rPr>
          <w:sz w:val="20"/>
          <w:szCs w:val="20"/>
          <w:color w:val="auto"/>
        </w:rPr>
      </w:pPr>
      <w:r>
        <w:rPr>
          <w:rFonts w:ascii="Calibri" w:cs="Calibri" w:eastAsia="Calibri" w:hAnsi="Calibri"/>
          <w:sz w:val="19"/>
          <w:szCs w:val="19"/>
          <w:b w:val="1"/>
          <w:bCs w:val="1"/>
          <w:color w:val="214E93"/>
        </w:rPr>
        <w:t xml:space="preserve">Proved reserves. </w:t>
      </w:r>
      <w:r>
        <w:rPr>
          <w:rFonts w:ascii="Calibri" w:cs="Calibri" w:eastAsia="Calibri" w:hAnsi="Calibri"/>
          <w:sz w:val="17"/>
          <w:szCs w:val="17"/>
          <w:color w:val="000000"/>
        </w:rPr>
        <w:t>The quantities of oil and natural gas, which, by analysis of geoscience and engineering data, can be estimated</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w:t>
      </w:r>
    </w:p>
    <w:p>
      <w:pPr>
        <w:spacing w:after="0" w:line="214" w:lineRule="exact"/>
        <w:rPr>
          <w:sz w:val="20"/>
          <w:szCs w:val="20"/>
          <w:color w:val="auto"/>
        </w:rPr>
      </w:pPr>
    </w:p>
    <w:p>
      <w:pPr>
        <w:ind w:left="760" w:firstLine="241"/>
        <w:spacing w:after="0" w:line="256" w:lineRule="auto"/>
        <w:rPr>
          <w:sz w:val="20"/>
          <w:szCs w:val="20"/>
          <w:color w:val="auto"/>
        </w:rPr>
      </w:pPr>
      <w:r>
        <w:rPr>
          <w:rFonts w:ascii="Calibri" w:cs="Calibri" w:eastAsia="Calibri" w:hAnsi="Calibri"/>
          <w:sz w:val="19"/>
          <w:szCs w:val="19"/>
          <w:b w:val="1"/>
          <w:bCs w:val="1"/>
          <w:color w:val="214E93"/>
        </w:rPr>
        <w:t xml:space="preserve">Proved undeveloped reserves. </w:t>
      </w:r>
      <w:r>
        <w:rPr>
          <w:rFonts w:ascii="Calibri" w:cs="Calibri" w:eastAsia="Calibri" w:hAnsi="Calibri"/>
          <w:sz w:val="17"/>
          <w:szCs w:val="17"/>
          <w:color w:val="000000"/>
        </w:rPr>
        <w:t>Proved reserves that are expected to be recovered from new wells on undrilled acreage or from</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existing wells where a relatively major expenditure is required for recompletion.</w:t>
      </w:r>
    </w:p>
    <w:p>
      <w:pPr>
        <w:spacing w:after="0" w:line="206" w:lineRule="exact"/>
        <w:rPr>
          <w:sz w:val="20"/>
          <w:szCs w:val="20"/>
          <w:color w:val="auto"/>
        </w:rPr>
      </w:pPr>
    </w:p>
    <w:p>
      <w:pPr>
        <w:ind w:left="1000"/>
        <w:spacing w:after="0"/>
        <w:rPr>
          <w:sz w:val="20"/>
          <w:szCs w:val="20"/>
          <w:color w:val="auto"/>
        </w:rPr>
      </w:pPr>
      <w:r>
        <w:rPr>
          <w:rFonts w:ascii="Calibri" w:cs="Calibri" w:eastAsia="Calibri" w:hAnsi="Calibri"/>
          <w:sz w:val="19"/>
          <w:szCs w:val="19"/>
          <w:b w:val="1"/>
          <w:bCs w:val="1"/>
          <w:color w:val="214E93"/>
        </w:rPr>
        <w:t xml:space="preserve">Reasonable certainty. </w:t>
      </w:r>
      <w:r>
        <w:rPr>
          <w:rFonts w:ascii="Calibri" w:cs="Calibri" w:eastAsia="Calibri" w:hAnsi="Calibri"/>
          <w:sz w:val="17"/>
          <w:szCs w:val="17"/>
          <w:color w:val="000000"/>
        </w:rPr>
        <w:t>A high degree of confidence that the quantities of oil and/or natural gas will be recovered.</w:t>
      </w:r>
    </w:p>
    <w:p>
      <w:pPr>
        <w:spacing w:after="0" w:line="243" w:lineRule="exact"/>
        <w:rPr>
          <w:sz w:val="20"/>
          <w:szCs w:val="20"/>
          <w:color w:val="auto"/>
        </w:rPr>
      </w:pPr>
    </w:p>
    <w:p>
      <w:pPr>
        <w:ind w:left="760" w:right="100" w:firstLine="241"/>
        <w:spacing w:after="0" w:line="256" w:lineRule="auto"/>
        <w:rPr>
          <w:sz w:val="20"/>
          <w:szCs w:val="20"/>
          <w:color w:val="auto"/>
        </w:rPr>
      </w:pPr>
      <w:r>
        <w:rPr>
          <w:rFonts w:ascii="Calibri" w:cs="Calibri" w:eastAsia="Calibri" w:hAnsi="Calibri"/>
          <w:sz w:val="19"/>
          <w:szCs w:val="19"/>
          <w:b w:val="1"/>
          <w:bCs w:val="1"/>
          <w:color w:val="214E93"/>
        </w:rPr>
        <w:t xml:space="preserve">Recompletion. </w:t>
      </w:r>
      <w:r>
        <w:rPr>
          <w:rFonts w:ascii="Calibri" w:cs="Calibri" w:eastAsia="Calibri" w:hAnsi="Calibri"/>
          <w:sz w:val="17"/>
          <w:szCs w:val="17"/>
          <w:color w:val="000000"/>
        </w:rPr>
        <w:t>Completing in the same wellbore to reach a new reservoir after production from the original reservoir has been</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abandoned.</w:t>
      </w:r>
    </w:p>
    <w:p>
      <w:pPr>
        <w:spacing w:after="0" w:line="206" w:lineRule="exact"/>
        <w:rPr>
          <w:sz w:val="20"/>
          <w:szCs w:val="20"/>
          <w:color w:val="auto"/>
        </w:rPr>
      </w:pPr>
    </w:p>
    <w:p>
      <w:pPr>
        <w:ind w:left="1000"/>
        <w:spacing w:after="0"/>
        <w:rPr>
          <w:sz w:val="20"/>
          <w:szCs w:val="20"/>
          <w:color w:val="auto"/>
        </w:rPr>
      </w:pPr>
      <w:r>
        <w:rPr>
          <w:rFonts w:ascii="Calibri" w:cs="Calibri" w:eastAsia="Calibri" w:hAnsi="Calibri"/>
          <w:sz w:val="19"/>
          <w:szCs w:val="19"/>
          <w:b w:val="1"/>
          <w:bCs w:val="1"/>
          <w:color w:val="214E93"/>
        </w:rPr>
        <w:t xml:space="preserve">Repeatability. </w:t>
      </w:r>
      <w:r>
        <w:rPr>
          <w:rFonts w:ascii="Calibri" w:cs="Calibri" w:eastAsia="Calibri" w:hAnsi="Calibri"/>
          <w:sz w:val="17"/>
          <w:szCs w:val="17"/>
          <w:color w:val="000000"/>
        </w:rPr>
        <w:t>The potential ability to drill multiple wells within a prospect or trend.</w:t>
      </w:r>
    </w:p>
    <w:p>
      <w:pPr>
        <w:spacing w:after="0" w:line="243" w:lineRule="exact"/>
        <w:rPr>
          <w:sz w:val="20"/>
          <w:szCs w:val="20"/>
          <w:color w:val="auto"/>
        </w:rPr>
      </w:pPr>
    </w:p>
    <w:p>
      <w:pPr>
        <w:ind w:left="760" w:right="140" w:firstLine="241"/>
        <w:spacing w:after="0" w:line="287" w:lineRule="auto"/>
        <w:rPr>
          <w:sz w:val="20"/>
          <w:szCs w:val="20"/>
          <w:color w:val="auto"/>
        </w:rPr>
      </w:pPr>
      <w:r>
        <w:rPr>
          <w:rFonts w:ascii="Calibri" w:cs="Calibri" w:eastAsia="Calibri" w:hAnsi="Calibri"/>
          <w:sz w:val="19"/>
          <w:szCs w:val="19"/>
          <w:b w:val="1"/>
          <w:bCs w:val="1"/>
          <w:color w:val="214E93"/>
        </w:rPr>
        <w:t xml:space="preserve">Reservoir. </w:t>
      </w:r>
      <w:r>
        <w:rPr>
          <w:rFonts w:ascii="Calibri" w:cs="Calibri" w:eastAsia="Calibri" w:hAnsi="Calibri"/>
          <w:sz w:val="17"/>
          <w:szCs w:val="17"/>
          <w:color w:val="000000"/>
        </w:rPr>
        <w:t>A porous and permeable underground formation containing a natural accumulation of producible oil and/or natural</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gas that is confined by impermeable rock or water barriers and is individual and separate from other reservoirs.</w:t>
      </w:r>
    </w:p>
    <w:p>
      <w:pPr>
        <w:spacing w:after="0" w:line="194" w:lineRule="exact"/>
        <w:rPr>
          <w:sz w:val="20"/>
          <w:szCs w:val="20"/>
          <w:color w:val="auto"/>
        </w:rPr>
      </w:pPr>
    </w:p>
    <w:p>
      <w:pPr>
        <w:ind w:left="760" w:right="100" w:firstLine="241"/>
        <w:spacing w:after="0" w:line="271" w:lineRule="auto"/>
        <w:rPr>
          <w:sz w:val="20"/>
          <w:szCs w:val="20"/>
          <w:color w:val="auto"/>
        </w:rPr>
      </w:pPr>
      <w:r>
        <w:rPr>
          <w:rFonts w:ascii="Calibri" w:cs="Calibri" w:eastAsia="Calibri" w:hAnsi="Calibri"/>
          <w:sz w:val="19"/>
          <w:szCs w:val="19"/>
          <w:b w:val="1"/>
          <w:bCs w:val="1"/>
          <w:color w:val="214E93"/>
        </w:rPr>
        <w:t xml:space="preserve">Reserves. </w:t>
      </w:r>
      <w:r>
        <w:rPr>
          <w:rFonts w:ascii="Calibri" w:cs="Calibri" w:eastAsia="Calibri" w:hAnsi="Calibri"/>
          <w:sz w:val="17"/>
          <w:szCs w:val="17"/>
          <w:color w:val="000000"/>
        </w:rPr>
        <w:t>Estimated remaining quantities of oil and gas and related substances anticipated to be economically producible, as of</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a given date, by application of development projects to known accumulations.</w:t>
      </w:r>
    </w:p>
    <w:p>
      <w:pPr>
        <w:spacing w:after="0" w:line="209" w:lineRule="exact"/>
        <w:rPr>
          <w:sz w:val="20"/>
          <w:szCs w:val="20"/>
          <w:color w:val="auto"/>
        </w:rPr>
      </w:pPr>
    </w:p>
    <w:p>
      <w:pPr>
        <w:ind w:left="760" w:firstLine="241"/>
        <w:spacing w:after="0" w:line="281" w:lineRule="auto"/>
        <w:rPr>
          <w:sz w:val="20"/>
          <w:szCs w:val="20"/>
          <w:color w:val="auto"/>
        </w:rPr>
      </w:pPr>
      <w:r>
        <w:rPr>
          <w:rFonts w:ascii="Calibri" w:cs="Calibri" w:eastAsia="Calibri" w:hAnsi="Calibri"/>
          <w:sz w:val="19"/>
          <w:szCs w:val="19"/>
          <w:b w:val="1"/>
          <w:bCs w:val="1"/>
          <w:color w:val="214E93"/>
        </w:rPr>
        <w:t xml:space="preserve">Royalty interest. </w:t>
      </w:r>
      <w:r>
        <w:rPr>
          <w:rFonts w:ascii="Calibri" w:cs="Calibri" w:eastAsia="Calibri" w:hAnsi="Calibri"/>
          <w:sz w:val="17"/>
          <w:szCs w:val="17"/>
          <w:color w:val="000000"/>
        </w:rPr>
        <w:t>An interest in an oil and natural gas lease that gives the owner of the interest the right to receive a portion of</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the production from the leased acreage (or of the proceeds of the sale thereof), but generally does not require the owner to pay any portion of the costs of drilling or operating the wells on the leased acreage. Royalties may be either landowner’s royalties, which are reserved by the owner of the leased acreage at the time the lease is granted, or overriding royalties, which are usually reserved by an owner of the leasehold in connection with a transfer to a subsequent owner.</w:t>
      </w:r>
    </w:p>
    <w:p>
      <w:pPr>
        <w:spacing w:after="0" w:line="206" w:lineRule="exact"/>
        <w:rPr>
          <w:sz w:val="20"/>
          <w:szCs w:val="20"/>
          <w:color w:val="auto"/>
        </w:rPr>
      </w:pPr>
    </w:p>
    <w:p>
      <w:pPr>
        <w:ind w:left="760" w:right="220" w:firstLine="241"/>
        <w:spacing w:after="0" w:line="256" w:lineRule="auto"/>
        <w:rPr>
          <w:sz w:val="20"/>
          <w:szCs w:val="20"/>
          <w:color w:val="auto"/>
        </w:rPr>
      </w:pPr>
      <w:r>
        <w:rPr>
          <w:rFonts w:ascii="Calibri" w:cs="Calibri" w:eastAsia="Calibri" w:hAnsi="Calibri"/>
          <w:sz w:val="19"/>
          <w:szCs w:val="19"/>
          <w:b w:val="1"/>
          <w:bCs w:val="1"/>
          <w:color w:val="214E93"/>
        </w:rPr>
        <w:t xml:space="preserve">2-D seismic. </w:t>
      </w:r>
      <w:r>
        <w:rPr>
          <w:rFonts w:ascii="Calibri" w:cs="Calibri" w:eastAsia="Calibri" w:hAnsi="Calibri"/>
          <w:sz w:val="17"/>
          <w:szCs w:val="17"/>
          <w:color w:val="000000"/>
        </w:rPr>
        <w:t>The method by which a cross-section of the earth’s subsurface is created through the interpretation of reflection</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seismic data collected along a single source profile.</w:t>
      </w:r>
    </w:p>
    <w:p>
      <w:pPr>
        <w:spacing w:after="0" w:line="224" w:lineRule="exact"/>
        <w:rPr>
          <w:sz w:val="20"/>
          <w:szCs w:val="20"/>
          <w:color w:val="auto"/>
        </w:rPr>
      </w:pPr>
    </w:p>
    <w:p>
      <w:pPr>
        <w:jc w:val="both"/>
        <w:ind w:left="760" w:right="100" w:firstLine="241"/>
        <w:spacing w:after="0" w:line="263" w:lineRule="auto"/>
        <w:rPr>
          <w:sz w:val="20"/>
          <w:szCs w:val="20"/>
          <w:color w:val="auto"/>
        </w:rPr>
      </w:pPr>
      <w:r>
        <w:rPr>
          <w:rFonts w:ascii="Calibri" w:cs="Calibri" w:eastAsia="Calibri" w:hAnsi="Calibri"/>
          <w:sz w:val="19"/>
          <w:szCs w:val="19"/>
          <w:b w:val="1"/>
          <w:bCs w:val="1"/>
          <w:color w:val="214E93"/>
        </w:rPr>
        <w:t xml:space="preserve">3-D seismic. </w:t>
      </w:r>
      <w:r>
        <w:rPr>
          <w:rFonts w:ascii="Calibri" w:cs="Calibri" w:eastAsia="Calibri" w:hAnsi="Calibri"/>
          <w:sz w:val="17"/>
          <w:szCs w:val="17"/>
          <w:color w:val="000000"/>
        </w:rPr>
        <w:t>The method by which a three-dimensional image of the earth’s subsurface is created through the interpretation of</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reflection seismic data collected over a surface grid. 3-D seismic surveys allow for a more detailed understanding of the subsurface than do 2-D seismic surveys and contribute significantly to field appraisal, exploitation and production.</w:t>
      </w:r>
    </w:p>
    <w:p>
      <w:pPr>
        <w:spacing w:after="0" w:line="200" w:lineRule="exact"/>
        <w:rPr>
          <w:sz w:val="20"/>
          <w:szCs w:val="20"/>
          <w:color w:val="auto"/>
        </w:rPr>
      </w:pPr>
    </w:p>
    <w:p>
      <w:pPr>
        <w:ind w:left="1000"/>
        <w:spacing w:after="0"/>
        <w:rPr>
          <w:sz w:val="20"/>
          <w:szCs w:val="20"/>
          <w:color w:val="auto"/>
        </w:rPr>
      </w:pPr>
      <w:r>
        <w:rPr>
          <w:rFonts w:ascii="Calibri" w:cs="Calibri" w:eastAsia="Calibri" w:hAnsi="Calibri"/>
          <w:sz w:val="19"/>
          <w:szCs w:val="19"/>
          <w:b w:val="1"/>
          <w:bCs w:val="1"/>
          <w:color w:val="214E93"/>
        </w:rPr>
        <w:t xml:space="preserve">Service well. </w:t>
      </w:r>
      <w:r>
        <w:rPr>
          <w:rFonts w:ascii="Calibri" w:cs="Calibri" w:eastAsia="Calibri" w:hAnsi="Calibri"/>
          <w:sz w:val="17"/>
          <w:szCs w:val="17"/>
          <w:color w:val="000000"/>
        </w:rPr>
        <w:t>A well drilled or completed for the purpose of supporting production in an existing field.</w:t>
      </w:r>
    </w:p>
    <w:p>
      <w:pPr>
        <w:spacing w:after="0" w:line="257" w:lineRule="exact"/>
        <w:rPr>
          <w:sz w:val="20"/>
          <w:szCs w:val="20"/>
          <w:color w:val="auto"/>
        </w:rPr>
      </w:pPr>
    </w:p>
    <w:p>
      <w:pPr>
        <w:ind w:left="760" w:right="440" w:firstLine="241"/>
        <w:spacing w:after="0" w:line="263" w:lineRule="auto"/>
        <w:rPr>
          <w:sz w:val="20"/>
          <w:szCs w:val="20"/>
          <w:color w:val="auto"/>
        </w:rPr>
      </w:pPr>
      <w:r>
        <w:rPr>
          <w:rFonts w:ascii="Calibri" w:cs="Calibri" w:eastAsia="Calibri" w:hAnsi="Calibri"/>
          <w:sz w:val="19"/>
          <w:szCs w:val="19"/>
          <w:b w:val="1"/>
          <w:bCs w:val="1"/>
          <w:color w:val="214E93"/>
        </w:rPr>
        <w:t xml:space="preserve">Simul-Frac (Simultaneous Fracturing). </w:t>
      </w:r>
      <w:r>
        <w:rPr>
          <w:rFonts w:ascii="Calibri" w:cs="Calibri" w:eastAsia="Calibri" w:hAnsi="Calibri"/>
          <w:sz w:val="17"/>
          <w:szCs w:val="17"/>
          <w:color w:val="000000"/>
        </w:rPr>
        <w:t>Simul-Frac is a hydraulic fracturing technique in which two wells are fractured</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simultaneously using one hydraulic fracturing fleet. This differs from traditional zipper-frac where only one well is hydraulically stimulated.</w:t>
      </w:r>
    </w:p>
    <w:p>
      <w:pPr>
        <w:spacing w:after="0" w:line="200" w:lineRule="exact"/>
        <w:rPr>
          <w:sz w:val="20"/>
          <w:szCs w:val="20"/>
          <w:color w:val="auto"/>
        </w:rPr>
      </w:pPr>
    </w:p>
    <w:p>
      <w:pPr>
        <w:ind w:left="1000"/>
        <w:spacing w:after="0"/>
        <w:rPr>
          <w:sz w:val="20"/>
          <w:szCs w:val="20"/>
          <w:color w:val="auto"/>
        </w:rPr>
      </w:pPr>
      <w:r>
        <w:rPr>
          <w:rFonts w:ascii="Calibri" w:cs="Calibri" w:eastAsia="Calibri" w:hAnsi="Calibri"/>
          <w:sz w:val="19"/>
          <w:szCs w:val="19"/>
          <w:b w:val="1"/>
          <w:bCs w:val="1"/>
          <w:color w:val="214E93"/>
        </w:rPr>
        <w:t xml:space="preserve">Spud. </w:t>
      </w:r>
      <w:r>
        <w:rPr>
          <w:rFonts w:ascii="Calibri" w:cs="Calibri" w:eastAsia="Calibri" w:hAnsi="Calibri"/>
          <w:sz w:val="17"/>
          <w:szCs w:val="17"/>
          <w:color w:val="000000"/>
        </w:rPr>
        <w:t>The act of beginning to drill an oil or natural gas well.</w:t>
      </w:r>
    </w:p>
    <w:p>
      <w:pPr>
        <w:sectPr>
          <w:pgSz w:w="11880" w:h="15480" w:orient="portrait"/>
          <w:cols w:equalWidth="0" w:num="1">
            <w:col w:w="10300"/>
          </w:cols>
          <w:pgMar w:left="400" w:top="49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0"/>
        <w:spacing w:after="0"/>
        <w:rPr>
          <w:sz w:val="20"/>
          <w:szCs w:val="20"/>
          <w:color w:val="auto"/>
        </w:rPr>
      </w:pPr>
      <w:r>
        <w:rPr>
          <w:rFonts w:ascii="Calibri" w:cs="Calibri" w:eastAsia="Calibri" w:hAnsi="Calibri"/>
          <w:sz w:val="17"/>
          <w:szCs w:val="17"/>
          <w:color w:val="auto"/>
        </w:rPr>
        <w:t>Glossary of Oil and Natural Gas Terms FORM 10-K</w:t>
      </w:r>
    </w:p>
    <w:p>
      <w:pPr>
        <w:sectPr>
          <w:pgSz w:w="11880" w:h="15480" w:orient="portrait"/>
          <w:cols w:equalWidth="0" w:num="1">
            <w:col w:w="10300"/>
          </w:cols>
          <w:pgMar w:left="400" w:top="498" w:right="1180" w:bottom="0" w:gutter="0" w:footer="0" w:header="0"/>
          <w:type w:val="continuous"/>
        </w:sectPr>
      </w:pPr>
    </w:p>
    <w:bookmarkStart w:id="130" w:name="page131"/>
    <w:bookmarkEnd w:id="130"/>
    <w:tbl>
      <w:tblPr>
        <w:tblLayout w:type="fixed"/>
        <w:tblInd w:w="7880" w:type="dxa"/>
        <w:tblCellMar>
          <w:top w:w="0" w:type="dxa"/>
          <w:left w:w="0" w:type="dxa"/>
          <w:bottom w:w="0" w:type="dxa"/>
          <w:right w:w="0" w:type="dxa"/>
        </w:tblCellMar>
      </w:tblPr>
      <w:tr>
        <w:trPr>
          <w:trHeight w:val="220"/>
        </w:trPr>
        <w:tc>
          <w:tcPr>
            <w:tcW w:w="190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540" w:type="dxa"/>
            <w:vAlign w:val="bottom"/>
          </w:tcPr>
          <w:p>
            <w:pPr>
              <w:jc w:val="right"/>
              <w:spacing w:after="0"/>
              <w:rPr>
                <w:sz w:val="20"/>
                <w:szCs w:val="20"/>
                <w:color w:val="auto"/>
              </w:rPr>
            </w:pPr>
            <w:r>
              <w:rPr>
                <w:rFonts w:ascii="Calibri" w:cs="Calibri" w:eastAsia="Calibri" w:hAnsi="Calibri"/>
                <w:sz w:val="18"/>
                <w:szCs w:val="18"/>
                <w:color w:val="auto"/>
              </w:rPr>
              <w:t>117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61" o:spid="_x0000_s12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62" o:spid="_x0000_s12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40"/>
        <w:spacing w:after="0"/>
        <w:rPr>
          <w:sz w:val="20"/>
          <w:szCs w:val="20"/>
          <w:color w:val="auto"/>
        </w:rPr>
      </w:pPr>
      <w:r>
        <w:rPr>
          <w:rFonts w:ascii="Calibri" w:cs="Calibri" w:eastAsia="Calibri" w:hAnsi="Calibri"/>
          <w:sz w:val="19"/>
          <w:szCs w:val="19"/>
          <w:b w:val="1"/>
          <w:bCs w:val="1"/>
          <w:color w:val="214E93"/>
        </w:rPr>
        <w:t xml:space="preserve">Stratigraphic test well. </w:t>
      </w:r>
      <w:r>
        <w:rPr>
          <w:rFonts w:ascii="Calibri" w:cs="Calibri" w:eastAsia="Calibri" w:hAnsi="Calibri"/>
          <w:sz w:val="17"/>
          <w:szCs w:val="17"/>
          <w:color w:val="000000"/>
        </w:rPr>
        <w:t>A drilling effort, geologically directed, to obtain information pertaining to specific geologic condition.</w:t>
      </w:r>
    </w:p>
    <w:p>
      <w:pPr>
        <w:spacing w:after="0" w:line="239" w:lineRule="exact"/>
        <w:rPr>
          <w:sz w:val="20"/>
          <w:szCs w:val="20"/>
          <w:color w:val="auto"/>
        </w:rPr>
      </w:pPr>
    </w:p>
    <w:p>
      <w:pPr>
        <w:ind w:left="240"/>
        <w:spacing w:after="0"/>
        <w:rPr>
          <w:sz w:val="20"/>
          <w:szCs w:val="20"/>
          <w:color w:val="auto"/>
        </w:rPr>
      </w:pPr>
      <w:r>
        <w:rPr>
          <w:rFonts w:ascii="Calibri" w:cs="Calibri" w:eastAsia="Calibri" w:hAnsi="Calibri"/>
          <w:sz w:val="19"/>
          <w:szCs w:val="19"/>
          <w:b w:val="1"/>
          <w:bCs w:val="1"/>
          <w:color w:val="214E93"/>
        </w:rPr>
        <w:t xml:space="preserve">Tcf. </w:t>
      </w:r>
      <w:r>
        <w:rPr>
          <w:rFonts w:ascii="Calibri" w:cs="Calibri" w:eastAsia="Calibri" w:hAnsi="Calibri"/>
          <w:sz w:val="17"/>
          <w:szCs w:val="17"/>
          <w:color w:val="000000"/>
        </w:rPr>
        <w:t>One trillion cubic feet of natural gas.</w:t>
      </w:r>
    </w:p>
    <w:p>
      <w:pPr>
        <w:spacing w:after="0" w:line="225" w:lineRule="exact"/>
        <w:rPr>
          <w:sz w:val="20"/>
          <w:szCs w:val="20"/>
          <w:color w:val="auto"/>
        </w:rPr>
      </w:pPr>
    </w:p>
    <w:p>
      <w:pPr>
        <w:ind w:left="240"/>
        <w:spacing w:after="0"/>
        <w:rPr>
          <w:sz w:val="20"/>
          <w:szCs w:val="20"/>
          <w:color w:val="auto"/>
        </w:rPr>
      </w:pPr>
      <w:r>
        <w:rPr>
          <w:rFonts w:ascii="Calibri" w:cs="Calibri" w:eastAsia="Calibri" w:hAnsi="Calibri"/>
          <w:sz w:val="19"/>
          <w:szCs w:val="19"/>
          <w:b w:val="1"/>
          <w:bCs w:val="1"/>
          <w:color w:val="214E93"/>
        </w:rPr>
        <w:t xml:space="preserve">Throughput. </w:t>
      </w:r>
      <w:r>
        <w:rPr>
          <w:rFonts w:ascii="Calibri" w:cs="Calibri" w:eastAsia="Calibri" w:hAnsi="Calibri"/>
          <w:sz w:val="17"/>
          <w:szCs w:val="17"/>
          <w:color w:val="000000"/>
        </w:rPr>
        <w:t>The volume of product transported or passing through a pipeline, plant or other facility.</w:t>
      </w:r>
    </w:p>
    <w:p>
      <w:pPr>
        <w:spacing w:after="0" w:line="257" w:lineRule="exact"/>
        <w:rPr>
          <w:sz w:val="20"/>
          <w:szCs w:val="20"/>
          <w:color w:val="auto"/>
        </w:rPr>
      </w:pPr>
    </w:p>
    <w:p>
      <w:pPr>
        <w:ind w:right="1360" w:firstLine="241"/>
        <w:spacing w:after="0" w:line="271" w:lineRule="auto"/>
        <w:rPr>
          <w:sz w:val="20"/>
          <w:szCs w:val="20"/>
          <w:color w:val="auto"/>
        </w:rPr>
      </w:pPr>
      <w:r>
        <w:rPr>
          <w:rFonts w:ascii="Calibri" w:cs="Calibri" w:eastAsia="Calibri" w:hAnsi="Calibri"/>
          <w:sz w:val="19"/>
          <w:szCs w:val="19"/>
          <w:b w:val="1"/>
          <w:bCs w:val="1"/>
          <w:color w:val="214E93"/>
        </w:rPr>
        <w:t xml:space="preserve">Trend. </w:t>
      </w:r>
      <w:r>
        <w:rPr>
          <w:rFonts w:ascii="Calibri" w:cs="Calibri" w:eastAsia="Calibri" w:hAnsi="Calibri"/>
          <w:sz w:val="17"/>
          <w:szCs w:val="17"/>
          <w:color w:val="000000"/>
        </w:rPr>
        <w:t>A region of oil and/or natural gas production, the geographic limits of which have not been fully defined, having</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geological characteristics that have been ascertained through supporting geological, geophysical or other data to contain the potential for oil and/or natural gas reserves in a particular formation or series of formations.</w:t>
      </w:r>
    </w:p>
    <w:p>
      <w:pPr>
        <w:spacing w:after="0" w:line="209" w:lineRule="exact"/>
        <w:rPr>
          <w:sz w:val="20"/>
          <w:szCs w:val="20"/>
          <w:color w:val="auto"/>
        </w:rPr>
      </w:pPr>
    </w:p>
    <w:p>
      <w:pPr>
        <w:ind w:right="840" w:firstLine="241"/>
        <w:spacing w:after="0" w:line="263" w:lineRule="auto"/>
        <w:rPr>
          <w:sz w:val="20"/>
          <w:szCs w:val="20"/>
          <w:color w:val="auto"/>
        </w:rPr>
      </w:pPr>
      <w:r>
        <w:rPr>
          <w:rFonts w:ascii="Calibri" w:cs="Calibri" w:eastAsia="Calibri" w:hAnsi="Calibri"/>
          <w:sz w:val="19"/>
          <w:szCs w:val="19"/>
          <w:b w:val="1"/>
          <w:bCs w:val="1"/>
          <w:color w:val="214E93"/>
        </w:rPr>
        <w:t xml:space="preserve">Trimul-Frac (Triple Simultaneous Fracturing). </w:t>
      </w:r>
      <w:r>
        <w:rPr>
          <w:rFonts w:ascii="Calibri" w:cs="Calibri" w:eastAsia="Calibri" w:hAnsi="Calibri"/>
          <w:sz w:val="17"/>
          <w:szCs w:val="17"/>
          <w:color w:val="000000"/>
        </w:rPr>
        <w:t>Trimul-Frac is an advanced hydraulic fracturing technique where three wells are</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fractured simultaneously using one hydraulic fracturing fleet. While similar to Simul-Frac in terms of treating multiple wells simultaneously, Trimul-Frac stimulates three wells versus two.</w:t>
      </w:r>
    </w:p>
    <w:p>
      <w:pPr>
        <w:spacing w:after="0" w:line="218" w:lineRule="exact"/>
        <w:rPr>
          <w:sz w:val="20"/>
          <w:szCs w:val="20"/>
          <w:color w:val="auto"/>
        </w:rPr>
      </w:pPr>
    </w:p>
    <w:p>
      <w:pPr>
        <w:jc w:val="both"/>
        <w:ind w:right="1060" w:firstLine="241"/>
        <w:spacing w:after="0" w:line="271" w:lineRule="auto"/>
        <w:rPr>
          <w:sz w:val="20"/>
          <w:szCs w:val="20"/>
          <w:color w:val="auto"/>
        </w:rPr>
      </w:pPr>
      <w:r>
        <w:rPr>
          <w:rFonts w:ascii="Calibri" w:cs="Calibri" w:eastAsia="Calibri" w:hAnsi="Calibri"/>
          <w:sz w:val="19"/>
          <w:szCs w:val="19"/>
          <w:b w:val="1"/>
          <w:bCs w:val="1"/>
          <w:color w:val="214E93"/>
        </w:rPr>
        <w:t xml:space="preserve">Unconventional resource play. </w:t>
      </w:r>
      <w:r>
        <w:rPr>
          <w:rFonts w:ascii="Calibri" w:cs="Calibri" w:eastAsia="Calibri" w:hAnsi="Calibri"/>
          <w:sz w:val="17"/>
          <w:szCs w:val="17"/>
          <w:color w:val="000000"/>
        </w:rPr>
        <w:t>A set of known or postulated oil and or natural gas resources or reserves warranting further</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exploration which are extracted from (i) low-permeability sandstone and shale formations and (ii) coalbed methane. These plays require the application of advanced technology to extract the oil and natural gas resources.</w:t>
      </w:r>
    </w:p>
    <w:p>
      <w:pPr>
        <w:spacing w:after="0" w:line="209" w:lineRule="exact"/>
        <w:rPr>
          <w:sz w:val="20"/>
          <w:szCs w:val="20"/>
          <w:color w:val="auto"/>
        </w:rPr>
      </w:pPr>
    </w:p>
    <w:p>
      <w:pPr>
        <w:ind w:right="1260" w:firstLine="241"/>
        <w:spacing w:after="0" w:line="263" w:lineRule="auto"/>
        <w:rPr>
          <w:sz w:val="20"/>
          <w:szCs w:val="20"/>
          <w:color w:val="auto"/>
        </w:rPr>
      </w:pPr>
      <w:r>
        <w:rPr>
          <w:rFonts w:ascii="Calibri" w:cs="Calibri" w:eastAsia="Calibri" w:hAnsi="Calibri"/>
          <w:sz w:val="19"/>
          <w:szCs w:val="19"/>
          <w:b w:val="1"/>
          <w:bCs w:val="1"/>
          <w:color w:val="214E93"/>
        </w:rPr>
        <w:t xml:space="preserve">Undeveloped acreage. </w:t>
      </w:r>
      <w:r>
        <w:rPr>
          <w:rFonts w:ascii="Calibri" w:cs="Calibri" w:eastAsia="Calibri" w:hAnsi="Calibri"/>
          <w:sz w:val="17"/>
          <w:szCs w:val="17"/>
          <w:color w:val="000000"/>
        </w:rPr>
        <w:t>Lease acreage on which wells have not been drilled or completed to a point that would permit the</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production of commercial quantities of oil and natural gas, regardless of whether such acreage contains proved reserves. Undeveloped acreage is usually considered to be all acreage that is not allocated or assignable to productive wells.</w:t>
      </w:r>
    </w:p>
    <w:p>
      <w:pPr>
        <w:spacing w:after="0" w:line="218" w:lineRule="exact"/>
        <w:rPr>
          <w:sz w:val="20"/>
          <w:szCs w:val="20"/>
          <w:color w:val="auto"/>
        </w:rPr>
      </w:pPr>
    </w:p>
    <w:p>
      <w:pPr>
        <w:ind w:right="940" w:firstLine="241"/>
        <w:spacing w:after="0" w:line="242" w:lineRule="auto"/>
        <w:rPr>
          <w:sz w:val="20"/>
          <w:szCs w:val="20"/>
          <w:color w:val="auto"/>
        </w:rPr>
      </w:pPr>
      <w:r>
        <w:rPr>
          <w:rFonts w:ascii="Calibri" w:cs="Calibri" w:eastAsia="Calibri" w:hAnsi="Calibri"/>
          <w:sz w:val="19"/>
          <w:szCs w:val="19"/>
          <w:b w:val="1"/>
          <w:bCs w:val="1"/>
          <w:color w:val="214E93"/>
        </w:rPr>
        <w:t xml:space="preserve">Unproved and unevaluated properties. </w:t>
      </w:r>
      <w:r>
        <w:rPr>
          <w:rFonts w:ascii="Calibri" w:cs="Calibri" w:eastAsia="Calibri" w:hAnsi="Calibri"/>
          <w:sz w:val="17"/>
          <w:szCs w:val="17"/>
          <w:color w:val="000000"/>
        </w:rPr>
        <w:t>Properties where no drilling or other actions have been undertaken that permit such</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properties to be classified as proved and to which no proved reserves have been assigned.</w:t>
      </w:r>
    </w:p>
    <w:p>
      <w:pPr>
        <w:spacing w:after="0" w:line="220" w:lineRule="exact"/>
        <w:rPr>
          <w:sz w:val="20"/>
          <w:szCs w:val="20"/>
          <w:color w:val="auto"/>
        </w:rPr>
      </w:pPr>
    </w:p>
    <w:p>
      <w:pPr>
        <w:ind w:left="240"/>
        <w:spacing w:after="0"/>
        <w:rPr>
          <w:sz w:val="20"/>
          <w:szCs w:val="20"/>
          <w:color w:val="auto"/>
        </w:rPr>
      </w:pPr>
      <w:r>
        <w:rPr>
          <w:rFonts w:ascii="Calibri" w:cs="Calibri" w:eastAsia="Calibri" w:hAnsi="Calibri"/>
          <w:sz w:val="19"/>
          <w:szCs w:val="19"/>
          <w:b w:val="1"/>
          <w:bCs w:val="1"/>
          <w:color w:val="214E93"/>
        </w:rPr>
        <w:t xml:space="preserve">Vertical well. </w:t>
      </w:r>
      <w:r>
        <w:rPr>
          <w:rFonts w:ascii="Calibri" w:cs="Calibri" w:eastAsia="Calibri" w:hAnsi="Calibri"/>
          <w:sz w:val="17"/>
          <w:szCs w:val="17"/>
          <w:color w:val="000000"/>
        </w:rPr>
        <w:t>A hole drilled vertically into the earth from which oil, natural gas or water flows or is pumped.</w:t>
      </w:r>
    </w:p>
    <w:p>
      <w:pPr>
        <w:spacing w:after="0" w:line="243" w:lineRule="exact"/>
        <w:rPr>
          <w:sz w:val="20"/>
          <w:szCs w:val="20"/>
          <w:color w:val="auto"/>
        </w:rPr>
      </w:pPr>
    </w:p>
    <w:p>
      <w:pPr>
        <w:ind w:right="1160" w:firstLine="241"/>
        <w:spacing w:after="0" w:line="256" w:lineRule="auto"/>
        <w:rPr>
          <w:sz w:val="20"/>
          <w:szCs w:val="20"/>
          <w:color w:val="auto"/>
        </w:rPr>
      </w:pPr>
      <w:r>
        <w:rPr>
          <w:rFonts w:ascii="Calibri" w:cs="Calibri" w:eastAsia="Calibri" w:hAnsi="Calibri"/>
          <w:sz w:val="19"/>
          <w:szCs w:val="19"/>
          <w:b w:val="1"/>
          <w:bCs w:val="1"/>
          <w:color w:val="214E93"/>
        </w:rPr>
        <w:t xml:space="preserve">Visualization. </w:t>
      </w:r>
      <w:r>
        <w:rPr>
          <w:rFonts w:ascii="Calibri" w:cs="Calibri" w:eastAsia="Calibri" w:hAnsi="Calibri"/>
          <w:sz w:val="17"/>
          <w:szCs w:val="17"/>
          <w:color w:val="000000"/>
        </w:rPr>
        <w:t>An exploration technique in which the size and shape of subsurface features are mapped and analyzed based</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upon information derived from well logs, seismic data and other well information.</w:t>
      </w:r>
    </w:p>
    <w:p>
      <w:pPr>
        <w:spacing w:after="0" w:line="224" w:lineRule="exact"/>
        <w:rPr>
          <w:sz w:val="20"/>
          <w:szCs w:val="20"/>
          <w:color w:val="auto"/>
        </w:rPr>
      </w:pPr>
    </w:p>
    <w:p>
      <w:pPr>
        <w:ind w:right="1160" w:firstLine="241"/>
        <w:spacing w:after="0" w:line="271" w:lineRule="auto"/>
        <w:rPr>
          <w:sz w:val="20"/>
          <w:szCs w:val="20"/>
          <w:color w:val="auto"/>
        </w:rPr>
      </w:pPr>
      <w:r>
        <w:rPr>
          <w:rFonts w:ascii="Calibri" w:cs="Calibri" w:eastAsia="Calibri" w:hAnsi="Calibri"/>
          <w:sz w:val="19"/>
          <w:szCs w:val="19"/>
          <w:b w:val="1"/>
          <w:bCs w:val="1"/>
          <w:color w:val="214E93"/>
        </w:rPr>
        <w:t xml:space="preserve">Volumetric reserves analysis. </w:t>
      </w:r>
      <w:r>
        <w:rPr>
          <w:rFonts w:ascii="Calibri" w:cs="Calibri" w:eastAsia="Calibri" w:hAnsi="Calibri"/>
          <w:sz w:val="17"/>
          <w:szCs w:val="17"/>
          <w:color w:val="000000"/>
        </w:rPr>
        <w:t>A technique used to estimate the amount of recoverable oil and natural gas. It involves</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calculating the volume of reservoir rock and adjusting that volume for rock porosity, hydrocarbon saturation, formation volume factor and recovery factor.</w:t>
      </w:r>
    </w:p>
    <w:p>
      <w:pPr>
        <w:spacing w:after="0" w:line="191" w:lineRule="exact"/>
        <w:rPr>
          <w:sz w:val="20"/>
          <w:szCs w:val="20"/>
          <w:color w:val="auto"/>
        </w:rPr>
      </w:pPr>
    </w:p>
    <w:p>
      <w:pPr>
        <w:ind w:left="240"/>
        <w:spacing w:after="0"/>
        <w:rPr>
          <w:sz w:val="20"/>
          <w:szCs w:val="20"/>
          <w:color w:val="auto"/>
        </w:rPr>
      </w:pPr>
      <w:r>
        <w:rPr>
          <w:rFonts w:ascii="Calibri" w:cs="Calibri" w:eastAsia="Calibri" w:hAnsi="Calibri"/>
          <w:sz w:val="19"/>
          <w:szCs w:val="19"/>
          <w:b w:val="1"/>
          <w:bCs w:val="1"/>
          <w:color w:val="214E93"/>
        </w:rPr>
        <w:t xml:space="preserve">WTI. </w:t>
      </w:r>
      <w:r>
        <w:rPr>
          <w:rFonts w:ascii="Calibri" w:cs="Calibri" w:eastAsia="Calibri" w:hAnsi="Calibri"/>
          <w:sz w:val="17"/>
          <w:szCs w:val="17"/>
          <w:color w:val="000000"/>
        </w:rPr>
        <w:t>West Texas Intermediate.</w:t>
      </w:r>
    </w:p>
    <w:p>
      <w:pPr>
        <w:spacing w:after="0" w:line="225" w:lineRule="exact"/>
        <w:rPr>
          <w:sz w:val="20"/>
          <w:szCs w:val="20"/>
          <w:color w:val="auto"/>
        </w:rPr>
      </w:pPr>
    </w:p>
    <w:p>
      <w:pPr>
        <w:ind w:left="240"/>
        <w:spacing w:after="0"/>
        <w:rPr>
          <w:sz w:val="20"/>
          <w:szCs w:val="20"/>
          <w:color w:val="auto"/>
        </w:rPr>
      </w:pPr>
      <w:r>
        <w:rPr>
          <w:rFonts w:ascii="Calibri" w:cs="Calibri" w:eastAsia="Calibri" w:hAnsi="Calibri"/>
          <w:sz w:val="19"/>
          <w:szCs w:val="19"/>
          <w:b w:val="1"/>
          <w:bCs w:val="1"/>
          <w:color w:val="214E93"/>
        </w:rPr>
        <w:t xml:space="preserve">Wellbore. </w:t>
      </w:r>
      <w:r>
        <w:rPr>
          <w:rFonts w:ascii="Calibri" w:cs="Calibri" w:eastAsia="Calibri" w:hAnsi="Calibri"/>
          <w:sz w:val="17"/>
          <w:szCs w:val="17"/>
          <w:color w:val="000000"/>
        </w:rPr>
        <w:t>The hole made by a well.</w:t>
      </w:r>
    </w:p>
    <w:p>
      <w:pPr>
        <w:spacing w:after="0" w:line="257" w:lineRule="exact"/>
        <w:rPr>
          <w:sz w:val="20"/>
          <w:szCs w:val="20"/>
          <w:color w:val="auto"/>
        </w:rPr>
      </w:pPr>
    </w:p>
    <w:p>
      <w:pPr>
        <w:ind w:right="860" w:firstLine="241"/>
        <w:spacing w:after="0" w:line="242" w:lineRule="auto"/>
        <w:rPr>
          <w:sz w:val="20"/>
          <w:szCs w:val="20"/>
          <w:color w:val="auto"/>
        </w:rPr>
      </w:pPr>
      <w:r>
        <w:rPr>
          <w:rFonts w:ascii="Calibri" w:cs="Calibri" w:eastAsia="Calibri" w:hAnsi="Calibri"/>
          <w:sz w:val="19"/>
          <w:szCs w:val="19"/>
          <w:b w:val="1"/>
          <w:bCs w:val="1"/>
          <w:color w:val="214E93"/>
        </w:rPr>
        <w:t xml:space="preserve">Working interest. </w:t>
      </w:r>
      <w:r>
        <w:rPr>
          <w:rFonts w:ascii="Calibri" w:cs="Calibri" w:eastAsia="Calibri" w:hAnsi="Calibri"/>
          <w:sz w:val="17"/>
          <w:szCs w:val="17"/>
          <w:color w:val="000000"/>
        </w:rPr>
        <w:t>The operating interest that gives the owner the right to drill, produce and conduct operating activities on the</w:t>
      </w:r>
      <w:r>
        <w:rPr>
          <w:rFonts w:ascii="Calibri" w:cs="Calibri" w:eastAsia="Calibri" w:hAnsi="Calibri"/>
          <w:sz w:val="19"/>
          <w:szCs w:val="19"/>
          <w:b w:val="1"/>
          <w:bCs w:val="1"/>
          <w:color w:val="214E93"/>
        </w:rPr>
        <w:t xml:space="preserve"> </w:t>
      </w:r>
      <w:r>
        <w:rPr>
          <w:rFonts w:ascii="Calibri" w:cs="Calibri" w:eastAsia="Calibri" w:hAnsi="Calibri"/>
          <w:sz w:val="17"/>
          <w:szCs w:val="17"/>
          <w:color w:val="000000"/>
        </w:rPr>
        <w:t>property and receive a share of production.</w:t>
      </w:r>
    </w:p>
    <w:p>
      <w:pPr>
        <w:sectPr>
          <w:pgSz w:w="11880" w:h="15480" w:orient="portrait"/>
          <w:cols w:equalWidth="0" w:num="1">
            <w:col w:w="10320"/>
          </w:cols>
          <w:pgMar w:left="1160" w:top="498"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60"/>
        <w:spacing w:after="0"/>
        <w:rPr>
          <w:sz w:val="20"/>
          <w:szCs w:val="20"/>
          <w:color w:val="auto"/>
        </w:rPr>
      </w:pPr>
      <w:r>
        <w:rPr>
          <w:rFonts w:ascii="Calibri" w:cs="Calibri" w:eastAsia="Calibri" w:hAnsi="Calibri"/>
          <w:sz w:val="17"/>
          <w:szCs w:val="17"/>
          <w:color w:val="auto"/>
        </w:rPr>
        <w:t>Glossary of Oil and Natural Gas Terms FORM 10-K</w:t>
      </w:r>
    </w:p>
    <w:p>
      <w:pPr>
        <w:sectPr>
          <w:pgSz w:w="11880" w:h="15480" w:orient="portrait"/>
          <w:cols w:equalWidth="0" w:num="1">
            <w:col w:w="10320"/>
          </w:cols>
          <w:pgMar w:left="1160" w:top="498" w:right="400" w:bottom="0" w:gutter="0" w:footer="0" w:header="0"/>
          <w:type w:val="continuous"/>
        </w:sectPr>
      </w:pPr>
    </w:p>
    <w:bookmarkStart w:id="131" w:name="page132"/>
    <w:bookmarkEnd w:id="131"/>
    <w:p>
      <w:pPr>
        <w:spacing w:after="0"/>
        <w:tabs>
          <w:tab w:leader="none" w:pos="760" w:val="left"/>
        </w:tabs>
        <w:rPr>
          <w:sz w:val="20"/>
          <w:szCs w:val="20"/>
          <w:color w:val="auto"/>
        </w:rPr>
      </w:pPr>
      <w:r>
        <w:rPr>
          <w:rFonts w:ascii="Calibri" w:cs="Calibri" w:eastAsia="Calibri" w:hAnsi="Calibri"/>
          <w:sz w:val="18"/>
          <w:szCs w:val="18"/>
          <w:color w:val="auto"/>
        </w:rPr>
        <w:t>F-1</w:t>
      </w:r>
      <w:r>
        <w:rPr>
          <w:sz w:val="20"/>
          <w:szCs w:val="20"/>
          <w:color w:val="auto"/>
        </w:rPr>
        <w:tab/>
      </w:r>
      <w:r>
        <w:rPr>
          <w:rFonts w:ascii="Calibri" w:cs="Calibri" w:eastAsia="Calibri" w:hAnsi="Calibri"/>
          <w:sz w:val="17"/>
          <w:szCs w:val="17"/>
          <w:color w:val="auto"/>
        </w:rPr>
        <w:t>MATADOR RESOURCES COMPANY</w:t>
      </w:r>
    </w:p>
    <w:p>
      <w:pPr>
        <w:spacing w:after="0" w:line="235" w:lineRule="exact"/>
        <w:rPr>
          <w:sz w:val="20"/>
          <w:szCs w:val="20"/>
          <w:color w:val="auto"/>
        </w:rPr>
      </w:pPr>
    </w:p>
    <w:p>
      <w:pPr>
        <w:ind w:left="780"/>
        <w:spacing w:after="0"/>
        <w:rPr>
          <w:sz w:val="20"/>
          <w:szCs w:val="20"/>
          <w:color w:val="auto"/>
        </w:rPr>
      </w:pPr>
      <w:r>
        <w:rPr>
          <w:rFonts w:ascii="Verdana" w:cs="Verdana" w:eastAsia="Verdana" w:hAnsi="Verdana"/>
          <w:sz w:val="20"/>
          <w:szCs w:val="20"/>
          <w:color w:val="214E93"/>
        </w:rPr>
        <w:t>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464820</wp:posOffset>
                </wp:positionH>
                <wp:positionV relativeFrom="paragraph">
                  <wp:posOffset>17145</wp:posOffset>
                </wp:positionV>
                <wp:extent cx="6812280" cy="0"/>
                <wp:wrapNone/>
                <wp:docPr id="263" name="Shape 2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63" o:spid="_x0000_s12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pt,1.35pt" to="573pt,1.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464820</wp:posOffset>
                </wp:positionH>
                <wp:positionV relativeFrom="paragraph">
                  <wp:posOffset>17145</wp:posOffset>
                </wp:positionV>
                <wp:extent cx="6812280" cy="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64" o:spid="_x0000_s12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pt,1.35pt" to="573pt,1.35pt" o:allowincell="f" strokecolor="#214E93" strokeweight="1pt"/>
            </w:pict>
          </mc:Fallback>
        </mc:AlternateContent>
      </w:r>
    </w:p>
    <w:p>
      <w:pPr>
        <w:spacing w:after="0" w:line="138" w:lineRule="exact"/>
        <w:rPr>
          <w:sz w:val="20"/>
          <w:szCs w:val="20"/>
          <w:color w:val="auto"/>
        </w:rPr>
      </w:pPr>
    </w:p>
    <w:p>
      <w:pPr>
        <w:ind w:left="740"/>
        <w:spacing w:after="0"/>
        <w:rPr>
          <w:sz w:val="20"/>
          <w:szCs w:val="20"/>
          <w:color w:val="auto"/>
        </w:rPr>
      </w:pPr>
      <w:r>
        <w:rPr>
          <w:rFonts w:ascii="Verdana" w:cs="Verdana" w:eastAsia="Verdana" w:hAnsi="Verdana"/>
          <w:sz w:val="21"/>
          <w:szCs w:val="21"/>
          <w:color w:val="214E93"/>
        </w:rPr>
        <w:t>MATADOR RESOURCES COMPANY AND SUBSIDIARIES</w:t>
      </w:r>
    </w:p>
    <w:p>
      <w:pPr>
        <w:spacing w:after="0" w:line="55" w:lineRule="exact"/>
        <w:rPr>
          <w:sz w:val="20"/>
          <w:szCs w:val="20"/>
          <w:color w:val="auto"/>
        </w:rPr>
      </w:pPr>
    </w:p>
    <w:p>
      <w:pPr>
        <w:ind w:left="740"/>
        <w:spacing w:after="0"/>
        <w:rPr>
          <w:sz w:val="20"/>
          <w:szCs w:val="20"/>
          <w:color w:val="auto"/>
        </w:rPr>
      </w:pPr>
      <w:r>
        <w:rPr>
          <w:rFonts w:ascii="Verdana" w:cs="Verdana" w:eastAsia="Verdana" w:hAnsi="Verdana"/>
          <w:sz w:val="20"/>
          <w:szCs w:val="20"/>
          <w:color w:val="214E93"/>
        </w:rPr>
        <w:t>December 31, 2025, 2024 and 2023</w:t>
      </w:r>
    </w:p>
    <w:p>
      <w:pPr>
        <w:spacing w:after="0" w:line="290" w:lineRule="exact"/>
        <w:rPr>
          <w:sz w:val="20"/>
          <w:szCs w:val="20"/>
          <w:color w:val="auto"/>
        </w:rPr>
      </w:pPr>
    </w:p>
    <w:tbl>
      <w:tblPr>
        <w:tblLayout w:type="fixed"/>
        <w:tblInd w:w="740" w:type="dxa"/>
        <w:tblCellMar>
          <w:top w:w="0" w:type="dxa"/>
          <w:left w:w="0" w:type="dxa"/>
          <w:bottom w:w="0" w:type="dxa"/>
          <w:right w:w="0" w:type="dxa"/>
        </w:tblCellMar>
      </w:tblPr>
      <w:tr>
        <w:trPr>
          <w:trHeight w:val="195"/>
        </w:trPr>
        <w:tc>
          <w:tcPr>
            <w:tcW w:w="9140" w:type="dxa"/>
            <w:vAlign w:val="bottom"/>
          </w:tcPr>
          <w:p>
            <w:pPr>
              <w:ind w:left="40"/>
              <w:spacing w:after="0"/>
              <w:rPr>
                <w:sz w:val="20"/>
                <w:szCs w:val="20"/>
                <w:color w:val="auto"/>
              </w:rPr>
            </w:pPr>
            <w:r>
              <w:rPr>
                <w:rFonts w:ascii="Calibri" w:cs="Calibri" w:eastAsia="Calibri" w:hAnsi="Calibri"/>
                <w:sz w:val="16"/>
                <w:szCs w:val="16"/>
                <w:i w:val="1"/>
                <w:iCs w:val="1"/>
                <w:color w:val="214E93"/>
              </w:rPr>
              <w:t>Contents</w:t>
            </w:r>
          </w:p>
        </w:tc>
        <w:tc>
          <w:tcPr>
            <w:tcW w:w="420" w:type="dxa"/>
            <w:vAlign w:val="bottom"/>
            <w:vMerge w:val="restart"/>
          </w:tcPr>
          <w:p>
            <w:pPr>
              <w:jc w:val="right"/>
              <w:spacing w:after="0"/>
              <w:rPr>
                <w:sz w:val="20"/>
                <w:szCs w:val="20"/>
                <w:color w:val="auto"/>
              </w:rPr>
            </w:pPr>
            <w:r>
              <w:rPr>
                <w:rFonts w:ascii="Calibri" w:cs="Calibri" w:eastAsia="Calibri" w:hAnsi="Calibri"/>
                <w:sz w:val="16"/>
                <w:szCs w:val="16"/>
                <w:i w:val="1"/>
                <w:iCs w:val="1"/>
                <w:color w:val="214E93"/>
              </w:rPr>
              <w:t>Page</w:t>
            </w:r>
          </w:p>
        </w:tc>
        <w:tc>
          <w:tcPr>
            <w:tcW w:w="0" w:type="dxa"/>
            <w:vAlign w:val="bottom"/>
          </w:tcPr>
          <w:p>
            <w:pPr>
              <w:spacing w:after="0"/>
              <w:rPr>
                <w:sz w:val="1"/>
                <w:szCs w:val="1"/>
                <w:color w:val="auto"/>
              </w:rPr>
            </w:pPr>
          </w:p>
        </w:tc>
      </w:tr>
      <w:tr>
        <w:trPr>
          <w:trHeight w:val="56"/>
        </w:trPr>
        <w:tc>
          <w:tcPr>
            <w:tcW w:w="914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9140" w:type="dxa"/>
            <w:vAlign w:val="bottom"/>
            <w:tcBorders>
              <w:bottom w:val="single" w:sz="8" w:color="214E93"/>
            </w:tcBorders>
          </w:tcPr>
          <w:p>
            <w:pPr>
              <w:spacing w:after="0"/>
              <w:rPr>
                <w:sz w:val="2"/>
                <w:szCs w:val="2"/>
                <w:color w:val="auto"/>
              </w:rPr>
            </w:pPr>
          </w:p>
        </w:tc>
        <w:tc>
          <w:tcPr>
            <w:tcW w:w="420" w:type="dxa"/>
            <w:vAlign w:val="bottom"/>
            <w:tcBorders>
              <w:bottom w:val="single" w:sz="8" w:color="214E93"/>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9140" w:type="dxa"/>
            <w:vAlign w:val="bottom"/>
          </w:tcPr>
          <w:p>
            <w:pPr>
              <w:ind w:left="40"/>
              <w:spacing w:after="0"/>
              <w:rPr>
                <w:sz w:val="20"/>
                <w:szCs w:val="20"/>
                <w:color w:val="auto"/>
              </w:rPr>
            </w:pPr>
            <w:r>
              <w:rPr>
                <w:rFonts w:ascii="Calibri" w:cs="Calibri" w:eastAsia="Calibri" w:hAnsi="Calibri"/>
                <w:sz w:val="19"/>
                <w:szCs w:val="19"/>
                <w:b w:val="1"/>
                <w:bCs w:val="1"/>
                <w:color w:val="214E93"/>
                <w:w w:val="98"/>
              </w:rPr>
              <w:t>Report of Independent Registered Public Accounting Firm</w:t>
            </w:r>
            <w:r>
              <w:rPr>
                <w:rFonts w:ascii="Times New Roman" w:cs="Times New Roman" w:eastAsia="Times New Roman" w:hAnsi="Times New Roman"/>
                <w:sz w:val="19"/>
                <w:szCs w:val="19"/>
                <w:b w:val="1"/>
                <w:bCs w:val="1"/>
                <w:color w:val="BBBBBB"/>
                <w:w w:val="98"/>
              </w:rPr>
              <w:t>..................................................................................................</w:t>
            </w:r>
          </w:p>
        </w:tc>
        <w:tc>
          <w:tcPr>
            <w:tcW w:w="420" w:type="dxa"/>
            <w:vAlign w:val="bottom"/>
          </w:tcPr>
          <w:p>
            <w:pPr>
              <w:jc w:val="right"/>
              <w:spacing w:after="0"/>
              <w:rPr>
                <w:sz w:val="20"/>
                <w:szCs w:val="20"/>
                <w:color w:val="auto"/>
              </w:rPr>
            </w:pPr>
            <w:r>
              <w:rPr>
                <w:rFonts w:ascii="Calibri" w:cs="Calibri" w:eastAsia="Calibri" w:hAnsi="Calibri"/>
                <w:sz w:val="18"/>
                <w:szCs w:val="18"/>
                <w:color w:val="auto"/>
              </w:rPr>
              <w:t>F-2</w:t>
            </w:r>
          </w:p>
        </w:tc>
        <w:tc>
          <w:tcPr>
            <w:tcW w:w="0" w:type="dxa"/>
            <w:vAlign w:val="bottom"/>
          </w:tcPr>
          <w:p>
            <w:pPr>
              <w:spacing w:after="0"/>
              <w:rPr>
                <w:sz w:val="1"/>
                <w:szCs w:val="1"/>
                <w:color w:val="auto"/>
              </w:rPr>
            </w:pPr>
          </w:p>
        </w:tc>
      </w:tr>
      <w:tr>
        <w:trPr>
          <w:trHeight w:val="561"/>
        </w:trPr>
        <w:tc>
          <w:tcPr>
            <w:tcW w:w="9140" w:type="dxa"/>
            <w:vAlign w:val="bottom"/>
          </w:tcPr>
          <w:p>
            <w:pPr>
              <w:ind w:left="40"/>
              <w:spacing w:after="0"/>
              <w:rPr>
                <w:sz w:val="20"/>
                <w:szCs w:val="20"/>
                <w:color w:val="auto"/>
              </w:rPr>
            </w:pPr>
            <w:r>
              <w:rPr>
                <w:rFonts w:ascii="Calibri" w:cs="Calibri" w:eastAsia="Calibri" w:hAnsi="Calibri"/>
                <w:sz w:val="19"/>
                <w:szCs w:val="19"/>
                <w:b w:val="1"/>
                <w:bCs w:val="1"/>
                <w:color w:val="214E93"/>
              </w:rPr>
              <w:t>Consolidated Financial Statements</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ectPr>
          <w:pgSz w:w="11880" w:h="15480" w:orient="portrait"/>
          <w:cols w:equalWidth="0" w:num="1">
            <w:col w:w="10300"/>
          </w:cols>
          <w:pgMar w:left="420" w:top="498" w:right="1160" w:bottom="0" w:gutter="0" w:footer="0" w:header="0"/>
        </w:sectPr>
      </w:pPr>
    </w:p>
    <w:p>
      <w:pPr>
        <w:spacing w:after="0" w:line="7" w:lineRule="exact"/>
        <w:rPr>
          <w:sz w:val="20"/>
          <w:szCs w:val="20"/>
          <w:color w:val="auto"/>
        </w:rPr>
      </w:pPr>
    </w:p>
    <w:p>
      <w:pPr>
        <w:ind w:left="780"/>
        <w:spacing w:after="0"/>
        <w:rPr>
          <w:sz w:val="20"/>
          <w:szCs w:val="20"/>
          <w:color w:val="auto"/>
        </w:rPr>
      </w:pPr>
      <w:r>
        <w:rPr>
          <w:rFonts w:ascii="Calibri" w:cs="Calibri" w:eastAsia="Calibri" w:hAnsi="Calibri"/>
          <w:sz w:val="17"/>
          <w:szCs w:val="17"/>
          <w:color w:val="auto"/>
        </w:rPr>
        <w:t>Consolidated Balance Sheets as of December 31, 2025 and 2024</w:t>
      </w:r>
      <w:r>
        <w:rPr>
          <w:rFonts w:ascii="Times New Roman" w:cs="Times New Roman" w:eastAsia="Times New Roman" w:hAnsi="Times New Roman"/>
          <w:sz w:val="17"/>
          <w:szCs w:val="17"/>
          <w:color w:val="BBBBBB"/>
        </w:rPr>
        <w:t>....................................................................................................</w:t>
      </w:r>
    </w:p>
    <w:p>
      <w:pPr>
        <w:spacing w:after="0" w:line="73" w:lineRule="exact"/>
        <w:rPr>
          <w:sz w:val="20"/>
          <w:szCs w:val="20"/>
          <w:color w:val="auto"/>
        </w:rPr>
      </w:pPr>
    </w:p>
    <w:p>
      <w:pPr>
        <w:ind w:left="780"/>
        <w:spacing w:after="0"/>
        <w:rPr>
          <w:sz w:val="20"/>
          <w:szCs w:val="20"/>
          <w:color w:val="auto"/>
        </w:rPr>
      </w:pPr>
      <w:r>
        <w:rPr>
          <w:rFonts w:ascii="Calibri" w:cs="Calibri" w:eastAsia="Calibri" w:hAnsi="Calibri"/>
          <w:sz w:val="17"/>
          <w:szCs w:val="17"/>
          <w:color w:val="auto"/>
        </w:rPr>
        <w:t>Consolidated Statements of Income for the Years Ended December 31, 2025, 2024 and 2023</w:t>
      </w:r>
      <w:r>
        <w:rPr>
          <w:rFonts w:ascii="Times New Roman" w:cs="Times New Roman" w:eastAsia="Times New Roman" w:hAnsi="Times New Roman"/>
          <w:sz w:val="17"/>
          <w:szCs w:val="17"/>
          <w:color w:val="BBBBBB"/>
        </w:rPr>
        <w:t>......................................................</w:t>
      </w:r>
    </w:p>
    <w:p>
      <w:pPr>
        <w:spacing w:after="0" w:line="73" w:lineRule="exact"/>
        <w:rPr>
          <w:sz w:val="20"/>
          <w:szCs w:val="20"/>
          <w:color w:val="auto"/>
        </w:rPr>
      </w:pPr>
    </w:p>
    <w:p>
      <w:pPr>
        <w:ind w:left="780"/>
        <w:spacing w:after="0"/>
        <w:rPr>
          <w:sz w:val="20"/>
          <w:szCs w:val="20"/>
          <w:color w:val="auto"/>
        </w:rPr>
      </w:pPr>
      <w:r>
        <w:rPr>
          <w:rFonts w:ascii="Calibri" w:cs="Calibri" w:eastAsia="Calibri" w:hAnsi="Calibri"/>
          <w:sz w:val="17"/>
          <w:szCs w:val="17"/>
          <w:color w:val="auto"/>
        </w:rPr>
        <w:t xml:space="preserve">Consolidated Statements of Changes in Shareholders’ Equity for the Years Ended December 31, 2025, 2024 and 2023 </w:t>
      </w:r>
      <w:r>
        <w:rPr>
          <w:rFonts w:ascii="Times New Roman" w:cs="Times New Roman" w:eastAsia="Times New Roman" w:hAnsi="Times New Roman"/>
          <w:sz w:val="17"/>
          <w:szCs w:val="17"/>
          <w:color w:val="BBBBBB"/>
        </w:rPr>
        <w:t>..............</w:t>
      </w:r>
    </w:p>
    <w:p>
      <w:pPr>
        <w:spacing w:after="0" w:line="88" w:lineRule="exact"/>
        <w:rPr>
          <w:sz w:val="20"/>
          <w:szCs w:val="20"/>
          <w:color w:val="auto"/>
        </w:rPr>
      </w:pPr>
    </w:p>
    <w:p>
      <w:pPr>
        <w:ind w:left="780"/>
        <w:spacing w:after="0"/>
        <w:rPr>
          <w:sz w:val="20"/>
          <w:szCs w:val="20"/>
          <w:color w:val="auto"/>
        </w:rPr>
      </w:pPr>
      <w:r>
        <w:rPr>
          <w:rFonts w:ascii="Calibri" w:cs="Calibri" w:eastAsia="Calibri" w:hAnsi="Calibri"/>
          <w:sz w:val="17"/>
          <w:szCs w:val="17"/>
          <w:color w:val="auto"/>
        </w:rPr>
        <w:t xml:space="preserve">Consolidated Statements of Cash Flows for the Years Ended December 31, 2025, 2024 and 2023 </w:t>
      </w:r>
      <w:r>
        <w:rPr>
          <w:rFonts w:ascii="Times New Roman" w:cs="Times New Roman" w:eastAsia="Times New Roman" w:hAnsi="Times New Roman"/>
          <w:sz w:val="17"/>
          <w:szCs w:val="17"/>
          <w:color w:val="BBBBBB"/>
        </w:rPr>
        <w:t>................................................</w:t>
      </w:r>
    </w:p>
    <w:p>
      <w:pPr>
        <w:spacing w:after="0" w:line="45" w:lineRule="exact"/>
        <w:rPr>
          <w:sz w:val="20"/>
          <w:szCs w:val="20"/>
          <w:color w:val="auto"/>
        </w:rPr>
      </w:pPr>
    </w:p>
    <w:p>
      <w:pPr>
        <w:ind w:left="780"/>
        <w:spacing w:after="0"/>
        <w:rPr>
          <w:sz w:val="20"/>
          <w:szCs w:val="20"/>
          <w:color w:val="auto"/>
        </w:rPr>
      </w:pPr>
      <w:r>
        <w:rPr>
          <w:rFonts w:ascii="Calibri" w:cs="Calibri" w:eastAsia="Calibri" w:hAnsi="Calibri"/>
          <w:sz w:val="18"/>
          <w:szCs w:val="18"/>
          <w:b w:val="1"/>
          <w:bCs w:val="1"/>
          <w:color w:val="214E93"/>
        </w:rPr>
        <w:t>Notes to Consolidated Financial Statements</w:t>
      </w:r>
      <w:r>
        <w:rPr>
          <w:rFonts w:ascii="Times New Roman" w:cs="Times New Roman" w:eastAsia="Times New Roman" w:hAnsi="Times New Roman"/>
          <w:sz w:val="18"/>
          <w:szCs w:val="18"/>
          <w:b w:val="1"/>
          <w:bCs w:val="1"/>
          <w:color w:val="BBBBBB"/>
        </w:rPr>
        <w:t>.........................................................................................................................</w:t>
      </w:r>
    </w:p>
    <w:p>
      <w:pPr>
        <w:spacing w:after="0" w:line="76" w:lineRule="exact"/>
        <w:rPr>
          <w:sz w:val="20"/>
          <w:szCs w:val="20"/>
          <w:color w:val="auto"/>
        </w:rPr>
      </w:pPr>
    </w:p>
    <w:p>
      <w:pPr>
        <w:ind w:left="780"/>
        <w:spacing w:after="0"/>
        <w:rPr>
          <w:sz w:val="20"/>
          <w:szCs w:val="20"/>
          <w:color w:val="auto"/>
        </w:rPr>
      </w:pPr>
      <w:r>
        <w:rPr>
          <w:rFonts w:ascii="Calibri" w:cs="Calibri" w:eastAsia="Calibri" w:hAnsi="Calibri"/>
          <w:sz w:val="18"/>
          <w:szCs w:val="18"/>
          <w:b w:val="1"/>
          <w:bCs w:val="1"/>
          <w:color w:val="214E93"/>
        </w:rPr>
        <w:t xml:space="preserve">Unaudited Supplementary Information </w:t>
      </w:r>
      <w:r>
        <w:rPr>
          <w:rFonts w:ascii="Times New Roman" w:cs="Times New Roman" w:eastAsia="Times New Roman" w:hAnsi="Times New Roman"/>
          <w:sz w:val="18"/>
          <w:szCs w:val="18"/>
          <w:b w:val="1"/>
          <w:bCs w:val="1"/>
          <w:color w:val="BBBBBB"/>
        </w:rPr>
        <w:t>................................................................................................................................</w:t>
      </w:r>
    </w:p>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Calibri" w:cs="Calibri" w:eastAsia="Calibri" w:hAnsi="Calibri"/>
          <w:sz w:val="18"/>
          <w:szCs w:val="18"/>
          <w:color w:val="auto"/>
        </w:rPr>
        <w:t>F-4</w:t>
      </w:r>
    </w:p>
    <w:p>
      <w:pPr>
        <w:spacing w:after="0" w:line="61" w:lineRule="exact"/>
        <w:rPr>
          <w:sz w:val="20"/>
          <w:szCs w:val="20"/>
          <w:color w:val="auto"/>
        </w:rPr>
      </w:pPr>
    </w:p>
    <w:p>
      <w:pPr>
        <w:jc w:val="right"/>
        <w:ind w:right="40"/>
        <w:spacing w:after="0"/>
        <w:rPr>
          <w:sz w:val="20"/>
          <w:szCs w:val="20"/>
          <w:color w:val="auto"/>
        </w:rPr>
      </w:pPr>
      <w:r>
        <w:rPr>
          <w:rFonts w:ascii="Calibri" w:cs="Calibri" w:eastAsia="Calibri" w:hAnsi="Calibri"/>
          <w:sz w:val="18"/>
          <w:szCs w:val="18"/>
          <w:color w:val="auto"/>
        </w:rPr>
        <w:t>F-5</w:t>
      </w:r>
    </w:p>
    <w:p>
      <w:pPr>
        <w:spacing w:after="0" w:line="61" w:lineRule="exact"/>
        <w:rPr>
          <w:sz w:val="20"/>
          <w:szCs w:val="20"/>
          <w:color w:val="auto"/>
        </w:rPr>
      </w:pPr>
    </w:p>
    <w:p>
      <w:pPr>
        <w:jc w:val="right"/>
        <w:ind w:right="40"/>
        <w:spacing w:after="0"/>
        <w:rPr>
          <w:sz w:val="20"/>
          <w:szCs w:val="20"/>
          <w:color w:val="auto"/>
        </w:rPr>
      </w:pPr>
      <w:r>
        <w:rPr>
          <w:rFonts w:ascii="Calibri" w:cs="Calibri" w:eastAsia="Calibri" w:hAnsi="Calibri"/>
          <w:sz w:val="18"/>
          <w:szCs w:val="18"/>
          <w:color w:val="auto"/>
        </w:rPr>
        <w:t>F-6</w:t>
      </w:r>
    </w:p>
    <w:p>
      <w:pPr>
        <w:spacing w:after="0" w:line="76" w:lineRule="exact"/>
        <w:rPr>
          <w:sz w:val="20"/>
          <w:szCs w:val="20"/>
          <w:color w:val="auto"/>
        </w:rPr>
      </w:pPr>
    </w:p>
    <w:p>
      <w:pPr>
        <w:jc w:val="right"/>
        <w:ind w:right="40"/>
        <w:spacing w:after="0"/>
        <w:rPr>
          <w:sz w:val="20"/>
          <w:szCs w:val="20"/>
          <w:color w:val="auto"/>
        </w:rPr>
      </w:pPr>
      <w:r>
        <w:rPr>
          <w:rFonts w:ascii="Calibri" w:cs="Calibri" w:eastAsia="Calibri" w:hAnsi="Calibri"/>
          <w:sz w:val="18"/>
          <w:szCs w:val="18"/>
          <w:color w:val="auto"/>
        </w:rPr>
        <w:t>F-7</w:t>
      </w:r>
    </w:p>
    <w:p>
      <w:pPr>
        <w:spacing w:after="0" w:line="76" w:lineRule="exact"/>
        <w:rPr>
          <w:sz w:val="20"/>
          <w:szCs w:val="20"/>
          <w:color w:val="auto"/>
        </w:rPr>
      </w:pPr>
    </w:p>
    <w:p>
      <w:pPr>
        <w:jc w:val="right"/>
        <w:ind w:right="40"/>
        <w:spacing w:after="0"/>
        <w:rPr>
          <w:sz w:val="20"/>
          <w:szCs w:val="20"/>
          <w:color w:val="auto"/>
        </w:rPr>
      </w:pPr>
      <w:r>
        <w:rPr>
          <w:rFonts w:ascii="Calibri" w:cs="Calibri" w:eastAsia="Calibri" w:hAnsi="Calibri"/>
          <w:sz w:val="18"/>
          <w:szCs w:val="18"/>
          <w:color w:val="auto"/>
        </w:rPr>
        <w:t>F-8</w:t>
      </w:r>
    </w:p>
    <w:p>
      <w:pPr>
        <w:spacing w:after="0" w:line="88" w:lineRule="exact"/>
        <w:rPr>
          <w:sz w:val="20"/>
          <w:szCs w:val="20"/>
          <w:color w:val="auto"/>
        </w:rPr>
      </w:pPr>
    </w:p>
    <w:p>
      <w:pPr>
        <w:jc w:val="right"/>
        <w:ind w:right="40"/>
        <w:spacing w:after="0"/>
        <w:rPr>
          <w:sz w:val="20"/>
          <w:szCs w:val="20"/>
          <w:color w:val="auto"/>
        </w:rPr>
      </w:pPr>
      <w:r>
        <w:rPr>
          <w:rFonts w:ascii="Calibri" w:cs="Calibri" w:eastAsia="Calibri" w:hAnsi="Calibri"/>
          <w:sz w:val="17"/>
          <w:szCs w:val="17"/>
          <w:color w:val="auto"/>
        </w:rPr>
        <w:t>F-43</w:t>
      </w:r>
    </w:p>
    <w:p>
      <w:pPr>
        <w:spacing w:after="0" w:line="200" w:lineRule="exact"/>
        <w:rPr>
          <w:sz w:val="20"/>
          <w:szCs w:val="20"/>
          <w:color w:val="auto"/>
        </w:rPr>
      </w:pPr>
    </w:p>
    <w:p>
      <w:pPr>
        <w:sectPr>
          <w:pgSz w:w="11880" w:h="15480" w:orient="portrait"/>
          <w:cols w:equalWidth="0" w:num="2">
            <w:col w:w="9840" w:space="100"/>
            <w:col w:w="360"/>
          </w:cols>
          <w:pgMar w:left="420" w:top="498" w:right="11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0"/>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0300"/>
          </w:cols>
          <w:pgMar w:left="420" w:top="498" w:right="1160" w:bottom="0" w:gutter="0" w:footer="0" w:header="0"/>
          <w:type w:val="continuous"/>
        </w:sectPr>
      </w:pPr>
    </w:p>
    <w:bookmarkStart w:id="132" w:name="page133"/>
    <w:bookmarkEnd w:id="132"/>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500" w:type="dxa"/>
            <w:vAlign w:val="bottom"/>
          </w:tcPr>
          <w:p>
            <w:pPr>
              <w:ind w:left="280"/>
              <w:spacing w:after="0"/>
              <w:rPr>
                <w:sz w:val="20"/>
                <w:szCs w:val="20"/>
                <w:color w:val="auto"/>
              </w:rPr>
            </w:pPr>
            <w:r>
              <w:rPr>
                <w:rFonts w:ascii="Calibri" w:cs="Calibri" w:eastAsia="Calibri" w:hAnsi="Calibri"/>
                <w:sz w:val="18"/>
                <w:szCs w:val="18"/>
                <w:color w:val="auto"/>
                <w:w w:val="87"/>
              </w:rPr>
              <w:t>F-2</w:t>
            </w:r>
          </w:p>
        </w:tc>
      </w:tr>
    </w:tbl>
    <w:p>
      <w:pPr>
        <w:spacing w:after="0" w:line="235" w:lineRule="exact"/>
        <w:rPr>
          <w:sz w:val="20"/>
          <w:szCs w:val="20"/>
          <w:color w:val="auto"/>
        </w:rPr>
      </w:pPr>
    </w:p>
    <w:p>
      <w:pPr>
        <w:ind w:left="40"/>
        <w:spacing w:after="0"/>
        <w:rPr>
          <w:sz w:val="20"/>
          <w:szCs w:val="20"/>
          <w:color w:val="auto"/>
        </w:rPr>
      </w:pPr>
      <w:r>
        <w:rPr>
          <w:rFonts w:ascii="Verdana" w:cs="Verdana" w:eastAsia="Verdana" w:hAnsi="Verdana"/>
          <w:sz w:val="20"/>
          <w:szCs w:val="20"/>
          <w:color w:val="214E93"/>
        </w:rPr>
        <w:t>Report of Independent Registered Public Accounting Firm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17145</wp:posOffset>
                </wp:positionV>
                <wp:extent cx="6811645" cy="0"/>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65" o:spid="_x0000_s12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1.35pt" to="478.35pt,1.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17145</wp:posOffset>
                </wp:positionV>
                <wp:extent cx="6811645" cy="0"/>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66" o:spid="_x0000_s12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1.35pt" to="478.35pt,1.35pt" o:allowincell="f" strokecolor="#214E93" strokeweight="1pt"/>
            </w:pict>
          </mc:Fallback>
        </mc:AlternateConten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To the Shareholders and Board of Directors</w:t>
      </w:r>
    </w:p>
    <w:p>
      <w:pPr>
        <w:spacing w:after="0" w:line="28" w:lineRule="exact"/>
        <w:rPr>
          <w:sz w:val="20"/>
          <w:szCs w:val="20"/>
          <w:color w:val="auto"/>
        </w:rPr>
      </w:pPr>
    </w:p>
    <w:p>
      <w:pPr>
        <w:spacing w:after="0"/>
        <w:rPr>
          <w:sz w:val="20"/>
          <w:szCs w:val="20"/>
          <w:color w:val="auto"/>
        </w:rPr>
      </w:pPr>
      <w:r>
        <w:rPr>
          <w:rFonts w:ascii="Calibri" w:cs="Calibri" w:eastAsia="Calibri" w:hAnsi="Calibri"/>
          <w:sz w:val="18"/>
          <w:szCs w:val="18"/>
          <w:color w:val="auto"/>
        </w:rPr>
        <w:t>Matador Resources Company:</w:t>
      </w:r>
    </w:p>
    <w:p>
      <w:pPr>
        <w:spacing w:after="0" w:line="227"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Opinion on the Consolidated Financial Statements</w:t>
      </w:r>
    </w:p>
    <w:p>
      <w:pPr>
        <w:spacing w:after="0" w:line="208" w:lineRule="exact"/>
        <w:rPr>
          <w:sz w:val="20"/>
          <w:szCs w:val="20"/>
          <w:color w:val="auto"/>
        </w:rPr>
      </w:pPr>
    </w:p>
    <w:p>
      <w:pPr>
        <w:ind w:right="760" w:firstLine="241"/>
        <w:spacing w:after="0" w:line="285" w:lineRule="auto"/>
        <w:rPr>
          <w:sz w:val="20"/>
          <w:szCs w:val="20"/>
          <w:color w:val="auto"/>
        </w:rPr>
      </w:pPr>
      <w:r>
        <w:rPr>
          <w:rFonts w:ascii="Calibri" w:cs="Calibri" w:eastAsia="Calibri" w:hAnsi="Calibri"/>
          <w:sz w:val="17"/>
          <w:szCs w:val="17"/>
          <w:color w:val="auto"/>
        </w:rPr>
        <w:t>We have audited the accompanying consolidated balance sheets of Matador Resources Company and subsidiaries (the Company) as of December 31, 2025 and 2024, the related consolidated statements of income, changes in shareholders’ equity, and cash flows for each of the years in the three</w:t>
      </w:r>
      <w:r>
        <w:rPr>
          <w:rFonts w:ascii="Arial" w:cs="Arial" w:eastAsia="Arial" w:hAnsi="Arial"/>
          <w:sz w:val="17"/>
          <w:szCs w:val="17"/>
          <w:color w:val="auto"/>
        </w:rPr>
        <w:t>-</w:t>
      </w:r>
      <w:r>
        <w:rPr>
          <w:rFonts w:ascii="Calibri" w:cs="Calibri" w:eastAsia="Calibri" w:hAnsi="Calibri"/>
          <w:sz w:val="17"/>
          <w:szCs w:val="17"/>
          <w:color w:val="auto"/>
        </w:rPr>
        <w:t>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205" w:lineRule="exact"/>
        <w:rPr>
          <w:sz w:val="20"/>
          <w:szCs w:val="20"/>
          <w:color w:val="auto"/>
        </w:rPr>
      </w:pPr>
    </w:p>
    <w:p>
      <w:pPr>
        <w:ind w:right="840" w:firstLine="241"/>
        <w:spacing w:after="0" w:line="266" w:lineRule="auto"/>
        <w:rPr>
          <w:sz w:val="20"/>
          <w:szCs w:val="20"/>
          <w:color w:val="auto"/>
        </w:rPr>
      </w:pPr>
      <w:r>
        <w:rPr>
          <w:rFonts w:ascii="Calibri" w:cs="Calibri" w:eastAsia="Calibri" w:hAnsi="Calibri"/>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26, 2026 expressed an unqualified opinion on the effectiveness of the Company’s internal control over financial reporting.</w:t>
      </w:r>
    </w:p>
    <w:p>
      <w:pPr>
        <w:spacing w:after="0" w:line="204"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Basis for Opinion</w:t>
      </w:r>
    </w:p>
    <w:p>
      <w:pPr>
        <w:spacing w:after="0" w:line="208" w:lineRule="exact"/>
        <w:rPr>
          <w:sz w:val="20"/>
          <w:szCs w:val="20"/>
          <w:color w:val="auto"/>
        </w:rPr>
      </w:pPr>
    </w:p>
    <w:p>
      <w:pPr>
        <w:ind w:right="820" w:firstLine="241"/>
        <w:spacing w:after="0" w:line="264" w:lineRule="auto"/>
        <w:rPr>
          <w:sz w:val="20"/>
          <w:szCs w:val="20"/>
          <w:color w:val="auto"/>
        </w:rPr>
      </w:pPr>
      <w:r>
        <w:rPr>
          <w:rFonts w:ascii="Calibri" w:cs="Calibri" w:eastAsia="Calibri" w:hAnsi="Calibri"/>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1" w:lineRule="exact"/>
        <w:rPr>
          <w:sz w:val="20"/>
          <w:szCs w:val="20"/>
          <w:color w:val="auto"/>
        </w:rPr>
      </w:pPr>
    </w:p>
    <w:p>
      <w:pPr>
        <w:ind w:right="780" w:firstLine="241"/>
        <w:spacing w:after="0" w:line="268" w:lineRule="auto"/>
        <w:rPr>
          <w:sz w:val="20"/>
          <w:szCs w:val="20"/>
          <w:color w:val="auto"/>
        </w:rPr>
      </w:pPr>
      <w:r>
        <w:rPr>
          <w:rFonts w:ascii="Calibri" w:cs="Calibri" w:eastAsia="Calibri" w:hAnsi="Calibri"/>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3"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Critical Audit Matters</w:t>
      </w:r>
    </w:p>
    <w:p>
      <w:pPr>
        <w:spacing w:after="0" w:line="208" w:lineRule="exact"/>
        <w:rPr>
          <w:sz w:val="20"/>
          <w:szCs w:val="20"/>
          <w:color w:val="auto"/>
        </w:rPr>
      </w:pPr>
    </w:p>
    <w:p>
      <w:pPr>
        <w:ind w:right="740" w:firstLine="241"/>
        <w:spacing w:after="0" w:line="267" w:lineRule="auto"/>
        <w:rPr>
          <w:sz w:val="20"/>
          <w:szCs w:val="20"/>
          <w:color w:val="auto"/>
        </w:rPr>
      </w:pPr>
      <w:r>
        <w:rPr>
          <w:rFonts w:ascii="Calibri" w:cs="Calibri" w:eastAsia="Calibri" w:hAnsi="Calibri"/>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7" w:lineRule="exact"/>
        <w:rPr>
          <w:sz w:val="20"/>
          <w:szCs w:val="20"/>
          <w:color w:val="auto"/>
        </w:rPr>
      </w:pPr>
    </w:p>
    <w:p>
      <w:pPr>
        <w:ind w:right="800"/>
        <w:spacing w:after="0" w:line="252" w:lineRule="auto"/>
        <w:rPr>
          <w:sz w:val="20"/>
          <w:szCs w:val="20"/>
          <w:color w:val="auto"/>
        </w:rPr>
      </w:pPr>
      <w:r>
        <w:rPr>
          <w:rFonts w:ascii="Calibri" w:cs="Calibri" w:eastAsia="Calibri" w:hAnsi="Calibri"/>
          <w:sz w:val="18"/>
          <w:szCs w:val="18"/>
          <w:i w:val="1"/>
          <w:iCs w:val="1"/>
          <w:color w:val="214E93"/>
        </w:rPr>
        <w:t>Impact of estimated proved oil and natural gas reserves related to evaluated oil and natural gas properties on depletion expense and the ceiling test calculation</w:t>
      </w:r>
    </w:p>
    <w:p>
      <w:pPr>
        <w:spacing w:after="0" w:line="230" w:lineRule="exact"/>
        <w:rPr>
          <w:sz w:val="20"/>
          <w:szCs w:val="20"/>
          <w:color w:val="auto"/>
        </w:rPr>
      </w:pPr>
    </w:p>
    <w:p>
      <w:pPr>
        <w:ind w:right="840" w:firstLine="241"/>
        <w:spacing w:after="0" w:line="286" w:lineRule="auto"/>
        <w:rPr>
          <w:sz w:val="20"/>
          <w:szCs w:val="20"/>
          <w:color w:val="auto"/>
        </w:rPr>
      </w:pPr>
      <w:r>
        <w:rPr>
          <w:rFonts w:ascii="Calibri" w:cs="Calibri" w:eastAsia="Calibri" w:hAnsi="Calibri"/>
          <w:sz w:val="17"/>
          <w:szCs w:val="17"/>
          <w:color w:val="auto"/>
        </w:rPr>
        <w:t>As discussed in Note 2 to the consolidated financial statements, the Company uses the full-cost method of accounting for its investments in oil and natural gas properties and amortizes capitalized costs of oil and natural gas properties using the unit-of-production method based on production and estimates of proved reserves quantities. The Company is required to perform a ceiling test calculation on a quarterly basis and the applicable ceiling is equal to the sum of (1) the present value, discounted at 10%, of future net revenues of proved oil and natural gas reserves, reduced by the estimated costs of developing these reserves, plus (2) unproved and unevaluated property costs not being amortized, plus (3) the lower of cost or estimated fair value of unproved and unevaluated properties included in the costs being amortized, if any, less (4) any income tax effects related to the properties involved. Any excess of the Company’s net capitalized costs above the cost center ceiling is charged to operations as a full-cost</w:t>
      </w:r>
    </w:p>
    <w:p>
      <w:pPr>
        <w:sectPr>
          <w:pgSz w:w="11880" w:h="15480" w:orient="portrait"/>
          <w:cols w:equalWidth="0" w:num="1">
            <w:col w:w="10300"/>
          </w:cols>
          <w:pgMar w:left="1160" w:top="498"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900"/>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0300"/>
          </w:cols>
          <w:pgMar w:left="1160" w:top="498" w:right="420" w:bottom="0" w:gutter="0" w:footer="0" w:header="0"/>
          <w:type w:val="continuous"/>
        </w:sectPr>
      </w:pPr>
    </w:p>
    <w:bookmarkStart w:id="133" w:name="page134"/>
    <w:bookmarkEnd w:id="133"/>
    <w:p>
      <w:pPr>
        <w:spacing w:after="0"/>
        <w:tabs>
          <w:tab w:leader="none" w:pos="760" w:val="left"/>
        </w:tabs>
        <w:rPr>
          <w:sz w:val="20"/>
          <w:szCs w:val="20"/>
          <w:color w:val="auto"/>
        </w:rPr>
      </w:pPr>
      <w:r>
        <w:rPr>
          <w:rFonts w:ascii="Calibri" w:cs="Calibri" w:eastAsia="Calibri" w:hAnsi="Calibri"/>
          <w:sz w:val="18"/>
          <w:szCs w:val="18"/>
          <w:color w:val="auto"/>
        </w:rPr>
        <w:t>F-3</w:t>
      </w:r>
      <w:r>
        <w:rPr>
          <w:sz w:val="20"/>
          <w:szCs w:val="20"/>
          <w:color w:val="auto"/>
        </w:rPr>
        <w:tab/>
      </w:r>
      <w:r>
        <w:rPr>
          <w:rFonts w:ascii="Calibri" w:cs="Calibri" w:eastAsia="Calibri" w:hAnsi="Calibri"/>
          <w:sz w:val="17"/>
          <w:szCs w:val="17"/>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464820</wp:posOffset>
                </wp:positionH>
                <wp:positionV relativeFrom="paragraph">
                  <wp:posOffset>320675</wp:posOffset>
                </wp:positionV>
                <wp:extent cx="6812280" cy="0"/>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67" o:spid="_x0000_s12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pt,25.25pt" to="573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464820</wp:posOffset>
                </wp:positionH>
                <wp:positionV relativeFrom="paragraph">
                  <wp:posOffset>320675</wp:posOffset>
                </wp:positionV>
                <wp:extent cx="6812280" cy="0"/>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68" o:spid="_x0000_s12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pt,25.25pt" to="573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40" w:right="100"/>
        <w:spacing w:after="0" w:line="286" w:lineRule="auto"/>
        <w:rPr>
          <w:sz w:val="20"/>
          <w:szCs w:val="20"/>
          <w:color w:val="auto"/>
        </w:rPr>
      </w:pPr>
      <w:r>
        <w:rPr>
          <w:rFonts w:ascii="Calibri" w:cs="Calibri" w:eastAsia="Calibri" w:hAnsi="Calibri"/>
          <w:sz w:val="17"/>
          <w:szCs w:val="17"/>
          <w:color w:val="auto"/>
        </w:rPr>
        <w:t>ceiling impairment. Estimates of economically recoverable oil and natural gas reserves depend upon a number of factors and assumptions, including quantities of oil and natural gas that are ultimately recovered, the timing of the recovery of oil and natural gas reserves, the operating costs incurred, the amount of future development expenditures, and the price received for the production. For the year ended December 31, 2025, the Company recorded depletion expense of evaluated oil and natural gas properties of $1.1 billion. Additionally, as discussed in Note 3 to the consolidated financial statements, the Company’s consolidated balance sheet includes $14.3 billion of gross evaluated oil and natural gas properties as of December 31, 2025. The Company’s internal reservoir engineers prepare an estimate of the proved oil and natural gas reserves, and the Company engages external reservoir engineers to independently evaluate the proved oil and natural gas reserves estimated by the Company.</w:t>
      </w:r>
    </w:p>
    <w:p>
      <w:pPr>
        <w:spacing w:after="0" w:line="201" w:lineRule="exact"/>
        <w:rPr>
          <w:sz w:val="20"/>
          <w:szCs w:val="20"/>
          <w:color w:val="auto"/>
        </w:rPr>
      </w:pPr>
    </w:p>
    <w:p>
      <w:pPr>
        <w:ind w:left="740" w:firstLine="241"/>
        <w:spacing w:after="0" w:line="266" w:lineRule="auto"/>
        <w:rPr>
          <w:sz w:val="20"/>
          <w:szCs w:val="20"/>
          <w:color w:val="auto"/>
        </w:rPr>
      </w:pPr>
      <w:r>
        <w:rPr>
          <w:rFonts w:ascii="Calibri" w:cs="Calibri" w:eastAsia="Calibri" w:hAnsi="Calibri"/>
          <w:sz w:val="18"/>
          <w:szCs w:val="18"/>
          <w:color w:val="auto"/>
        </w:rPr>
        <w:t>We identified the assessment of the impact of estimated proved oil and natural gas reserves related to evaluated oil and natural gas properties on both depletion expense and the ceiling test calculation as a critical audit matter. There is a high degree of subjectivity in evaluating the estimate of proved oil and natural gas reserves as auditor judgment was required to evaluate the assumptions used by the Company related to future production volumes, development costs, operating costs, and forecasted oil and natural gas prices inclusive of price differentials.</w:t>
      </w:r>
    </w:p>
    <w:p>
      <w:pPr>
        <w:spacing w:after="0" w:line="218" w:lineRule="exact"/>
        <w:rPr>
          <w:sz w:val="20"/>
          <w:szCs w:val="20"/>
          <w:color w:val="auto"/>
        </w:rPr>
      </w:pPr>
    </w:p>
    <w:p>
      <w:pPr>
        <w:ind w:left="740" w:firstLine="241"/>
        <w:spacing w:after="0" w:line="286" w:lineRule="auto"/>
        <w:rPr>
          <w:sz w:val="20"/>
          <w:szCs w:val="20"/>
          <w:color w:val="auto"/>
        </w:rPr>
      </w:pPr>
      <w:r>
        <w:rPr>
          <w:rFonts w:ascii="Calibri" w:cs="Calibri" w:eastAsia="Calibri" w:hAnsi="Calibri"/>
          <w:sz w:val="17"/>
          <w:szCs w:val="17"/>
          <w:color w:val="auto"/>
        </w:rPr>
        <w:t>The following are the primary procedures we performed to address this critical audit matter. We evaluated the design and tested the operating effectiveness of certain internal controls over the Company’s depletion and ceiling test processes. This included controls related to the development of the assumptions listed above used to estimate proved reserves used in the respective calculations. We evaluated (1) the professional qualifications of the Company’s internal reservoir engineers as well as the external reservoir engineers and external engineering firm, (2) the knowledge, skill, and ability of the Company’s internal and external reservoir engineers, and (3) the relationship of the external reservoir engineers and external engineering firm to the Company. We assessed the methodology used by the Company to estimate the reserves for consistency with industry and regulatory standards. We also compared the pricing assumptions, including price differentials, used in the reservoir engineers’ estimate of the proved reserves to publicly available oil and natural gas pricing data. We evaluated assumptions used in the reservoir engineers’ estimate regarding future operating and development costs based on historical actual results. In addition, we compared the Company’s historical production forecasts to actual production volumes to assess the Company’s ability to accurately forecast and compared the forecasted production assumption used by the Company in the current period to historical production. We read the findings of the Company’s external reservoir engineers in connection with our evaluation of the Company’s reserves estimates. We recalculated the depletion expense calculation and analyzed it for compliance with industry and regulatory standards. We also analyzed the ceiling test impairment calculation for compliance with industry and regulatory standards. In addition, we performed an independent calculation of the ceiling test impairment calculation and compared our results with the Company’s results.</w:t>
      </w:r>
    </w:p>
    <w:p>
      <w:pPr>
        <w:spacing w:after="0" w:line="190" w:lineRule="exact"/>
        <w:rPr>
          <w:sz w:val="20"/>
          <w:szCs w:val="20"/>
          <w:color w:val="auto"/>
        </w:rPr>
      </w:pPr>
    </w:p>
    <w:p>
      <w:pPr>
        <w:ind w:left="5040"/>
        <w:spacing w:after="0"/>
        <w:rPr>
          <w:sz w:val="20"/>
          <w:szCs w:val="20"/>
          <w:color w:val="auto"/>
        </w:rPr>
      </w:pPr>
      <w:r>
        <w:rPr>
          <w:rFonts w:ascii="Calibri" w:cs="Calibri" w:eastAsia="Calibri" w:hAnsi="Calibri"/>
          <w:sz w:val="18"/>
          <w:szCs w:val="18"/>
          <w:color w:val="auto"/>
        </w:rPr>
        <w:t>/s/ KPMG LLP</w:t>
      </w:r>
    </w:p>
    <w:p>
      <w:pPr>
        <w:spacing w:after="0" w:line="224" w:lineRule="exact"/>
        <w:rPr>
          <w:sz w:val="20"/>
          <w:szCs w:val="20"/>
          <w:color w:val="auto"/>
        </w:rPr>
      </w:pPr>
    </w:p>
    <w:p>
      <w:pPr>
        <w:ind w:left="980"/>
        <w:spacing w:after="0"/>
        <w:rPr>
          <w:sz w:val="20"/>
          <w:szCs w:val="20"/>
          <w:color w:val="auto"/>
        </w:rPr>
      </w:pPr>
      <w:r>
        <w:rPr>
          <w:rFonts w:ascii="Calibri" w:cs="Calibri" w:eastAsia="Calibri" w:hAnsi="Calibri"/>
          <w:sz w:val="18"/>
          <w:szCs w:val="18"/>
          <w:color w:val="auto"/>
        </w:rPr>
        <w:t>We have served as the Company’s auditor since 2014.</w:t>
      </w:r>
    </w:p>
    <w:p>
      <w:pPr>
        <w:spacing w:after="0" w:line="224" w:lineRule="exact"/>
        <w:rPr>
          <w:sz w:val="20"/>
          <w:szCs w:val="20"/>
          <w:color w:val="auto"/>
        </w:rPr>
      </w:pPr>
    </w:p>
    <w:p>
      <w:pPr>
        <w:ind w:left="980"/>
        <w:spacing w:after="0"/>
        <w:rPr>
          <w:sz w:val="20"/>
          <w:szCs w:val="20"/>
          <w:color w:val="auto"/>
        </w:rPr>
      </w:pPr>
      <w:r>
        <w:rPr>
          <w:rFonts w:ascii="Calibri" w:cs="Calibri" w:eastAsia="Calibri" w:hAnsi="Calibri"/>
          <w:sz w:val="18"/>
          <w:szCs w:val="18"/>
          <w:color w:val="auto"/>
        </w:rPr>
        <w:t>Dallas, Texas</w:t>
      </w:r>
    </w:p>
    <w:p>
      <w:pPr>
        <w:spacing w:after="0" w:line="224" w:lineRule="exact"/>
        <w:rPr>
          <w:sz w:val="20"/>
          <w:szCs w:val="20"/>
          <w:color w:val="auto"/>
        </w:rPr>
      </w:pPr>
    </w:p>
    <w:p>
      <w:pPr>
        <w:ind w:left="980"/>
        <w:spacing w:after="0"/>
        <w:rPr>
          <w:sz w:val="20"/>
          <w:szCs w:val="20"/>
          <w:color w:val="auto"/>
        </w:rPr>
      </w:pPr>
      <w:r>
        <w:rPr>
          <w:rFonts w:ascii="Calibri" w:cs="Calibri" w:eastAsia="Calibri" w:hAnsi="Calibri"/>
          <w:sz w:val="18"/>
          <w:szCs w:val="18"/>
          <w:color w:val="auto"/>
        </w:rPr>
        <w:t>February 26, 2026</w:t>
      </w:r>
    </w:p>
    <w:p>
      <w:pPr>
        <w:sectPr>
          <w:pgSz w:w="11880" w:h="15480" w:orient="portrait"/>
          <w:cols w:equalWidth="0" w:num="1">
            <w:col w:w="10280"/>
          </w:cols>
          <w:pgMar w:left="420" w:top="49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0"/>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0280"/>
          </w:cols>
          <w:pgMar w:left="420" w:top="498" w:right="1180" w:bottom="0" w:gutter="0" w:footer="0" w:header="0"/>
          <w:type w:val="continuous"/>
        </w:sectPr>
      </w:pPr>
    </w:p>
    <w:bookmarkStart w:id="134" w:name="page135"/>
    <w:bookmarkEnd w:id="134"/>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500" w:type="dxa"/>
            <w:vAlign w:val="bottom"/>
          </w:tcPr>
          <w:p>
            <w:pPr>
              <w:ind w:left="280"/>
              <w:spacing w:after="0"/>
              <w:rPr>
                <w:sz w:val="20"/>
                <w:szCs w:val="20"/>
                <w:color w:val="auto"/>
              </w:rPr>
            </w:pPr>
            <w:r>
              <w:rPr>
                <w:rFonts w:ascii="Calibri" w:cs="Calibri" w:eastAsia="Calibri" w:hAnsi="Calibri"/>
                <w:sz w:val="18"/>
                <w:szCs w:val="18"/>
                <w:color w:val="auto"/>
                <w:w w:val="87"/>
              </w:rPr>
              <w:t>F-4</w:t>
            </w:r>
          </w:p>
        </w:tc>
      </w:tr>
    </w:tbl>
    <w:p>
      <w:pPr>
        <w:spacing w:after="0" w:line="235" w:lineRule="exact"/>
        <w:rPr>
          <w:sz w:val="20"/>
          <w:szCs w:val="20"/>
          <w:color w:val="auto"/>
        </w:rPr>
      </w:pPr>
    </w:p>
    <w:p>
      <w:pPr>
        <w:ind w:left="40"/>
        <w:spacing w:after="0"/>
        <w:rPr>
          <w:sz w:val="20"/>
          <w:szCs w:val="20"/>
          <w:color w:val="auto"/>
        </w:rPr>
      </w:pPr>
      <w:r>
        <w:rPr>
          <w:rFonts w:ascii="Verdana" w:cs="Verdana" w:eastAsia="Verdana" w:hAnsi="Verdana"/>
          <w:sz w:val="20"/>
          <w:szCs w:val="20"/>
          <w:color w:val="214E93"/>
        </w:rPr>
        <w:t>Consolidated Balance Sheets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17145</wp:posOffset>
                </wp:positionV>
                <wp:extent cx="6811645" cy="0"/>
                <wp:wrapNone/>
                <wp:docPr id="269" name="Shape 2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69" o:spid="_x0000_s12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1.35pt" to="478.35pt,1.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17145</wp:posOffset>
                </wp:positionV>
                <wp:extent cx="6811645" cy="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70" o:spid="_x0000_s12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1.35pt" to="478.35pt,1.35pt" o:allowincell="f" strokecolor="#214E93" strokeweight="1pt"/>
            </w:pict>
          </mc:Fallback>
        </mc:AlternateContent>
      </w:r>
    </w:p>
    <w:p>
      <w:pPr>
        <w:spacing w:after="0" w:line="194" w:lineRule="exact"/>
        <w:rPr>
          <w:sz w:val="20"/>
          <w:szCs w:val="20"/>
          <w:color w:val="auto"/>
        </w:rPr>
      </w:pPr>
    </w:p>
    <w:p>
      <w:pPr>
        <w:ind w:left="40"/>
        <w:spacing w:after="0"/>
        <w:rPr>
          <w:sz w:val="20"/>
          <w:szCs w:val="20"/>
          <w:color w:val="auto"/>
        </w:rPr>
      </w:pPr>
      <w:r>
        <w:rPr>
          <w:rFonts w:ascii="Calibri" w:cs="Calibri" w:eastAsia="Calibri" w:hAnsi="Calibri"/>
          <w:sz w:val="19"/>
          <w:szCs w:val="19"/>
          <w:b w:val="1"/>
          <w:bCs w:val="1"/>
          <w:color w:val="214E93"/>
        </w:rPr>
        <w:t>Matador Resources Company and Subsidiaries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00" w:type="dxa"/>
            <w:vAlign w:val="bottom"/>
          </w:tcPr>
          <w:p>
            <w:pPr>
              <w:spacing w:after="0"/>
              <w:rPr>
                <w:sz w:val="16"/>
                <w:szCs w:val="16"/>
                <w:color w:val="auto"/>
              </w:rPr>
            </w:pPr>
          </w:p>
        </w:tc>
        <w:tc>
          <w:tcPr>
            <w:tcW w:w="280" w:type="dxa"/>
            <w:vAlign w:val="bottom"/>
            <w:tcBorders>
              <w:bottom w:val="single" w:sz="8" w:color="214E93"/>
            </w:tcBorders>
          </w:tcPr>
          <w:p>
            <w:pPr>
              <w:spacing w:after="0"/>
              <w:rPr>
                <w:sz w:val="16"/>
                <w:szCs w:val="16"/>
                <w:color w:val="auto"/>
              </w:rPr>
            </w:pPr>
          </w:p>
        </w:tc>
        <w:tc>
          <w:tcPr>
            <w:tcW w:w="2580" w:type="dxa"/>
            <w:vAlign w:val="bottom"/>
            <w:tcBorders>
              <w:bottom w:val="single" w:sz="8" w:color="214E93"/>
            </w:tcBorders>
            <w:gridSpan w:val="3"/>
          </w:tcPr>
          <w:p>
            <w:pPr>
              <w:jc w:val="right"/>
              <w:ind w:right="862"/>
              <w:spacing w:after="0"/>
              <w:rPr>
                <w:sz w:val="20"/>
                <w:szCs w:val="20"/>
                <w:color w:val="auto"/>
              </w:rPr>
            </w:pPr>
            <w:r>
              <w:rPr>
                <w:rFonts w:ascii="Verdana" w:cs="Verdana" w:eastAsia="Verdana" w:hAnsi="Verdana"/>
                <w:sz w:val="14"/>
                <w:szCs w:val="14"/>
                <w:color w:val="auto"/>
              </w:rPr>
              <w:t>December 31,</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214E93"/>
            </w:tcBorders>
          </w:tcPr>
          <w:p>
            <w:pPr>
              <w:spacing w:after="0"/>
              <w:rPr>
                <w:sz w:val="18"/>
                <w:szCs w:val="18"/>
                <w:color w:val="auto"/>
              </w:rPr>
            </w:pPr>
          </w:p>
        </w:tc>
        <w:tc>
          <w:tcPr>
            <w:tcW w:w="280" w:type="dxa"/>
            <w:vAlign w:val="bottom"/>
            <w:tcBorders>
              <w:bottom w:val="single" w:sz="8" w:color="214E93"/>
            </w:tcBorders>
          </w:tcPr>
          <w:p>
            <w:pPr>
              <w:spacing w:after="0"/>
              <w:rPr>
                <w:sz w:val="18"/>
                <w:szCs w:val="18"/>
                <w:color w:val="auto"/>
              </w:rPr>
            </w:pPr>
          </w:p>
        </w:tc>
        <w:tc>
          <w:tcPr>
            <w:tcW w:w="1160" w:type="dxa"/>
            <w:vAlign w:val="bottom"/>
            <w:tcBorders>
              <w:bottom w:val="single" w:sz="8" w:color="214E93"/>
            </w:tcBorders>
          </w:tcPr>
          <w:p>
            <w:pPr>
              <w:jc w:val="right"/>
              <w:ind w:right="482"/>
              <w:spacing w:after="0"/>
              <w:rPr>
                <w:sz w:val="20"/>
                <w:szCs w:val="20"/>
                <w:color w:val="auto"/>
              </w:rPr>
            </w:pPr>
            <w:r>
              <w:rPr>
                <w:rFonts w:ascii="Verdana" w:cs="Verdana" w:eastAsia="Verdana" w:hAnsi="Verdana"/>
                <w:sz w:val="14"/>
                <w:szCs w:val="14"/>
                <w:color w:val="214E93"/>
              </w:rPr>
              <w:t>2025</w:t>
            </w:r>
          </w:p>
        </w:tc>
        <w:tc>
          <w:tcPr>
            <w:tcW w:w="300" w:type="dxa"/>
            <w:vAlign w:val="bottom"/>
            <w:tcBorders>
              <w:bottom w:val="single" w:sz="8" w:color="214E93"/>
            </w:tcBorders>
          </w:tcPr>
          <w:p>
            <w:pPr>
              <w:spacing w:after="0"/>
              <w:rPr>
                <w:sz w:val="18"/>
                <w:szCs w:val="18"/>
                <w:color w:val="auto"/>
              </w:rPr>
            </w:pPr>
          </w:p>
        </w:tc>
        <w:tc>
          <w:tcPr>
            <w:tcW w:w="1120" w:type="dxa"/>
            <w:vAlign w:val="bottom"/>
            <w:tcBorders>
              <w:bottom w:val="single" w:sz="8" w:color="214E93"/>
            </w:tcBorders>
          </w:tcPr>
          <w:p>
            <w:pPr>
              <w:jc w:val="right"/>
              <w:ind w:right="442"/>
              <w:spacing w:after="0"/>
              <w:rPr>
                <w:sz w:val="20"/>
                <w:szCs w:val="20"/>
                <w:color w:val="auto"/>
              </w:rPr>
            </w:pPr>
            <w:r>
              <w:rPr>
                <w:rFonts w:ascii="Verdana" w:cs="Verdana" w:eastAsia="Verdana" w:hAnsi="Verdana"/>
                <w:sz w:val="14"/>
                <w:szCs w:val="14"/>
                <w:color w:val="auto"/>
              </w:rPr>
              <w:t>2024</w:t>
            </w:r>
          </w:p>
        </w:tc>
        <w:tc>
          <w:tcPr>
            <w:tcW w:w="0" w:type="dxa"/>
            <w:vAlign w:val="bottom"/>
          </w:tcPr>
          <w:p>
            <w:pPr>
              <w:spacing w:after="0"/>
              <w:rPr>
                <w:sz w:val="1"/>
                <w:szCs w:val="1"/>
                <w:color w:val="auto"/>
              </w:rPr>
            </w:pPr>
          </w:p>
        </w:tc>
      </w:tr>
      <w:tr>
        <w:trPr>
          <w:trHeight w:val="194"/>
        </w:trPr>
        <w:tc>
          <w:tcPr>
            <w:tcW w:w="6700" w:type="dxa"/>
            <w:vAlign w:val="bottom"/>
          </w:tcPr>
          <w:p>
            <w:pPr>
              <w:ind w:left="40"/>
              <w:spacing w:after="0"/>
              <w:rPr>
                <w:sz w:val="20"/>
                <w:szCs w:val="20"/>
                <w:color w:val="auto"/>
              </w:rPr>
            </w:pPr>
            <w:r>
              <w:rPr>
                <w:rFonts w:ascii="Verdana" w:cs="Verdana" w:eastAsia="Verdana" w:hAnsi="Verdana"/>
                <w:sz w:val="14"/>
                <w:szCs w:val="14"/>
                <w:i w:val="1"/>
                <w:iCs w:val="1"/>
                <w:color w:val="auto"/>
              </w:rPr>
              <w:t>(in thousands, except par value and share data)</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40"/>
              <w:spacing w:after="0"/>
              <w:rPr>
                <w:sz w:val="20"/>
                <w:szCs w:val="20"/>
                <w:color w:val="auto"/>
              </w:rPr>
            </w:pPr>
            <w:r>
              <w:rPr>
                <w:rFonts w:ascii="Verdana" w:cs="Verdana" w:eastAsia="Verdana" w:hAnsi="Verdana"/>
                <w:sz w:val="14"/>
                <w:szCs w:val="14"/>
                <w:color w:val="auto"/>
              </w:rPr>
              <w:t>ASSETS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700" w:type="dxa"/>
            <w:vAlign w:val="bottom"/>
          </w:tcPr>
          <w:p>
            <w:pPr>
              <w:ind w:left="40"/>
              <w:spacing w:after="0"/>
              <w:rPr>
                <w:sz w:val="20"/>
                <w:szCs w:val="20"/>
                <w:color w:val="auto"/>
              </w:rPr>
            </w:pPr>
            <w:r>
              <w:rPr>
                <w:rFonts w:ascii="Verdana" w:cs="Verdana" w:eastAsia="Verdana" w:hAnsi="Verdana"/>
                <w:sz w:val="14"/>
                <w:szCs w:val="14"/>
                <w:color w:val="auto"/>
              </w:rPr>
              <w:t>Current assets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60"/>
              <w:spacing w:after="0"/>
              <w:rPr>
                <w:sz w:val="20"/>
                <w:szCs w:val="20"/>
                <w:color w:val="auto"/>
              </w:rPr>
            </w:pPr>
            <w:r>
              <w:rPr>
                <w:rFonts w:ascii="Verdana" w:cs="Verdana" w:eastAsia="Verdana" w:hAnsi="Verdana"/>
                <w:sz w:val="14"/>
                <w:szCs w:val="14"/>
                <w:color w:val="auto"/>
              </w:rPr>
              <w:t>Cash</w:t>
            </w:r>
          </w:p>
        </w:tc>
        <w:tc>
          <w:tcPr>
            <w:tcW w:w="280" w:type="dxa"/>
            <w:vAlign w:val="bottom"/>
          </w:tcPr>
          <w:p>
            <w:pPr>
              <w:jc w:val="right"/>
              <w:ind w:right="41"/>
              <w:spacing w:after="0"/>
              <w:rPr>
                <w:sz w:val="20"/>
                <w:szCs w:val="20"/>
                <w:color w:val="auto"/>
              </w:rPr>
            </w:pPr>
            <w:r>
              <w:rPr>
                <w:rFonts w:ascii="Verdana" w:cs="Verdana" w:eastAsia="Verdana" w:hAnsi="Verdana"/>
                <w:sz w:val="16"/>
                <w:szCs w:val="16"/>
                <w:color w:val="214E93"/>
              </w:rPr>
              <w:t>$</w:t>
            </w:r>
          </w:p>
        </w:tc>
        <w:tc>
          <w:tcPr>
            <w:tcW w:w="1160" w:type="dxa"/>
            <w:vAlign w:val="bottom"/>
          </w:tcPr>
          <w:p>
            <w:pPr>
              <w:jc w:val="right"/>
              <w:ind w:right="42"/>
              <w:spacing w:after="0"/>
              <w:rPr>
                <w:sz w:val="20"/>
                <w:szCs w:val="20"/>
                <w:color w:val="auto"/>
              </w:rPr>
            </w:pPr>
            <w:r>
              <w:rPr>
                <w:rFonts w:ascii="Verdana" w:cs="Verdana" w:eastAsia="Verdana" w:hAnsi="Verdana"/>
                <w:sz w:val="16"/>
                <w:szCs w:val="16"/>
                <w:color w:val="214E93"/>
              </w:rPr>
              <w:t>15,314</w:t>
            </w:r>
          </w:p>
        </w:tc>
        <w:tc>
          <w:tcPr>
            <w:tcW w:w="300" w:type="dxa"/>
            <w:vAlign w:val="bottom"/>
          </w:tcPr>
          <w:p>
            <w:pPr>
              <w:jc w:val="right"/>
              <w:ind w:right="41"/>
              <w:spacing w:after="0"/>
              <w:rPr>
                <w:sz w:val="20"/>
                <w:szCs w:val="20"/>
                <w:color w:val="auto"/>
              </w:rPr>
            </w:pPr>
            <w:r>
              <w:rPr>
                <w:rFonts w:ascii="Verdana" w:cs="Verdana" w:eastAsia="Verdana" w:hAnsi="Verdana"/>
                <w:sz w:val="16"/>
                <w:szCs w:val="16"/>
                <w:color w:val="131313"/>
              </w:rPr>
              <w:t>$</w:t>
            </w:r>
          </w:p>
        </w:tc>
        <w:tc>
          <w:tcPr>
            <w:tcW w:w="1120" w:type="dxa"/>
            <w:vAlign w:val="bottom"/>
          </w:tcPr>
          <w:p>
            <w:pPr>
              <w:jc w:val="right"/>
              <w:ind w:right="2"/>
              <w:spacing w:after="0"/>
              <w:rPr>
                <w:sz w:val="20"/>
                <w:szCs w:val="20"/>
                <w:color w:val="auto"/>
              </w:rPr>
            </w:pPr>
            <w:r>
              <w:rPr>
                <w:rFonts w:ascii="Verdana" w:cs="Verdana" w:eastAsia="Verdana" w:hAnsi="Verdana"/>
                <w:sz w:val="16"/>
                <w:szCs w:val="16"/>
                <w:color w:val="131313"/>
              </w:rPr>
              <w:t>23,033</w:t>
            </w:r>
          </w:p>
        </w:tc>
        <w:tc>
          <w:tcPr>
            <w:tcW w:w="0" w:type="dxa"/>
            <w:vAlign w:val="bottom"/>
          </w:tcPr>
          <w:p>
            <w:pPr>
              <w:spacing w:after="0"/>
              <w:rPr>
                <w:sz w:val="1"/>
                <w:szCs w:val="1"/>
                <w:color w:val="auto"/>
              </w:rPr>
            </w:pPr>
          </w:p>
        </w:tc>
      </w:tr>
      <w:tr>
        <w:trPr>
          <w:trHeight w:val="221"/>
        </w:trPr>
        <w:tc>
          <w:tcPr>
            <w:tcW w:w="6700" w:type="dxa"/>
            <w:vAlign w:val="bottom"/>
          </w:tcPr>
          <w:p>
            <w:pPr>
              <w:ind w:left="160"/>
              <w:spacing w:after="0"/>
              <w:rPr>
                <w:sz w:val="20"/>
                <w:szCs w:val="20"/>
                <w:color w:val="auto"/>
              </w:rPr>
            </w:pPr>
            <w:r>
              <w:rPr>
                <w:rFonts w:ascii="Verdana" w:cs="Verdana" w:eastAsia="Verdana" w:hAnsi="Verdana"/>
                <w:sz w:val="14"/>
                <w:szCs w:val="14"/>
                <w:color w:val="auto"/>
              </w:rPr>
              <w:t>Restricted cash</w:t>
            </w:r>
          </w:p>
        </w:tc>
        <w:tc>
          <w:tcPr>
            <w:tcW w:w="280" w:type="dxa"/>
            <w:vAlign w:val="bottom"/>
          </w:tcPr>
          <w:p>
            <w:pPr>
              <w:spacing w:after="0"/>
              <w:rPr>
                <w:sz w:val="19"/>
                <w:szCs w:val="19"/>
                <w:color w:val="auto"/>
              </w:rPr>
            </w:pPr>
          </w:p>
        </w:tc>
        <w:tc>
          <w:tcPr>
            <w:tcW w:w="1160" w:type="dxa"/>
            <w:vAlign w:val="bottom"/>
          </w:tcPr>
          <w:p>
            <w:pPr>
              <w:jc w:val="right"/>
              <w:ind w:right="42"/>
              <w:spacing w:after="0"/>
              <w:rPr>
                <w:sz w:val="20"/>
                <w:szCs w:val="20"/>
                <w:color w:val="auto"/>
              </w:rPr>
            </w:pPr>
            <w:r>
              <w:rPr>
                <w:rFonts w:ascii="Verdana" w:cs="Verdana" w:eastAsia="Verdana" w:hAnsi="Verdana"/>
                <w:sz w:val="16"/>
                <w:szCs w:val="16"/>
                <w:color w:val="214E93"/>
              </w:rPr>
              <w:t>64,163</w:t>
            </w:r>
          </w:p>
        </w:tc>
        <w:tc>
          <w:tcPr>
            <w:tcW w:w="30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Verdana" w:cs="Verdana" w:eastAsia="Verdana" w:hAnsi="Verdana"/>
                <w:sz w:val="16"/>
                <w:szCs w:val="16"/>
                <w:color w:val="131313"/>
              </w:rPr>
              <w:t>71,709</w:t>
            </w:r>
          </w:p>
        </w:tc>
        <w:tc>
          <w:tcPr>
            <w:tcW w:w="0" w:type="dxa"/>
            <w:vAlign w:val="bottom"/>
          </w:tcPr>
          <w:p>
            <w:pPr>
              <w:spacing w:after="0"/>
              <w:rPr>
                <w:sz w:val="1"/>
                <w:szCs w:val="1"/>
                <w:color w:val="auto"/>
              </w:rPr>
            </w:pPr>
          </w:p>
        </w:tc>
      </w:tr>
      <w:tr>
        <w:trPr>
          <w:trHeight w:val="213"/>
        </w:trPr>
        <w:tc>
          <w:tcPr>
            <w:tcW w:w="6700" w:type="dxa"/>
            <w:vAlign w:val="bottom"/>
          </w:tcPr>
          <w:p>
            <w:pPr>
              <w:ind w:left="160"/>
              <w:spacing w:after="0"/>
              <w:rPr>
                <w:sz w:val="20"/>
                <w:szCs w:val="20"/>
                <w:color w:val="auto"/>
              </w:rPr>
            </w:pPr>
            <w:r>
              <w:rPr>
                <w:rFonts w:ascii="Verdana" w:cs="Verdana" w:eastAsia="Verdana" w:hAnsi="Verdana"/>
                <w:sz w:val="14"/>
                <w:szCs w:val="14"/>
                <w:color w:val="auto"/>
              </w:rPr>
              <w:t>Accounts receivable</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80"/>
              <w:spacing w:after="0"/>
              <w:rPr>
                <w:sz w:val="20"/>
                <w:szCs w:val="20"/>
                <w:color w:val="auto"/>
              </w:rPr>
            </w:pPr>
            <w:r>
              <w:rPr>
                <w:rFonts w:ascii="Verdana" w:cs="Verdana" w:eastAsia="Verdana" w:hAnsi="Verdana"/>
                <w:sz w:val="14"/>
                <w:szCs w:val="14"/>
                <w:color w:val="auto"/>
              </w:rPr>
              <w:t>Oil and natural gas revenues</w:t>
            </w:r>
          </w:p>
        </w:tc>
        <w:tc>
          <w:tcPr>
            <w:tcW w:w="280" w:type="dxa"/>
            <w:vAlign w:val="bottom"/>
          </w:tcPr>
          <w:p>
            <w:pPr>
              <w:spacing w:after="0"/>
              <w:rPr>
                <w:sz w:val="19"/>
                <w:szCs w:val="19"/>
                <w:color w:val="auto"/>
              </w:rPr>
            </w:pPr>
          </w:p>
        </w:tc>
        <w:tc>
          <w:tcPr>
            <w:tcW w:w="1160" w:type="dxa"/>
            <w:vAlign w:val="bottom"/>
          </w:tcPr>
          <w:p>
            <w:pPr>
              <w:jc w:val="right"/>
              <w:ind w:right="42"/>
              <w:spacing w:after="0"/>
              <w:rPr>
                <w:sz w:val="20"/>
                <w:szCs w:val="20"/>
                <w:color w:val="auto"/>
              </w:rPr>
            </w:pPr>
            <w:r>
              <w:rPr>
                <w:rFonts w:ascii="Verdana" w:cs="Verdana" w:eastAsia="Verdana" w:hAnsi="Verdana"/>
                <w:sz w:val="16"/>
                <w:szCs w:val="16"/>
                <w:color w:val="214E93"/>
              </w:rPr>
              <w:t>286,158</w:t>
            </w:r>
          </w:p>
        </w:tc>
        <w:tc>
          <w:tcPr>
            <w:tcW w:w="30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Verdana" w:cs="Verdana" w:eastAsia="Verdana" w:hAnsi="Verdana"/>
                <w:sz w:val="16"/>
                <w:szCs w:val="16"/>
                <w:color w:val="131313"/>
              </w:rPr>
              <w:t>331,590</w:t>
            </w:r>
          </w:p>
        </w:tc>
        <w:tc>
          <w:tcPr>
            <w:tcW w:w="0" w:type="dxa"/>
            <w:vAlign w:val="bottom"/>
          </w:tcPr>
          <w:p>
            <w:pPr>
              <w:spacing w:after="0"/>
              <w:rPr>
                <w:sz w:val="1"/>
                <w:szCs w:val="1"/>
                <w:color w:val="auto"/>
              </w:rPr>
            </w:pPr>
          </w:p>
        </w:tc>
      </w:tr>
      <w:tr>
        <w:trPr>
          <w:trHeight w:val="221"/>
        </w:trPr>
        <w:tc>
          <w:tcPr>
            <w:tcW w:w="6700" w:type="dxa"/>
            <w:vAlign w:val="bottom"/>
          </w:tcPr>
          <w:p>
            <w:pPr>
              <w:ind w:left="280"/>
              <w:spacing w:after="0"/>
              <w:rPr>
                <w:sz w:val="20"/>
                <w:szCs w:val="20"/>
                <w:color w:val="auto"/>
              </w:rPr>
            </w:pPr>
            <w:r>
              <w:rPr>
                <w:rFonts w:ascii="Verdana" w:cs="Verdana" w:eastAsia="Verdana" w:hAnsi="Verdana"/>
                <w:sz w:val="14"/>
                <w:szCs w:val="14"/>
                <w:color w:val="auto"/>
              </w:rPr>
              <w:t>Joint interest billings</w:t>
            </w:r>
          </w:p>
        </w:tc>
        <w:tc>
          <w:tcPr>
            <w:tcW w:w="280" w:type="dxa"/>
            <w:vAlign w:val="bottom"/>
          </w:tcPr>
          <w:p>
            <w:pPr>
              <w:spacing w:after="0"/>
              <w:rPr>
                <w:sz w:val="19"/>
                <w:szCs w:val="19"/>
                <w:color w:val="auto"/>
              </w:rPr>
            </w:pPr>
          </w:p>
        </w:tc>
        <w:tc>
          <w:tcPr>
            <w:tcW w:w="1160" w:type="dxa"/>
            <w:vAlign w:val="bottom"/>
          </w:tcPr>
          <w:p>
            <w:pPr>
              <w:jc w:val="right"/>
              <w:ind w:right="42"/>
              <w:spacing w:after="0"/>
              <w:rPr>
                <w:sz w:val="20"/>
                <w:szCs w:val="20"/>
                <w:color w:val="auto"/>
              </w:rPr>
            </w:pPr>
            <w:r>
              <w:rPr>
                <w:rFonts w:ascii="Verdana" w:cs="Verdana" w:eastAsia="Verdana" w:hAnsi="Verdana"/>
                <w:sz w:val="16"/>
                <w:szCs w:val="16"/>
                <w:color w:val="214E93"/>
              </w:rPr>
              <w:t>140,043</w:t>
            </w:r>
          </w:p>
        </w:tc>
        <w:tc>
          <w:tcPr>
            <w:tcW w:w="30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Verdana" w:cs="Verdana" w:eastAsia="Verdana" w:hAnsi="Verdana"/>
                <w:sz w:val="16"/>
                <w:szCs w:val="16"/>
                <w:color w:val="131313"/>
              </w:rPr>
              <w:t>260,555</w:t>
            </w:r>
          </w:p>
        </w:tc>
        <w:tc>
          <w:tcPr>
            <w:tcW w:w="0" w:type="dxa"/>
            <w:vAlign w:val="bottom"/>
          </w:tcPr>
          <w:p>
            <w:pPr>
              <w:spacing w:after="0"/>
              <w:rPr>
                <w:sz w:val="1"/>
                <w:szCs w:val="1"/>
                <w:color w:val="auto"/>
              </w:rPr>
            </w:pPr>
          </w:p>
        </w:tc>
      </w:tr>
      <w:tr>
        <w:trPr>
          <w:trHeight w:val="221"/>
        </w:trPr>
        <w:tc>
          <w:tcPr>
            <w:tcW w:w="6700" w:type="dxa"/>
            <w:vAlign w:val="bottom"/>
          </w:tcPr>
          <w:p>
            <w:pPr>
              <w:ind w:left="280"/>
              <w:spacing w:after="0"/>
              <w:rPr>
                <w:sz w:val="20"/>
                <w:szCs w:val="20"/>
                <w:color w:val="auto"/>
              </w:rPr>
            </w:pPr>
            <w:r>
              <w:rPr>
                <w:rFonts w:ascii="Verdana" w:cs="Verdana" w:eastAsia="Verdana" w:hAnsi="Verdana"/>
                <w:sz w:val="14"/>
                <w:szCs w:val="14"/>
                <w:color w:val="auto"/>
              </w:rPr>
              <w:t>Other</w:t>
            </w:r>
          </w:p>
        </w:tc>
        <w:tc>
          <w:tcPr>
            <w:tcW w:w="280" w:type="dxa"/>
            <w:vAlign w:val="bottom"/>
          </w:tcPr>
          <w:p>
            <w:pPr>
              <w:spacing w:after="0"/>
              <w:rPr>
                <w:sz w:val="19"/>
                <w:szCs w:val="19"/>
                <w:color w:val="auto"/>
              </w:rPr>
            </w:pPr>
          </w:p>
        </w:tc>
        <w:tc>
          <w:tcPr>
            <w:tcW w:w="1160" w:type="dxa"/>
            <w:vAlign w:val="bottom"/>
          </w:tcPr>
          <w:p>
            <w:pPr>
              <w:jc w:val="right"/>
              <w:ind w:right="42"/>
              <w:spacing w:after="0"/>
              <w:rPr>
                <w:sz w:val="20"/>
                <w:szCs w:val="20"/>
                <w:color w:val="auto"/>
              </w:rPr>
            </w:pPr>
            <w:r>
              <w:rPr>
                <w:rFonts w:ascii="Verdana" w:cs="Verdana" w:eastAsia="Verdana" w:hAnsi="Verdana"/>
                <w:sz w:val="16"/>
                <w:szCs w:val="16"/>
                <w:color w:val="214E93"/>
              </w:rPr>
              <w:t>103,628</w:t>
            </w:r>
          </w:p>
        </w:tc>
        <w:tc>
          <w:tcPr>
            <w:tcW w:w="30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Verdana" w:cs="Verdana" w:eastAsia="Verdana" w:hAnsi="Verdana"/>
                <w:sz w:val="16"/>
                <w:szCs w:val="16"/>
                <w:color w:val="131313"/>
              </w:rPr>
              <w:t>62,584</w:t>
            </w:r>
          </w:p>
        </w:tc>
        <w:tc>
          <w:tcPr>
            <w:tcW w:w="0" w:type="dxa"/>
            <w:vAlign w:val="bottom"/>
          </w:tcPr>
          <w:p>
            <w:pPr>
              <w:spacing w:after="0"/>
              <w:rPr>
                <w:sz w:val="1"/>
                <w:szCs w:val="1"/>
                <w:color w:val="auto"/>
              </w:rPr>
            </w:pPr>
          </w:p>
        </w:tc>
      </w:tr>
      <w:tr>
        <w:trPr>
          <w:trHeight w:val="221"/>
        </w:trPr>
        <w:tc>
          <w:tcPr>
            <w:tcW w:w="6700" w:type="dxa"/>
            <w:vAlign w:val="bottom"/>
          </w:tcPr>
          <w:p>
            <w:pPr>
              <w:ind w:left="160"/>
              <w:spacing w:after="0"/>
              <w:rPr>
                <w:sz w:val="20"/>
                <w:szCs w:val="20"/>
                <w:color w:val="auto"/>
              </w:rPr>
            </w:pPr>
            <w:r>
              <w:rPr>
                <w:rFonts w:ascii="Verdana" w:cs="Verdana" w:eastAsia="Verdana" w:hAnsi="Verdana"/>
                <w:sz w:val="14"/>
                <w:szCs w:val="14"/>
                <w:color w:val="auto"/>
              </w:rPr>
              <w:t>Derivative instruments</w:t>
            </w:r>
          </w:p>
        </w:tc>
        <w:tc>
          <w:tcPr>
            <w:tcW w:w="280" w:type="dxa"/>
            <w:vAlign w:val="bottom"/>
          </w:tcPr>
          <w:p>
            <w:pPr>
              <w:spacing w:after="0"/>
              <w:rPr>
                <w:sz w:val="19"/>
                <w:szCs w:val="19"/>
                <w:color w:val="auto"/>
              </w:rPr>
            </w:pPr>
          </w:p>
        </w:tc>
        <w:tc>
          <w:tcPr>
            <w:tcW w:w="1160" w:type="dxa"/>
            <w:vAlign w:val="bottom"/>
          </w:tcPr>
          <w:p>
            <w:pPr>
              <w:jc w:val="right"/>
              <w:ind w:right="42"/>
              <w:spacing w:after="0"/>
              <w:rPr>
                <w:sz w:val="20"/>
                <w:szCs w:val="20"/>
                <w:color w:val="auto"/>
              </w:rPr>
            </w:pPr>
            <w:r>
              <w:rPr>
                <w:rFonts w:ascii="Verdana" w:cs="Verdana" w:eastAsia="Verdana" w:hAnsi="Verdana"/>
                <w:sz w:val="16"/>
                <w:szCs w:val="16"/>
                <w:color w:val="214E93"/>
              </w:rPr>
              <w:t>34,052</w:t>
            </w:r>
          </w:p>
        </w:tc>
        <w:tc>
          <w:tcPr>
            <w:tcW w:w="30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Verdana" w:cs="Verdana" w:eastAsia="Verdana" w:hAnsi="Verdana"/>
                <w:sz w:val="16"/>
                <w:szCs w:val="16"/>
                <w:color w:val="131313"/>
              </w:rPr>
              <w:t>15,968</w:t>
            </w:r>
          </w:p>
        </w:tc>
        <w:tc>
          <w:tcPr>
            <w:tcW w:w="0" w:type="dxa"/>
            <w:vAlign w:val="bottom"/>
          </w:tcPr>
          <w:p>
            <w:pPr>
              <w:spacing w:after="0"/>
              <w:rPr>
                <w:sz w:val="1"/>
                <w:szCs w:val="1"/>
                <w:color w:val="auto"/>
              </w:rPr>
            </w:pPr>
          </w:p>
        </w:tc>
      </w:tr>
      <w:tr>
        <w:trPr>
          <w:trHeight w:val="221"/>
        </w:trPr>
        <w:tc>
          <w:tcPr>
            <w:tcW w:w="6700" w:type="dxa"/>
            <w:vAlign w:val="bottom"/>
          </w:tcPr>
          <w:p>
            <w:pPr>
              <w:ind w:left="160"/>
              <w:spacing w:after="0"/>
              <w:rPr>
                <w:sz w:val="20"/>
                <w:szCs w:val="20"/>
                <w:color w:val="auto"/>
              </w:rPr>
            </w:pPr>
            <w:r>
              <w:rPr>
                <w:rFonts w:ascii="Verdana" w:cs="Verdana" w:eastAsia="Verdana" w:hAnsi="Verdana"/>
                <w:sz w:val="14"/>
                <w:szCs w:val="14"/>
                <w:color w:val="auto"/>
              </w:rPr>
              <w:t>Lease and well equipment inventory</w:t>
            </w:r>
          </w:p>
        </w:tc>
        <w:tc>
          <w:tcPr>
            <w:tcW w:w="280" w:type="dxa"/>
            <w:vAlign w:val="bottom"/>
          </w:tcPr>
          <w:p>
            <w:pPr>
              <w:spacing w:after="0"/>
              <w:rPr>
                <w:sz w:val="19"/>
                <w:szCs w:val="19"/>
                <w:color w:val="auto"/>
              </w:rPr>
            </w:pPr>
          </w:p>
        </w:tc>
        <w:tc>
          <w:tcPr>
            <w:tcW w:w="1160" w:type="dxa"/>
            <w:vAlign w:val="bottom"/>
          </w:tcPr>
          <w:p>
            <w:pPr>
              <w:jc w:val="right"/>
              <w:ind w:right="42"/>
              <w:spacing w:after="0"/>
              <w:rPr>
                <w:sz w:val="20"/>
                <w:szCs w:val="20"/>
                <w:color w:val="auto"/>
              </w:rPr>
            </w:pPr>
            <w:r>
              <w:rPr>
                <w:rFonts w:ascii="Verdana" w:cs="Verdana" w:eastAsia="Verdana" w:hAnsi="Verdana"/>
                <w:sz w:val="16"/>
                <w:szCs w:val="16"/>
                <w:color w:val="214E93"/>
              </w:rPr>
              <w:t>43,842</w:t>
            </w:r>
          </w:p>
        </w:tc>
        <w:tc>
          <w:tcPr>
            <w:tcW w:w="30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Verdana" w:cs="Verdana" w:eastAsia="Verdana" w:hAnsi="Verdana"/>
                <w:sz w:val="16"/>
                <w:szCs w:val="16"/>
                <w:color w:val="131313"/>
              </w:rPr>
              <w:t>38,469</w:t>
            </w:r>
          </w:p>
        </w:tc>
        <w:tc>
          <w:tcPr>
            <w:tcW w:w="0" w:type="dxa"/>
            <w:vAlign w:val="bottom"/>
          </w:tcPr>
          <w:p>
            <w:pPr>
              <w:spacing w:after="0"/>
              <w:rPr>
                <w:sz w:val="1"/>
                <w:szCs w:val="1"/>
                <w:color w:val="auto"/>
              </w:rPr>
            </w:pPr>
          </w:p>
        </w:tc>
      </w:tr>
      <w:tr>
        <w:trPr>
          <w:trHeight w:val="227"/>
        </w:trPr>
        <w:tc>
          <w:tcPr>
            <w:tcW w:w="6700" w:type="dxa"/>
            <w:vAlign w:val="bottom"/>
            <w:tcBorders>
              <w:bottom w:val="single" w:sz="8" w:color="auto"/>
            </w:tcBorders>
          </w:tcPr>
          <w:p>
            <w:pPr>
              <w:ind w:left="160"/>
              <w:spacing w:after="0"/>
              <w:rPr>
                <w:sz w:val="20"/>
                <w:szCs w:val="20"/>
                <w:color w:val="auto"/>
              </w:rPr>
            </w:pPr>
            <w:r>
              <w:rPr>
                <w:rFonts w:ascii="Verdana" w:cs="Verdana" w:eastAsia="Verdana" w:hAnsi="Verdana"/>
                <w:sz w:val="14"/>
                <w:szCs w:val="14"/>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2"/>
              <w:spacing w:after="0"/>
              <w:rPr>
                <w:sz w:val="20"/>
                <w:szCs w:val="20"/>
                <w:color w:val="auto"/>
              </w:rPr>
            </w:pPr>
            <w:r>
              <w:rPr>
                <w:rFonts w:ascii="Verdana" w:cs="Verdana" w:eastAsia="Verdana" w:hAnsi="Verdana"/>
                <w:sz w:val="16"/>
                <w:szCs w:val="16"/>
                <w:color w:val="214E93"/>
              </w:rPr>
              <w:t>129,368</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131313"/>
              </w:rPr>
              <w:t>123,437</w:t>
            </w:r>
          </w:p>
        </w:tc>
        <w:tc>
          <w:tcPr>
            <w:tcW w:w="0" w:type="dxa"/>
            <w:vAlign w:val="bottom"/>
          </w:tcPr>
          <w:p>
            <w:pPr>
              <w:spacing w:after="0"/>
              <w:rPr>
                <w:sz w:val="1"/>
                <w:szCs w:val="1"/>
                <w:color w:val="auto"/>
              </w:rPr>
            </w:pPr>
          </w:p>
        </w:tc>
      </w:tr>
      <w:tr>
        <w:trPr>
          <w:trHeight w:val="207"/>
        </w:trPr>
        <w:tc>
          <w:tcPr>
            <w:tcW w:w="6700" w:type="dxa"/>
            <w:vAlign w:val="bottom"/>
          </w:tcPr>
          <w:p>
            <w:pPr>
              <w:ind w:left="400"/>
              <w:spacing w:after="0"/>
              <w:rPr>
                <w:sz w:val="20"/>
                <w:szCs w:val="20"/>
                <w:color w:val="auto"/>
              </w:rPr>
            </w:pPr>
            <w:r>
              <w:rPr>
                <w:rFonts w:ascii="Verdana" w:cs="Verdana" w:eastAsia="Verdana" w:hAnsi="Verdana"/>
                <w:sz w:val="14"/>
                <w:szCs w:val="14"/>
                <w:color w:val="auto"/>
              </w:rPr>
              <w:t>Total current assets</w:t>
            </w:r>
          </w:p>
        </w:tc>
        <w:tc>
          <w:tcPr>
            <w:tcW w:w="280" w:type="dxa"/>
            <w:vAlign w:val="bottom"/>
          </w:tcPr>
          <w:p>
            <w:pPr>
              <w:spacing w:after="0"/>
              <w:rPr>
                <w:sz w:val="17"/>
                <w:szCs w:val="17"/>
                <w:color w:val="auto"/>
              </w:rPr>
            </w:pPr>
          </w:p>
        </w:tc>
        <w:tc>
          <w:tcPr>
            <w:tcW w:w="1160" w:type="dxa"/>
            <w:vAlign w:val="bottom"/>
          </w:tcPr>
          <w:p>
            <w:pPr>
              <w:jc w:val="right"/>
              <w:ind w:right="42"/>
              <w:spacing w:after="0"/>
              <w:rPr>
                <w:sz w:val="20"/>
                <w:szCs w:val="20"/>
                <w:color w:val="auto"/>
              </w:rPr>
            </w:pPr>
            <w:r>
              <w:rPr>
                <w:rFonts w:ascii="Verdana" w:cs="Verdana" w:eastAsia="Verdana" w:hAnsi="Verdana"/>
                <w:sz w:val="16"/>
                <w:szCs w:val="16"/>
                <w:color w:val="214E93"/>
              </w:rPr>
              <w:t>816,568</w:t>
            </w:r>
          </w:p>
        </w:tc>
        <w:tc>
          <w:tcPr>
            <w:tcW w:w="30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Verdana" w:cs="Verdana" w:eastAsia="Verdana" w:hAnsi="Verdana"/>
                <w:sz w:val="16"/>
                <w:szCs w:val="16"/>
                <w:color w:val="131313"/>
              </w:rPr>
              <w:t>927,345</w:t>
            </w:r>
          </w:p>
        </w:tc>
        <w:tc>
          <w:tcPr>
            <w:tcW w:w="0" w:type="dxa"/>
            <w:vAlign w:val="bottom"/>
          </w:tcPr>
          <w:p>
            <w:pPr>
              <w:spacing w:after="0"/>
              <w:rPr>
                <w:sz w:val="1"/>
                <w:szCs w:val="1"/>
                <w:color w:val="auto"/>
              </w:rPr>
            </w:pPr>
          </w:p>
        </w:tc>
      </w:tr>
      <w:tr>
        <w:trPr>
          <w:trHeight w:val="202"/>
        </w:trPr>
        <w:tc>
          <w:tcPr>
            <w:tcW w:w="6700" w:type="dxa"/>
            <w:vAlign w:val="bottom"/>
          </w:tcPr>
          <w:p>
            <w:pPr>
              <w:ind w:left="40"/>
              <w:spacing w:after="0"/>
              <w:rPr>
                <w:sz w:val="20"/>
                <w:szCs w:val="20"/>
                <w:color w:val="auto"/>
              </w:rPr>
            </w:pPr>
            <w:r>
              <w:rPr>
                <w:rFonts w:ascii="Verdana" w:cs="Verdana" w:eastAsia="Verdana" w:hAnsi="Verdana"/>
                <w:sz w:val="14"/>
                <w:szCs w:val="14"/>
                <w:color w:val="auto"/>
              </w:rPr>
              <w:t>Property and equipment, at cost</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700" w:type="dxa"/>
            <w:vAlign w:val="bottom"/>
          </w:tcPr>
          <w:p>
            <w:pPr>
              <w:ind w:left="160"/>
              <w:spacing w:after="0"/>
              <w:rPr>
                <w:sz w:val="20"/>
                <w:szCs w:val="20"/>
                <w:color w:val="auto"/>
              </w:rPr>
            </w:pPr>
            <w:r>
              <w:rPr>
                <w:rFonts w:ascii="Verdana" w:cs="Verdana" w:eastAsia="Verdana" w:hAnsi="Verdana"/>
                <w:sz w:val="14"/>
                <w:szCs w:val="14"/>
                <w:color w:val="auto"/>
              </w:rPr>
              <w:t>Oil and natural gas properties, full-cost method</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80"/>
              <w:spacing w:after="0"/>
              <w:rPr>
                <w:sz w:val="20"/>
                <w:szCs w:val="20"/>
                <w:color w:val="auto"/>
              </w:rPr>
            </w:pPr>
            <w:r>
              <w:rPr>
                <w:rFonts w:ascii="Verdana" w:cs="Verdana" w:eastAsia="Verdana" w:hAnsi="Verdana"/>
                <w:sz w:val="14"/>
                <w:szCs w:val="14"/>
                <w:color w:val="auto"/>
              </w:rPr>
              <w:t>Evaluated</w:t>
            </w:r>
          </w:p>
        </w:tc>
        <w:tc>
          <w:tcPr>
            <w:tcW w:w="280" w:type="dxa"/>
            <w:vAlign w:val="bottom"/>
          </w:tcPr>
          <w:p>
            <w:pPr>
              <w:spacing w:after="0"/>
              <w:rPr>
                <w:sz w:val="19"/>
                <w:szCs w:val="19"/>
                <w:color w:val="auto"/>
              </w:rPr>
            </w:pPr>
          </w:p>
        </w:tc>
        <w:tc>
          <w:tcPr>
            <w:tcW w:w="1160" w:type="dxa"/>
            <w:vAlign w:val="bottom"/>
          </w:tcPr>
          <w:p>
            <w:pPr>
              <w:jc w:val="right"/>
              <w:ind w:right="42"/>
              <w:spacing w:after="0"/>
              <w:rPr>
                <w:sz w:val="20"/>
                <w:szCs w:val="20"/>
                <w:color w:val="auto"/>
              </w:rPr>
            </w:pPr>
            <w:r>
              <w:rPr>
                <w:rFonts w:ascii="Verdana" w:cs="Verdana" w:eastAsia="Verdana" w:hAnsi="Verdana"/>
                <w:sz w:val="16"/>
                <w:szCs w:val="16"/>
                <w:color w:val="214E93"/>
              </w:rPr>
              <w:t>14,286,726</w:t>
            </w:r>
          </w:p>
        </w:tc>
        <w:tc>
          <w:tcPr>
            <w:tcW w:w="30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Verdana" w:cs="Verdana" w:eastAsia="Verdana" w:hAnsi="Verdana"/>
                <w:sz w:val="16"/>
                <w:szCs w:val="16"/>
                <w:color w:val="131313"/>
              </w:rPr>
              <w:t>12,534,290</w:t>
            </w:r>
          </w:p>
        </w:tc>
        <w:tc>
          <w:tcPr>
            <w:tcW w:w="0" w:type="dxa"/>
            <w:vAlign w:val="bottom"/>
          </w:tcPr>
          <w:p>
            <w:pPr>
              <w:spacing w:after="0"/>
              <w:rPr>
                <w:sz w:val="1"/>
                <w:szCs w:val="1"/>
                <w:color w:val="auto"/>
              </w:rPr>
            </w:pPr>
          </w:p>
        </w:tc>
      </w:tr>
      <w:tr>
        <w:trPr>
          <w:trHeight w:val="221"/>
        </w:trPr>
        <w:tc>
          <w:tcPr>
            <w:tcW w:w="6700" w:type="dxa"/>
            <w:vAlign w:val="bottom"/>
          </w:tcPr>
          <w:p>
            <w:pPr>
              <w:ind w:left="280"/>
              <w:spacing w:after="0"/>
              <w:rPr>
                <w:sz w:val="20"/>
                <w:szCs w:val="20"/>
                <w:color w:val="auto"/>
              </w:rPr>
            </w:pPr>
            <w:r>
              <w:rPr>
                <w:rFonts w:ascii="Verdana" w:cs="Verdana" w:eastAsia="Verdana" w:hAnsi="Verdana"/>
                <w:sz w:val="14"/>
                <w:szCs w:val="14"/>
                <w:color w:val="auto"/>
              </w:rPr>
              <w:t>Unproved and unevaluated</w:t>
            </w:r>
          </w:p>
        </w:tc>
        <w:tc>
          <w:tcPr>
            <w:tcW w:w="280" w:type="dxa"/>
            <w:vAlign w:val="bottom"/>
          </w:tcPr>
          <w:p>
            <w:pPr>
              <w:spacing w:after="0"/>
              <w:rPr>
                <w:sz w:val="19"/>
                <w:szCs w:val="19"/>
                <w:color w:val="auto"/>
              </w:rPr>
            </w:pPr>
          </w:p>
        </w:tc>
        <w:tc>
          <w:tcPr>
            <w:tcW w:w="1160" w:type="dxa"/>
            <w:vAlign w:val="bottom"/>
          </w:tcPr>
          <w:p>
            <w:pPr>
              <w:jc w:val="right"/>
              <w:ind w:right="42"/>
              <w:spacing w:after="0"/>
              <w:rPr>
                <w:sz w:val="20"/>
                <w:szCs w:val="20"/>
                <w:color w:val="auto"/>
              </w:rPr>
            </w:pPr>
            <w:r>
              <w:rPr>
                <w:rFonts w:ascii="Verdana" w:cs="Verdana" w:eastAsia="Verdana" w:hAnsi="Verdana"/>
                <w:sz w:val="16"/>
                <w:szCs w:val="16"/>
                <w:color w:val="214E93"/>
              </w:rPr>
              <w:t>1,823,456</w:t>
            </w:r>
          </w:p>
        </w:tc>
        <w:tc>
          <w:tcPr>
            <w:tcW w:w="30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Verdana" w:cs="Verdana" w:eastAsia="Verdana" w:hAnsi="Verdana"/>
                <w:sz w:val="16"/>
                <w:szCs w:val="16"/>
                <w:color w:val="131313"/>
              </w:rPr>
              <w:t>1,702,203</w:t>
            </w:r>
          </w:p>
        </w:tc>
        <w:tc>
          <w:tcPr>
            <w:tcW w:w="0" w:type="dxa"/>
            <w:vAlign w:val="bottom"/>
          </w:tcPr>
          <w:p>
            <w:pPr>
              <w:spacing w:after="0"/>
              <w:rPr>
                <w:sz w:val="1"/>
                <w:szCs w:val="1"/>
                <w:color w:val="auto"/>
              </w:rPr>
            </w:pPr>
          </w:p>
        </w:tc>
      </w:tr>
      <w:tr>
        <w:trPr>
          <w:trHeight w:val="221"/>
        </w:trPr>
        <w:tc>
          <w:tcPr>
            <w:tcW w:w="6700" w:type="dxa"/>
            <w:vAlign w:val="bottom"/>
          </w:tcPr>
          <w:p>
            <w:pPr>
              <w:ind w:left="160"/>
              <w:spacing w:after="0"/>
              <w:rPr>
                <w:sz w:val="20"/>
                <w:szCs w:val="20"/>
                <w:color w:val="auto"/>
              </w:rPr>
            </w:pPr>
            <w:r>
              <w:rPr>
                <w:rFonts w:ascii="Verdana" w:cs="Verdana" w:eastAsia="Verdana" w:hAnsi="Verdana"/>
                <w:sz w:val="14"/>
                <w:szCs w:val="14"/>
                <w:color w:val="auto"/>
              </w:rPr>
              <w:t>Midstream properties</w:t>
            </w:r>
          </w:p>
        </w:tc>
        <w:tc>
          <w:tcPr>
            <w:tcW w:w="280" w:type="dxa"/>
            <w:vAlign w:val="bottom"/>
          </w:tcPr>
          <w:p>
            <w:pPr>
              <w:spacing w:after="0"/>
              <w:rPr>
                <w:sz w:val="19"/>
                <w:szCs w:val="19"/>
                <w:color w:val="auto"/>
              </w:rPr>
            </w:pPr>
          </w:p>
        </w:tc>
        <w:tc>
          <w:tcPr>
            <w:tcW w:w="1160" w:type="dxa"/>
            <w:vAlign w:val="bottom"/>
          </w:tcPr>
          <w:p>
            <w:pPr>
              <w:jc w:val="right"/>
              <w:ind w:right="42"/>
              <w:spacing w:after="0"/>
              <w:rPr>
                <w:sz w:val="20"/>
                <w:szCs w:val="20"/>
                <w:color w:val="auto"/>
              </w:rPr>
            </w:pPr>
            <w:r>
              <w:rPr>
                <w:rFonts w:ascii="Verdana" w:cs="Verdana" w:eastAsia="Verdana" w:hAnsi="Verdana"/>
                <w:sz w:val="16"/>
                <w:szCs w:val="16"/>
                <w:color w:val="214E93"/>
              </w:rPr>
              <w:t>1,963,059</w:t>
            </w:r>
          </w:p>
        </w:tc>
        <w:tc>
          <w:tcPr>
            <w:tcW w:w="30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Verdana" w:cs="Verdana" w:eastAsia="Verdana" w:hAnsi="Verdana"/>
                <w:sz w:val="16"/>
                <w:szCs w:val="16"/>
                <w:color w:val="131313"/>
              </w:rPr>
              <w:t>1,683,334</w:t>
            </w:r>
          </w:p>
        </w:tc>
        <w:tc>
          <w:tcPr>
            <w:tcW w:w="0" w:type="dxa"/>
            <w:vAlign w:val="bottom"/>
          </w:tcPr>
          <w:p>
            <w:pPr>
              <w:spacing w:after="0"/>
              <w:rPr>
                <w:sz w:val="1"/>
                <w:szCs w:val="1"/>
                <w:color w:val="auto"/>
              </w:rPr>
            </w:pPr>
          </w:p>
        </w:tc>
      </w:tr>
      <w:tr>
        <w:trPr>
          <w:trHeight w:val="221"/>
        </w:trPr>
        <w:tc>
          <w:tcPr>
            <w:tcW w:w="6700" w:type="dxa"/>
            <w:vAlign w:val="bottom"/>
          </w:tcPr>
          <w:p>
            <w:pPr>
              <w:ind w:left="160"/>
              <w:spacing w:after="0"/>
              <w:rPr>
                <w:sz w:val="20"/>
                <w:szCs w:val="20"/>
                <w:color w:val="auto"/>
              </w:rPr>
            </w:pPr>
            <w:r>
              <w:rPr>
                <w:rFonts w:ascii="Verdana" w:cs="Verdana" w:eastAsia="Verdana" w:hAnsi="Verdana"/>
                <w:sz w:val="14"/>
                <w:szCs w:val="14"/>
                <w:color w:val="auto"/>
              </w:rPr>
              <w:t>Other property and equipment</w:t>
            </w:r>
          </w:p>
        </w:tc>
        <w:tc>
          <w:tcPr>
            <w:tcW w:w="280" w:type="dxa"/>
            <w:vAlign w:val="bottom"/>
          </w:tcPr>
          <w:p>
            <w:pPr>
              <w:spacing w:after="0"/>
              <w:rPr>
                <w:sz w:val="19"/>
                <w:szCs w:val="19"/>
                <w:color w:val="auto"/>
              </w:rPr>
            </w:pPr>
          </w:p>
        </w:tc>
        <w:tc>
          <w:tcPr>
            <w:tcW w:w="1160" w:type="dxa"/>
            <w:vAlign w:val="bottom"/>
          </w:tcPr>
          <w:p>
            <w:pPr>
              <w:jc w:val="right"/>
              <w:ind w:right="42"/>
              <w:spacing w:after="0"/>
              <w:rPr>
                <w:sz w:val="20"/>
                <w:szCs w:val="20"/>
                <w:color w:val="auto"/>
              </w:rPr>
            </w:pPr>
            <w:r>
              <w:rPr>
                <w:rFonts w:ascii="Verdana" w:cs="Verdana" w:eastAsia="Verdana" w:hAnsi="Verdana"/>
                <w:sz w:val="16"/>
                <w:szCs w:val="16"/>
                <w:color w:val="214E93"/>
              </w:rPr>
              <w:t>53,199</w:t>
            </w:r>
          </w:p>
        </w:tc>
        <w:tc>
          <w:tcPr>
            <w:tcW w:w="30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Verdana" w:cs="Verdana" w:eastAsia="Verdana" w:hAnsi="Verdana"/>
                <w:sz w:val="16"/>
                <w:szCs w:val="16"/>
                <w:color w:val="131313"/>
              </w:rPr>
              <w:t>47,532</w:t>
            </w:r>
          </w:p>
        </w:tc>
        <w:tc>
          <w:tcPr>
            <w:tcW w:w="0" w:type="dxa"/>
            <w:vAlign w:val="bottom"/>
          </w:tcPr>
          <w:p>
            <w:pPr>
              <w:spacing w:after="0"/>
              <w:rPr>
                <w:sz w:val="1"/>
                <w:szCs w:val="1"/>
                <w:color w:val="auto"/>
              </w:rPr>
            </w:pPr>
          </w:p>
        </w:tc>
      </w:tr>
      <w:tr>
        <w:trPr>
          <w:trHeight w:val="227"/>
        </w:trPr>
        <w:tc>
          <w:tcPr>
            <w:tcW w:w="6700" w:type="dxa"/>
            <w:vAlign w:val="bottom"/>
            <w:tcBorders>
              <w:bottom w:val="single" w:sz="8" w:color="auto"/>
            </w:tcBorders>
          </w:tcPr>
          <w:p>
            <w:pPr>
              <w:ind w:left="160"/>
              <w:spacing w:after="0"/>
              <w:rPr>
                <w:sz w:val="20"/>
                <w:szCs w:val="20"/>
                <w:color w:val="auto"/>
              </w:rPr>
            </w:pPr>
            <w:r>
              <w:rPr>
                <w:rFonts w:ascii="Verdana" w:cs="Verdana" w:eastAsia="Verdana" w:hAnsi="Verdana"/>
                <w:sz w:val="14"/>
                <w:szCs w:val="14"/>
                <w:color w:val="auto"/>
              </w:rPr>
              <w:t>Less accumulated depletion, depreciation and amortization</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214E93"/>
              </w:rPr>
              <w:t>(7,395,142)</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131313"/>
              </w:rPr>
              <w:t>(6,203,263)</w:t>
            </w:r>
          </w:p>
        </w:tc>
        <w:tc>
          <w:tcPr>
            <w:tcW w:w="0" w:type="dxa"/>
            <w:vAlign w:val="bottom"/>
          </w:tcPr>
          <w:p>
            <w:pPr>
              <w:spacing w:after="0"/>
              <w:rPr>
                <w:sz w:val="1"/>
                <w:szCs w:val="1"/>
                <w:color w:val="auto"/>
              </w:rPr>
            </w:pPr>
          </w:p>
        </w:tc>
      </w:tr>
      <w:tr>
        <w:trPr>
          <w:trHeight w:val="207"/>
        </w:trPr>
        <w:tc>
          <w:tcPr>
            <w:tcW w:w="6700" w:type="dxa"/>
            <w:vAlign w:val="bottom"/>
          </w:tcPr>
          <w:p>
            <w:pPr>
              <w:ind w:left="400"/>
              <w:spacing w:after="0"/>
              <w:rPr>
                <w:sz w:val="20"/>
                <w:szCs w:val="20"/>
                <w:color w:val="auto"/>
              </w:rPr>
            </w:pPr>
            <w:r>
              <w:rPr>
                <w:rFonts w:ascii="Verdana" w:cs="Verdana" w:eastAsia="Verdana" w:hAnsi="Verdana"/>
                <w:sz w:val="14"/>
                <w:szCs w:val="14"/>
                <w:color w:val="auto"/>
              </w:rPr>
              <w:t>Net property and equipment</w:t>
            </w:r>
          </w:p>
        </w:tc>
        <w:tc>
          <w:tcPr>
            <w:tcW w:w="280" w:type="dxa"/>
            <w:vAlign w:val="bottom"/>
          </w:tcPr>
          <w:p>
            <w:pPr>
              <w:spacing w:after="0"/>
              <w:rPr>
                <w:sz w:val="17"/>
                <w:szCs w:val="17"/>
                <w:color w:val="auto"/>
              </w:rPr>
            </w:pPr>
          </w:p>
        </w:tc>
        <w:tc>
          <w:tcPr>
            <w:tcW w:w="1160" w:type="dxa"/>
            <w:vAlign w:val="bottom"/>
          </w:tcPr>
          <w:p>
            <w:pPr>
              <w:jc w:val="right"/>
              <w:ind w:right="42"/>
              <w:spacing w:after="0"/>
              <w:rPr>
                <w:sz w:val="20"/>
                <w:szCs w:val="20"/>
                <w:color w:val="auto"/>
              </w:rPr>
            </w:pPr>
            <w:r>
              <w:rPr>
                <w:rFonts w:ascii="Verdana" w:cs="Verdana" w:eastAsia="Verdana" w:hAnsi="Verdana"/>
                <w:sz w:val="16"/>
                <w:szCs w:val="16"/>
                <w:color w:val="214E93"/>
              </w:rPr>
              <w:t>10,731,298</w:t>
            </w:r>
          </w:p>
        </w:tc>
        <w:tc>
          <w:tcPr>
            <w:tcW w:w="30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Verdana" w:cs="Verdana" w:eastAsia="Verdana" w:hAnsi="Verdana"/>
                <w:sz w:val="16"/>
                <w:szCs w:val="16"/>
                <w:color w:val="131313"/>
              </w:rPr>
              <w:t>9,764,096</w:t>
            </w:r>
          </w:p>
        </w:tc>
        <w:tc>
          <w:tcPr>
            <w:tcW w:w="0" w:type="dxa"/>
            <w:vAlign w:val="bottom"/>
          </w:tcPr>
          <w:p>
            <w:pPr>
              <w:spacing w:after="0"/>
              <w:rPr>
                <w:sz w:val="1"/>
                <w:szCs w:val="1"/>
                <w:color w:val="auto"/>
              </w:rPr>
            </w:pPr>
          </w:p>
        </w:tc>
      </w:tr>
      <w:tr>
        <w:trPr>
          <w:trHeight w:val="202"/>
        </w:trPr>
        <w:tc>
          <w:tcPr>
            <w:tcW w:w="6700" w:type="dxa"/>
            <w:vAlign w:val="bottom"/>
          </w:tcPr>
          <w:p>
            <w:pPr>
              <w:ind w:left="40"/>
              <w:spacing w:after="0"/>
              <w:rPr>
                <w:sz w:val="20"/>
                <w:szCs w:val="20"/>
                <w:color w:val="auto"/>
              </w:rPr>
            </w:pPr>
            <w:r>
              <w:rPr>
                <w:rFonts w:ascii="Verdana" w:cs="Verdana" w:eastAsia="Verdana" w:hAnsi="Verdana"/>
                <w:sz w:val="14"/>
                <w:szCs w:val="14"/>
                <w:color w:val="auto"/>
              </w:rPr>
              <w:t>Other assets</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700" w:type="dxa"/>
            <w:vAlign w:val="bottom"/>
            <w:tcBorders>
              <w:bottom w:val="single" w:sz="8" w:color="auto"/>
            </w:tcBorders>
          </w:tcPr>
          <w:p>
            <w:pPr>
              <w:ind w:left="160"/>
              <w:spacing w:after="0"/>
              <w:rPr>
                <w:sz w:val="20"/>
                <w:szCs w:val="20"/>
                <w:color w:val="auto"/>
              </w:rPr>
            </w:pPr>
            <w:r>
              <w:rPr>
                <w:rFonts w:ascii="Verdana" w:cs="Verdana" w:eastAsia="Verdana" w:hAnsi="Verdana"/>
                <w:sz w:val="14"/>
                <w:szCs w:val="14"/>
                <w:color w:val="auto"/>
              </w:rPr>
              <w:t>Other long-term assets</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2"/>
              <w:spacing w:after="0"/>
              <w:rPr>
                <w:sz w:val="20"/>
                <w:szCs w:val="20"/>
                <w:color w:val="auto"/>
              </w:rPr>
            </w:pPr>
            <w:r>
              <w:rPr>
                <w:rFonts w:ascii="Verdana" w:cs="Verdana" w:eastAsia="Verdana" w:hAnsi="Verdana"/>
                <w:sz w:val="16"/>
                <w:szCs w:val="16"/>
                <w:color w:val="214E93"/>
              </w:rPr>
              <w:t>162,703</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131313"/>
              </w:rPr>
              <w:t>158,668</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214E93"/>
            </w:tcBorders>
          </w:tcPr>
          <w:p>
            <w:pPr>
              <w:ind w:left="400"/>
              <w:spacing w:after="0"/>
              <w:rPr>
                <w:sz w:val="20"/>
                <w:szCs w:val="20"/>
                <w:color w:val="auto"/>
              </w:rPr>
            </w:pPr>
            <w:r>
              <w:rPr>
                <w:rFonts w:ascii="Verdana" w:cs="Verdana" w:eastAsia="Verdana" w:hAnsi="Verdana"/>
                <w:sz w:val="14"/>
                <w:szCs w:val="14"/>
                <w:color w:val="auto"/>
              </w:rPr>
              <w:t>Total assets</w:t>
            </w:r>
          </w:p>
        </w:tc>
        <w:tc>
          <w:tcPr>
            <w:tcW w:w="280" w:type="dxa"/>
            <w:vAlign w:val="bottom"/>
            <w:tcBorders>
              <w:bottom w:val="single" w:sz="8" w:color="214E93"/>
            </w:tcBorders>
          </w:tcPr>
          <w:p>
            <w:pPr>
              <w:jc w:val="right"/>
              <w:ind w:right="41"/>
              <w:spacing w:after="0"/>
              <w:rPr>
                <w:sz w:val="20"/>
                <w:szCs w:val="20"/>
                <w:color w:val="auto"/>
              </w:rPr>
            </w:pPr>
            <w:r>
              <w:rPr>
                <w:rFonts w:ascii="Verdana" w:cs="Verdana" w:eastAsia="Verdana" w:hAnsi="Verdana"/>
                <w:sz w:val="16"/>
                <w:szCs w:val="16"/>
                <w:color w:val="214E93"/>
              </w:rPr>
              <w:t>$</w:t>
            </w:r>
          </w:p>
        </w:tc>
        <w:tc>
          <w:tcPr>
            <w:tcW w:w="1160" w:type="dxa"/>
            <w:vAlign w:val="bottom"/>
            <w:tcBorders>
              <w:bottom w:val="single" w:sz="8" w:color="214E93"/>
            </w:tcBorders>
          </w:tcPr>
          <w:p>
            <w:pPr>
              <w:jc w:val="right"/>
              <w:ind w:right="42"/>
              <w:spacing w:after="0"/>
              <w:rPr>
                <w:sz w:val="20"/>
                <w:szCs w:val="20"/>
                <w:color w:val="auto"/>
              </w:rPr>
            </w:pPr>
            <w:r>
              <w:rPr>
                <w:rFonts w:ascii="Verdana" w:cs="Verdana" w:eastAsia="Verdana" w:hAnsi="Verdana"/>
                <w:sz w:val="16"/>
                <w:szCs w:val="16"/>
                <w:color w:val="214E93"/>
              </w:rPr>
              <w:t>11,710,569</w:t>
            </w:r>
          </w:p>
        </w:tc>
        <w:tc>
          <w:tcPr>
            <w:tcW w:w="300" w:type="dxa"/>
            <w:vAlign w:val="bottom"/>
            <w:tcBorders>
              <w:bottom w:val="single" w:sz="8" w:color="214E93"/>
            </w:tcBorders>
          </w:tcPr>
          <w:p>
            <w:pPr>
              <w:jc w:val="right"/>
              <w:ind w:right="41"/>
              <w:spacing w:after="0"/>
              <w:rPr>
                <w:sz w:val="20"/>
                <w:szCs w:val="20"/>
                <w:color w:val="auto"/>
              </w:rPr>
            </w:pPr>
            <w:r>
              <w:rPr>
                <w:rFonts w:ascii="Verdana" w:cs="Verdana" w:eastAsia="Verdana" w:hAnsi="Verdana"/>
                <w:sz w:val="16"/>
                <w:szCs w:val="16"/>
                <w:color w:val="131313"/>
              </w:rPr>
              <w:t>$</w:t>
            </w:r>
          </w:p>
        </w:tc>
        <w:tc>
          <w:tcPr>
            <w:tcW w:w="1120" w:type="dxa"/>
            <w:vAlign w:val="bottom"/>
            <w:tcBorders>
              <w:bottom w:val="single" w:sz="8" w:color="214E93"/>
            </w:tcBorders>
          </w:tcPr>
          <w:p>
            <w:pPr>
              <w:jc w:val="right"/>
              <w:ind w:right="2"/>
              <w:spacing w:after="0"/>
              <w:rPr>
                <w:sz w:val="20"/>
                <w:szCs w:val="20"/>
                <w:color w:val="auto"/>
              </w:rPr>
            </w:pPr>
            <w:r>
              <w:rPr>
                <w:rFonts w:ascii="Verdana" w:cs="Verdana" w:eastAsia="Verdana" w:hAnsi="Verdana"/>
                <w:sz w:val="16"/>
                <w:szCs w:val="16"/>
                <w:color w:val="131313"/>
              </w:rPr>
              <w:t>10,850,109</w:t>
            </w:r>
          </w:p>
        </w:tc>
        <w:tc>
          <w:tcPr>
            <w:tcW w:w="0" w:type="dxa"/>
            <w:vAlign w:val="bottom"/>
          </w:tcPr>
          <w:p>
            <w:pPr>
              <w:spacing w:after="0"/>
              <w:rPr>
                <w:sz w:val="1"/>
                <w:szCs w:val="1"/>
                <w:color w:val="auto"/>
              </w:rPr>
            </w:pPr>
          </w:p>
        </w:tc>
      </w:tr>
      <w:tr>
        <w:trPr>
          <w:trHeight w:val="187"/>
        </w:trPr>
        <w:tc>
          <w:tcPr>
            <w:tcW w:w="6700" w:type="dxa"/>
            <w:vAlign w:val="bottom"/>
          </w:tcPr>
          <w:p>
            <w:pPr>
              <w:ind w:left="40"/>
              <w:spacing w:after="0"/>
              <w:rPr>
                <w:sz w:val="20"/>
                <w:szCs w:val="20"/>
                <w:color w:val="auto"/>
              </w:rPr>
            </w:pPr>
            <w:r>
              <w:rPr>
                <w:rFonts w:ascii="Verdana" w:cs="Verdana" w:eastAsia="Verdana" w:hAnsi="Verdana"/>
                <w:sz w:val="14"/>
                <w:szCs w:val="14"/>
                <w:color w:val="auto"/>
              </w:rPr>
              <w:t>LIABILITIES AND SHAREHOLDERS’ EQUITY</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700" w:type="dxa"/>
            <w:vAlign w:val="bottom"/>
          </w:tcPr>
          <w:p>
            <w:pPr>
              <w:ind w:left="40"/>
              <w:spacing w:after="0"/>
              <w:rPr>
                <w:sz w:val="20"/>
                <w:szCs w:val="20"/>
                <w:color w:val="auto"/>
              </w:rPr>
            </w:pPr>
            <w:r>
              <w:rPr>
                <w:rFonts w:ascii="Verdana" w:cs="Verdana" w:eastAsia="Verdana" w:hAnsi="Verdana"/>
                <w:sz w:val="14"/>
                <w:szCs w:val="14"/>
                <w:color w:val="auto"/>
              </w:rPr>
              <w:t>Current liabilities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60"/>
              <w:spacing w:after="0"/>
              <w:rPr>
                <w:sz w:val="20"/>
                <w:szCs w:val="20"/>
                <w:color w:val="auto"/>
              </w:rPr>
            </w:pPr>
            <w:r>
              <w:rPr>
                <w:rFonts w:ascii="Verdana" w:cs="Verdana" w:eastAsia="Verdana" w:hAnsi="Verdana"/>
                <w:sz w:val="14"/>
                <w:szCs w:val="14"/>
                <w:color w:val="auto"/>
              </w:rPr>
              <w:t>Accounts payable and accrued liabilities</w:t>
            </w:r>
          </w:p>
        </w:tc>
        <w:tc>
          <w:tcPr>
            <w:tcW w:w="280" w:type="dxa"/>
            <w:vAlign w:val="bottom"/>
          </w:tcPr>
          <w:p>
            <w:pPr>
              <w:jc w:val="right"/>
              <w:ind w:right="41"/>
              <w:spacing w:after="0"/>
              <w:rPr>
                <w:sz w:val="20"/>
                <w:szCs w:val="20"/>
                <w:color w:val="auto"/>
              </w:rPr>
            </w:pPr>
            <w:r>
              <w:rPr>
                <w:rFonts w:ascii="Verdana" w:cs="Verdana" w:eastAsia="Verdana" w:hAnsi="Verdana"/>
                <w:sz w:val="16"/>
                <w:szCs w:val="16"/>
                <w:color w:val="214E93"/>
              </w:rPr>
              <w:t>$</w:t>
            </w:r>
          </w:p>
        </w:tc>
        <w:tc>
          <w:tcPr>
            <w:tcW w:w="1160" w:type="dxa"/>
            <w:vAlign w:val="bottom"/>
          </w:tcPr>
          <w:p>
            <w:pPr>
              <w:jc w:val="right"/>
              <w:ind w:right="42"/>
              <w:spacing w:after="0"/>
              <w:rPr>
                <w:sz w:val="20"/>
                <w:szCs w:val="20"/>
                <w:color w:val="auto"/>
              </w:rPr>
            </w:pPr>
            <w:r>
              <w:rPr>
                <w:rFonts w:ascii="Verdana" w:cs="Verdana" w:eastAsia="Verdana" w:hAnsi="Verdana"/>
                <w:sz w:val="16"/>
                <w:szCs w:val="16"/>
                <w:color w:val="214E93"/>
              </w:rPr>
              <w:t>540,620</w:t>
            </w:r>
          </w:p>
        </w:tc>
        <w:tc>
          <w:tcPr>
            <w:tcW w:w="300" w:type="dxa"/>
            <w:vAlign w:val="bottom"/>
          </w:tcPr>
          <w:p>
            <w:pPr>
              <w:jc w:val="right"/>
              <w:ind w:right="41"/>
              <w:spacing w:after="0"/>
              <w:rPr>
                <w:sz w:val="20"/>
                <w:szCs w:val="20"/>
                <w:color w:val="auto"/>
              </w:rPr>
            </w:pPr>
            <w:r>
              <w:rPr>
                <w:rFonts w:ascii="Verdana" w:cs="Verdana" w:eastAsia="Verdana" w:hAnsi="Verdana"/>
                <w:sz w:val="16"/>
                <w:szCs w:val="16"/>
                <w:color w:val="131313"/>
              </w:rPr>
              <w:t>$</w:t>
            </w:r>
          </w:p>
        </w:tc>
        <w:tc>
          <w:tcPr>
            <w:tcW w:w="1120" w:type="dxa"/>
            <w:vAlign w:val="bottom"/>
          </w:tcPr>
          <w:p>
            <w:pPr>
              <w:jc w:val="right"/>
              <w:ind w:right="2"/>
              <w:spacing w:after="0"/>
              <w:rPr>
                <w:sz w:val="20"/>
                <w:szCs w:val="20"/>
                <w:color w:val="auto"/>
              </w:rPr>
            </w:pPr>
            <w:r>
              <w:rPr>
                <w:rFonts w:ascii="Verdana" w:cs="Verdana" w:eastAsia="Verdana" w:hAnsi="Verdana"/>
                <w:sz w:val="16"/>
                <w:szCs w:val="16"/>
                <w:color w:val="131313"/>
              </w:rPr>
              <w:t>619,167</w:t>
            </w:r>
          </w:p>
        </w:tc>
        <w:tc>
          <w:tcPr>
            <w:tcW w:w="0" w:type="dxa"/>
            <w:vAlign w:val="bottom"/>
          </w:tcPr>
          <w:p>
            <w:pPr>
              <w:spacing w:after="0"/>
              <w:rPr>
                <w:sz w:val="1"/>
                <w:szCs w:val="1"/>
                <w:color w:val="auto"/>
              </w:rPr>
            </w:pPr>
          </w:p>
        </w:tc>
      </w:tr>
      <w:tr>
        <w:trPr>
          <w:trHeight w:val="221"/>
        </w:trPr>
        <w:tc>
          <w:tcPr>
            <w:tcW w:w="6700" w:type="dxa"/>
            <w:vAlign w:val="bottom"/>
          </w:tcPr>
          <w:p>
            <w:pPr>
              <w:ind w:left="160"/>
              <w:spacing w:after="0"/>
              <w:rPr>
                <w:sz w:val="20"/>
                <w:szCs w:val="20"/>
                <w:color w:val="auto"/>
              </w:rPr>
            </w:pPr>
            <w:r>
              <w:rPr>
                <w:rFonts w:ascii="Verdana" w:cs="Verdana" w:eastAsia="Verdana" w:hAnsi="Verdana"/>
                <w:sz w:val="14"/>
                <w:szCs w:val="14"/>
                <w:color w:val="auto"/>
              </w:rPr>
              <w:t>Royalties payable</w:t>
            </w:r>
          </w:p>
        </w:tc>
        <w:tc>
          <w:tcPr>
            <w:tcW w:w="280" w:type="dxa"/>
            <w:vAlign w:val="bottom"/>
          </w:tcPr>
          <w:p>
            <w:pPr>
              <w:spacing w:after="0"/>
              <w:rPr>
                <w:sz w:val="19"/>
                <w:szCs w:val="19"/>
                <w:color w:val="auto"/>
              </w:rPr>
            </w:pPr>
          </w:p>
        </w:tc>
        <w:tc>
          <w:tcPr>
            <w:tcW w:w="1160" w:type="dxa"/>
            <w:vAlign w:val="bottom"/>
          </w:tcPr>
          <w:p>
            <w:pPr>
              <w:jc w:val="right"/>
              <w:ind w:right="42"/>
              <w:spacing w:after="0"/>
              <w:rPr>
                <w:sz w:val="20"/>
                <w:szCs w:val="20"/>
                <w:color w:val="auto"/>
              </w:rPr>
            </w:pPr>
            <w:r>
              <w:rPr>
                <w:rFonts w:ascii="Verdana" w:cs="Verdana" w:eastAsia="Verdana" w:hAnsi="Verdana"/>
                <w:sz w:val="16"/>
                <w:szCs w:val="16"/>
                <w:color w:val="214E93"/>
              </w:rPr>
              <w:t>351,062</w:t>
            </w:r>
          </w:p>
        </w:tc>
        <w:tc>
          <w:tcPr>
            <w:tcW w:w="30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Verdana" w:cs="Verdana" w:eastAsia="Verdana" w:hAnsi="Verdana"/>
                <w:sz w:val="16"/>
                <w:szCs w:val="16"/>
                <w:color w:val="131313"/>
              </w:rPr>
              <w:t>227,865</w:t>
            </w:r>
          </w:p>
        </w:tc>
        <w:tc>
          <w:tcPr>
            <w:tcW w:w="0" w:type="dxa"/>
            <w:vAlign w:val="bottom"/>
          </w:tcPr>
          <w:p>
            <w:pPr>
              <w:spacing w:after="0"/>
              <w:rPr>
                <w:sz w:val="1"/>
                <w:szCs w:val="1"/>
                <w:color w:val="auto"/>
              </w:rPr>
            </w:pPr>
          </w:p>
        </w:tc>
      </w:tr>
      <w:tr>
        <w:trPr>
          <w:trHeight w:val="221"/>
        </w:trPr>
        <w:tc>
          <w:tcPr>
            <w:tcW w:w="6700" w:type="dxa"/>
            <w:vAlign w:val="bottom"/>
          </w:tcPr>
          <w:p>
            <w:pPr>
              <w:ind w:left="160"/>
              <w:spacing w:after="0"/>
              <w:rPr>
                <w:sz w:val="20"/>
                <w:szCs w:val="20"/>
                <w:color w:val="auto"/>
              </w:rPr>
            </w:pPr>
            <w:r>
              <w:rPr>
                <w:rFonts w:ascii="Verdana" w:cs="Verdana" w:eastAsia="Verdana" w:hAnsi="Verdana"/>
                <w:sz w:val="14"/>
                <w:szCs w:val="14"/>
                <w:color w:val="auto"/>
              </w:rPr>
              <w:t>Advances from joint interest owners</w:t>
            </w:r>
          </w:p>
        </w:tc>
        <w:tc>
          <w:tcPr>
            <w:tcW w:w="280" w:type="dxa"/>
            <w:vAlign w:val="bottom"/>
          </w:tcPr>
          <w:p>
            <w:pPr>
              <w:spacing w:after="0"/>
              <w:rPr>
                <w:sz w:val="19"/>
                <w:szCs w:val="19"/>
                <w:color w:val="auto"/>
              </w:rPr>
            </w:pPr>
          </w:p>
        </w:tc>
        <w:tc>
          <w:tcPr>
            <w:tcW w:w="1160" w:type="dxa"/>
            <w:vAlign w:val="bottom"/>
          </w:tcPr>
          <w:p>
            <w:pPr>
              <w:jc w:val="right"/>
              <w:ind w:right="42"/>
              <w:spacing w:after="0"/>
              <w:rPr>
                <w:sz w:val="20"/>
                <w:szCs w:val="20"/>
                <w:color w:val="auto"/>
              </w:rPr>
            </w:pPr>
            <w:r>
              <w:rPr>
                <w:rFonts w:ascii="Verdana" w:cs="Verdana" w:eastAsia="Verdana" w:hAnsi="Verdana"/>
                <w:sz w:val="16"/>
                <w:szCs w:val="16"/>
                <w:color w:val="214E93"/>
              </w:rPr>
              <w:t>64,169</w:t>
            </w:r>
          </w:p>
        </w:tc>
        <w:tc>
          <w:tcPr>
            <w:tcW w:w="30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Verdana" w:cs="Verdana" w:eastAsia="Verdana" w:hAnsi="Verdana"/>
                <w:sz w:val="16"/>
                <w:szCs w:val="16"/>
                <w:color w:val="131313"/>
              </w:rPr>
              <w:t>83,338</w:t>
            </w:r>
          </w:p>
        </w:tc>
        <w:tc>
          <w:tcPr>
            <w:tcW w:w="0" w:type="dxa"/>
            <w:vAlign w:val="bottom"/>
          </w:tcPr>
          <w:p>
            <w:pPr>
              <w:spacing w:after="0"/>
              <w:rPr>
                <w:sz w:val="1"/>
                <w:szCs w:val="1"/>
                <w:color w:val="auto"/>
              </w:rPr>
            </w:pPr>
          </w:p>
        </w:tc>
      </w:tr>
      <w:tr>
        <w:trPr>
          <w:trHeight w:val="227"/>
        </w:trPr>
        <w:tc>
          <w:tcPr>
            <w:tcW w:w="6700" w:type="dxa"/>
            <w:vAlign w:val="bottom"/>
            <w:tcBorders>
              <w:bottom w:val="single" w:sz="8" w:color="auto"/>
            </w:tcBorders>
          </w:tcPr>
          <w:p>
            <w:pPr>
              <w:ind w:left="160"/>
              <w:spacing w:after="0"/>
              <w:rPr>
                <w:sz w:val="20"/>
                <w:szCs w:val="20"/>
                <w:color w:val="auto"/>
              </w:rPr>
            </w:pPr>
            <w:r>
              <w:rPr>
                <w:rFonts w:ascii="Verdana" w:cs="Verdana" w:eastAsia="Verdana" w:hAnsi="Verdana"/>
                <w:sz w:val="14"/>
                <w:szCs w:val="14"/>
                <w:color w:val="auto"/>
              </w:rPr>
              <w:t>Other current liabilities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2"/>
              <w:spacing w:after="0"/>
              <w:rPr>
                <w:sz w:val="20"/>
                <w:szCs w:val="20"/>
                <w:color w:val="auto"/>
              </w:rPr>
            </w:pPr>
            <w:r>
              <w:rPr>
                <w:rFonts w:ascii="Verdana" w:cs="Verdana" w:eastAsia="Verdana" w:hAnsi="Verdana"/>
                <w:sz w:val="16"/>
                <w:szCs w:val="16"/>
                <w:color w:val="214E93"/>
              </w:rPr>
              <w:t>75,658</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131313"/>
              </w:rPr>
              <w:t>64,987</w:t>
            </w:r>
          </w:p>
        </w:tc>
        <w:tc>
          <w:tcPr>
            <w:tcW w:w="0" w:type="dxa"/>
            <w:vAlign w:val="bottom"/>
          </w:tcPr>
          <w:p>
            <w:pPr>
              <w:spacing w:after="0"/>
              <w:rPr>
                <w:sz w:val="1"/>
                <w:szCs w:val="1"/>
                <w:color w:val="auto"/>
              </w:rPr>
            </w:pPr>
          </w:p>
        </w:tc>
      </w:tr>
      <w:tr>
        <w:trPr>
          <w:trHeight w:val="207"/>
        </w:trPr>
        <w:tc>
          <w:tcPr>
            <w:tcW w:w="6700" w:type="dxa"/>
            <w:vAlign w:val="bottom"/>
          </w:tcPr>
          <w:p>
            <w:pPr>
              <w:ind w:left="400"/>
              <w:spacing w:after="0"/>
              <w:rPr>
                <w:sz w:val="20"/>
                <w:szCs w:val="20"/>
                <w:color w:val="auto"/>
              </w:rPr>
            </w:pPr>
            <w:r>
              <w:rPr>
                <w:rFonts w:ascii="Verdana" w:cs="Verdana" w:eastAsia="Verdana" w:hAnsi="Verdana"/>
                <w:sz w:val="14"/>
                <w:szCs w:val="14"/>
                <w:color w:val="auto"/>
              </w:rPr>
              <w:t>Total current liabilities</w:t>
            </w:r>
          </w:p>
        </w:tc>
        <w:tc>
          <w:tcPr>
            <w:tcW w:w="280" w:type="dxa"/>
            <w:vAlign w:val="bottom"/>
          </w:tcPr>
          <w:p>
            <w:pPr>
              <w:spacing w:after="0"/>
              <w:rPr>
                <w:sz w:val="17"/>
                <w:szCs w:val="17"/>
                <w:color w:val="auto"/>
              </w:rPr>
            </w:pPr>
          </w:p>
        </w:tc>
        <w:tc>
          <w:tcPr>
            <w:tcW w:w="1160" w:type="dxa"/>
            <w:vAlign w:val="bottom"/>
          </w:tcPr>
          <w:p>
            <w:pPr>
              <w:jc w:val="right"/>
              <w:ind w:right="42"/>
              <w:spacing w:after="0"/>
              <w:rPr>
                <w:sz w:val="20"/>
                <w:szCs w:val="20"/>
                <w:color w:val="auto"/>
              </w:rPr>
            </w:pPr>
            <w:r>
              <w:rPr>
                <w:rFonts w:ascii="Verdana" w:cs="Verdana" w:eastAsia="Verdana" w:hAnsi="Verdana"/>
                <w:sz w:val="16"/>
                <w:szCs w:val="16"/>
                <w:color w:val="214E93"/>
              </w:rPr>
              <w:t>1,031,509</w:t>
            </w:r>
          </w:p>
        </w:tc>
        <w:tc>
          <w:tcPr>
            <w:tcW w:w="30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Verdana" w:cs="Verdana" w:eastAsia="Verdana" w:hAnsi="Verdana"/>
                <w:sz w:val="16"/>
                <w:szCs w:val="16"/>
                <w:color w:val="131313"/>
              </w:rPr>
              <w:t>995,357</w:t>
            </w:r>
          </w:p>
        </w:tc>
        <w:tc>
          <w:tcPr>
            <w:tcW w:w="0" w:type="dxa"/>
            <w:vAlign w:val="bottom"/>
          </w:tcPr>
          <w:p>
            <w:pPr>
              <w:spacing w:after="0"/>
              <w:rPr>
                <w:sz w:val="1"/>
                <w:szCs w:val="1"/>
                <w:color w:val="auto"/>
              </w:rPr>
            </w:pPr>
          </w:p>
        </w:tc>
      </w:tr>
      <w:tr>
        <w:trPr>
          <w:trHeight w:val="202"/>
        </w:trPr>
        <w:tc>
          <w:tcPr>
            <w:tcW w:w="6700" w:type="dxa"/>
            <w:vAlign w:val="bottom"/>
          </w:tcPr>
          <w:p>
            <w:pPr>
              <w:ind w:left="40"/>
              <w:spacing w:after="0"/>
              <w:rPr>
                <w:sz w:val="20"/>
                <w:szCs w:val="20"/>
                <w:color w:val="auto"/>
              </w:rPr>
            </w:pPr>
            <w:r>
              <w:rPr>
                <w:rFonts w:ascii="Verdana" w:cs="Verdana" w:eastAsia="Verdana" w:hAnsi="Verdana"/>
                <w:sz w:val="14"/>
                <w:szCs w:val="14"/>
                <w:color w:val="auto"/>
              </w:rPr>
              <w:t>Long-term liabilities</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60"/>
              <w:spacing w:after="0"/>
              <w:rPr>
                <w:sz w:val="20"/>
                <w:szCs w:val="20"/>
                <w:color w:val="auto"/>
              </w:rPr>
            </w:pPr>
            <w:r>
              <w:rPr>
                <w:rFonts w:ascii="Verdana" w:cs="Verdana" w:eastAsia="Verdana" w:hAnsi="Verdana"/>
                <w:sz w:val="14"/>
                <w:szCs w:val="14"/>
                <w:color w:val="auto"/>
              </w:rPr>
              <w:t>Borrowings under Credit Agreement</w:t>
            </w:r>
          </w:p>
        </w:tc>
        <w:tc>
          <w:tcPr>
            <w:tcW w:w="280" w:type="dxa"/>
            <w:vAlign w:val="bottom"/>
          </w:tcPr>
          <w:p>
            <w:pPr>
              <w:spacing w:after="0"/>
              <w:rPr>
                <w:sz w:val="19"/>
                <w:szCs w:val="19"/>
                <w:color w:val="auto"/>
              </w:rPr>
            </w:pPr>
          </w:p>
        </w:tc>
        <w:tc>
          <w:tcPr>
            <w:tcW w:w="1160" w:type="dxa"/>
            <w:vAlign w:val="bottom"/>
          </w:tcPr>
          <w:p>
            <w:pPr>
              <w:jc w:val="right"/>
              <w:ind w:right="42"/>
              <w:spacing w:after="0"/>
              <w:rPr>
                <w:sz w:val="20"/>
                <w:szCs w:val="20"/>
                <w:color w:val="auto"/>
              </w:rPr>
            </w:pPr>
            <w:r>
              <w:rPr>
                <w:rFonts w:ascii="Verdana" w:cs="Verdana" w:eastAsia="Verdana" w:hAnsi="Verdana"/>
                <w:sz w:val="16"/>
                <w:szCs w:val="16"/>
                <w:color w:val="214E93"/>
              </w:rPr>
              <w:t>398,000</w:t>
            </w:r>
          </w:p>
        </w:tc>
        <w:tc>
          <w:tcPr>
            <w:tcW w:w="30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Verdana" w:cs="Verdana" w:eastAsia="Verdana" w:hAnsi="Verdana"/>
                <w:sz w:val="16"/>
                <w:szCs w:val="16"/>
                <w:color w:val="131313"/>
              </w:rPr>
              <w:t>595,500</w:t>
            </w:r>
          </w:p>
        </w:tc>
        <w:tc>
          <w:tcPr>
            <w:tcW w:w="0" w:type="dxa"/>
            <w:vAlign w:val="bottom"/>
          </w:tcPr>
          <w:p>
            <w:pPr>
              <w:spacing w:after="0"/>
              <w:rPr>
                <w:sz w:val="1"/>
                <w:szCs w:val="1"/>
                <w:color w:val="auto"/>
              </w:rPr>
            </w:pPr>
          </w:p>
        </w:tc>
      </w:tr>
      <w:tr>
        <w:trPr>
          <w:trHeight w:val="221"/>
        </w:trPr>
        <w:tc>
          <w:tcPr>
            <w:tcW w:w="6700" w:type="dxa"/>
            <w:vAlign w:val="bottom"/>
          </w:tcPr>
          <w:p>
            <w:pPr>
              <w:ind w:left="160"/>
              <w:spacing w:after="0"/>
              <w:rPr>
                <w:sz w:val="20"/>
                <w:szCs w:val="20"/>
                <w:color w:val="auto"/>
              </w:rPr>
            </w:pPr>
            <w:r>
              <w:rPr>
                <w:rFonts w:ascii="Verdana" w:cs="Verdana" w:eastAsia="Verdana" w:hAnsi="Verdana"/>
                <w:sz w:val="14"/>
                <w:szCs w:val="14"/>
                <w:color w:val="auto"/>
              </w:rPr>
              <w:t>Borrowings under San Mateo Credit Facility</w:t>
            </w:r>
          </w:p>
        </w:tc>
        <w:tc>
          <w:tcPr>
            <w:tcW w:w="280" w:type="dxa"/>
            <w:vAlign w:val="bottom"/>
          </w:tcPr>
          <w:p>
            <w:pPr>
              <w:spacing w:after="0"/>
              <w:rPr>
                <w:sz w:val="19"/>
                <w:szCs w:val="19"/>
                <w:color w:val="auto"/>
              </w:rPr>
            </w:pPr>
          </w:p>
        </w:tc>
        <w:tc>
          <w:tcPr>
            <w:tcW w:w="1160" w:type="dxa"/>
            <w:vAlign w:val="bottom"/>
          </w:tcPr>
          <w:p>
            <w:pPr>
              <w:jc w:val="right"/>
              <w:ind w:right="42"/>
              <w:spacing w:after="0"/>
              <w:rPr>
                <w:sz w:val="20"/>
                <w:szCs w:val="20"/>
                <w:color w:val="auto"/>
              </w:rPr>
            </w:pPr>
            <w:r>
              <w:rPr>
                <w:rFonts w:ascii="Verdana" w:cs="Verdana" w:eastAsia="Verdana" w:hAnsi="Verdana"/>
                <w:sz w:val="16"/>
                <w:szCs w:val="16"/>
                <w:color w:val="214E93"/>
              </w:rPr>
              <w:t>883,000</w:t>
            </w:r>
          </w:p>
        </w:tc>
        <w:tc>
          <w:tcPr>
            <w:tcW w:w="30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Verdana" w:cs="Verdana" w:eastAsia="Verdana" w:hAnsi="Verdana"/>
                <w:sz w:val="16"/>
                <w:szCs w:val="16"/>
                <w:color w:val="131313"/>
              </w:rPr>
              <w:t>615,000</w:t>
            </w:r>
          </w:p>
        </w:tc>
        <w:tc>
          <w:tcPr>
            <w:tcW w:w="0" w:type="dxa"/>
            <w:vAlign w:val="bottom"/>
          </w:tcPr>
          <w:p>
            <w:pPr>
              <w:spacing w:after="0"/>
              <w:rPr>
                <w:sz w:val="1"/>
                <w:szCs w:val="1"/>
                <w:color w:val="auto"/>
              </w:rPr>
            </w:pPr>
          </w:p>
        </w:tc>
      </w:tr>
      <w:tr>
        <w:trPr>
          <w:trHeight w:val="221"/>
        </w:trPr>
        <w:tc>
          <w:tcPr>
            <w:tcW w:w="6700" w:type="dxa"/>
            <w:vAlign w:val="bottom"/>
          </w:tcPr>
          <w:p>
            <w:pPr>
              <w:ind w:left="160"/>
              <w:spacing w:after="0"/>
              <w:rPr>
                <w:sz w:val="20"/>
                <w:szCs w:val="20"/>
                <w:color w:val="auto"/>
              </w:rPr>
            </w:pPr>
            <w:r>
              <w:rPr>
                <w:rFonts w:ascii="Verdana" w:cs="Verdana" w:eastAsia="Verdana" w:hAnsi="Verdana"/>
                <w:sz w:val="14"/>
                <w:szCs w:val="14"/>
                <w:color w:val="auto"/>
              </w:rPr>
              <w:t>Senior unsecured notes payable</w:t>
            </w:r>
          </w:p>
        </w:tc>
        <w:tc>
          <w:tcPr>
            <w:tcW w:w="280" w:type="dxa"/>
            <w:vAlign w:val="bottom"/>
          </w:tcPr>
          <w:p>
            <w:pPr>
              <w:spacing w:after="0"/>
              <w:rPr>
                <w:sz w:val="19"/>
                <w:szCs w:val="19"/>
                <w:color w:val="auto"/>
              </w:rPr>
            </w:pPr>
          </w:p>
        </w:tc>
        <w:tc>
          <w:tcPr>
            <w:tcW w:w="1160" w:type="dxa"/>
            <w:vAlign w:val="bottom"/>
          </w:tcPr>
          <w:p>
            <w:pPr>
              <w:jc w:val="right"/>
              <w:ind w:right="42"/>
              <w:spacing w:after="0"/>
              <w:rPr>
                <w:sz w:val="20"/>
                <w:szCs w:val="20"/>
                <w:color w:val="auto"/>
              </w:rPr>
            </w:pPr>
            <w:r>
              <w:rPr>
                <w:rFonts w:ascii="Verdana" w:cs="Verdana" w:eastAsia="Verdana" w:hAnsi="Verdana"/>
                <w:sz w:val="16"/>
                <w:szCs w:val="16"/>
                <w:color w:val="214E93"/>
              </w:rPr>
              <w:t>2,121,102</w:t>
            </w:r>
          </w:p>
        </w:tc>
        <w:tc>
          <w:tcPr>
            <w:tcW w:w="30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Verdana" w:cs="Verdana" w:eastAsia="Verdana" w:hAnsi="Verdana"/>
                <w:sz w:val="16"/>
                <w:szCs w:val="16"/>
                <w:color w:val="131313"/>
              </w:rPr>
              <w:t>2,114,908</w:t>
            </w:r>
          </w:p>
        </w:tc>
        <w:tc>
          <w:tcPr>
            <w:tcW w:w="0" w:type="dxa"/>
            <w:vAlign w:val="bottom"/>
          </w:tcPr>
          <w:p>
            <w:pPr>
              <w:spacing w:after="0"/>
              <w:rPr>
                <w:sz w:val="1"/>
                <w:szCs w:val="1"/>
                <w:color w:val="auto"/>
              </w:rPr>
            </w:pPr>
          </w:p>
        </w:tc>
      </w:tr>
      <w:tr>
        <w:trPr>
          <w:trHeight w:val="221"/>
        </w:trPr>
        <w:tc>
          <w:tcPr>
            <w:tcW w:w="6700" w:type="dxa"/>
            <w:vAlign w:val="bottom"/>
          </w:tcPr>
          <w:p>
            <w:pPr>
              <w:ind w:left="160"/>
              <w:spacing w:after="0"/>
              <w:rPr>
                <w:sz w:val="20"/>
                <w:szCs w:val="20"/>
                <w:color w:val="auto"/>
              </w:rPr>
            </w:pPr>
            <w:r>
              <w:rPr>
                <w:rFonts w:ascii="Verdana" w:cs="Verdana" w:eastAsia="Verdana" w:hAnsi="Verdana"/>
                <w:sz w:val="14"/>
                <w:szCs w:val="14"/>
                <w:color w:val="auto"/>
              </w:rPr>
              <w:t>Asset retirement obligations</w:t>
            </w:r>
          </w:p>
        </w:tc>
        <w:tc>
          <w:tcPr>
            <w:tcW w:w="280" w:type="dxa"/>
            <w:vAlign w:val="bottom"/>
          </w:tcPr>
          <w:p>
            <w:pPr>
              <w:spacing w:after="0"/>
              <w:rPr>
                <w:sz w:val="19"/>
                <w:szCs w:val="19"/>
                <w:color w:val="auto"/>
              </w:rPr>
            </w:pPr>
          </w:p>
        </w:tc>
        <w:tc>
          <w:tcPr>
            <w:tcW w:w="1160" w:type="dxa"/>
            <w:vAlign w:val="bottom"/>
          </w:tcPr>
          <w:p>
            <w:pPr>
              <w:jc w:val="right"/>
              <w:ind w:right="42"/>
              <w:spacing w:after="0"/>
              <w:rPr>
                <w:sz w:val="20"/>
                <w:szCs w:val="20"/>
                <w:color w:val="auto"/>
              </w:rPr>
            </w:pPr>
            <w:r>
              <w:rPr>
                <w:rFonts w:ascii="Verdana" w:cs="Verdana" w:eastAsia="Verdana" w:hAnsi="Verdana"/>
                <w:sz w:val="16"/>
                <w:szCs w:val="16"/>
                <w:color w:val="214E93"/>
              </w:rPr>
              <w:t>144,063</w:t>
            </w:r>
          </w:p>
        </w:tc>
        <w:tc>
          <w:tcPr>
            <w:tcW w:w="30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Verdana" w:cs="Verdana" w:eastAsia="Verdana" w:hAnsi="Verdana"/>
                <w:sz w:val="16"/>
                <w:szCs w:val="16"/>
                <w:color w:val="131313"/>
              </w:rPr>
              <w:t>114,237</w:t>
            </w:r>
          </w:p>
        </w:tc>
        <w:tc>
          <w:tcPr>
            <w:tcW w:w="0" w:type="dxa"/>
            <w:vAlign w:val="bottom"/>
          </w:tcPr>
          <w:p>
            <w:pPr>
              <w:spacing w:after="0"/>
              <w:rPr>
                <w:sz w:val="1"/>
                <w:szCs w:val="1"/>
                <w:color w:val="auto"/>
              </w:rPr>
            </w:pPr>
          </w:p>
        </w:tc>
      </w:tr>
      <w:tr>
        <w:trPr>
          <w:trHeight w:val="221"/>
        </w:trPr>
        <w:tc>
          <w:tcPr>
            <w:tcW w:w="6700" w:type="dxa"/>
            <w:vAlign w:val="bottom"/>
          </w:tcPr>
          <w:p>
            <w:pPr>
              <w:ind w:left="160"/>
              <w:spacing w:after="0"/>
              <w:rPr>
                <w:sz w:val="20"/>
                <w:szCs w:val="20"/>
                <w:color w:val="auto"/>
              </w:rPr>
            </w:pPr>
            <w:r>
              <w:rPr>
                <w:rFonts w:ascii="Verdana" w:cs="Verdana" w:eastAsia="Verdana" w:hAnsi="Verdana"/>
                <w:sz w:val="14"/>
                <w:szCs w:val="14"/>
                <w:color w:val="auto"/>
              </w:rPr>
              <w:t>Deferred income taxes</w:t>
            </w:r>
          </w:p>
        </w:tc>
        <w:tc>
          <w:tcPr>
            <w:tcW w:w="280" w:type="dxa"/>
            <w:vAlign w:val="bottom"/>
          </w:tcPr>
          <w:p>
            <w:pPr>
              <w:spacing w:after="0"/>
              <w:rPr>
                <w:sz w:val="19"/>
                <w:szCs w:val="19"/>
                <w:color w:val="auto"/>
              </w:rPr>
            </w:pPr>
          </w:p>
        </w:tc>
        <w:tc>
          <w:tcPr>
            <w:tcW w:w="1160" w:type="dxa"/>
            <w:vAlign w:val="bottom"/>
          </w:tcPr>
          <w:p>
            <w:pPr>
              <w:jc w:val="right"/>
              <w:ind w:right="42"/>
              <w:spacing w:after="0"/>
              <w:rPr>
                <w:sz w:val="20"/>
                <w:szCs w:val="20"/>
                <w:color w:val="auto"/>
              </w:rPr>
            </w:pPr>
            <w:r>
              <w:rPr>
                <w:rFonts w:ascii="Verdana" w:cs="Verdana" w:eastAsia="Verdana" w:hAnsi="Verdana"/>
                <w:sz w:val="16"/>
                <w:szCs w:val="16"/>
                <w:color w:val="214E93"/>
              </w:rPr>
              <w:t>1,015,931</w:t>
            </w:r>
          </w:p>
        </w:tc>
        <w:tc>
          <w:tcPr>
            <w:tcW w:w="30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Verdana" w:cs="Verdana" w:eastAsia="Verdana" w:hAnsi="Verdana"/>
                <w:sz w:val="16"/>
                <w:szCs w:val="16"/>
                <w:color w:val="131313"/>
              </w:rPr>
              <w:t>847,666</w:t>
            </w:r>
          </w:p>
        </w:tc>
        <w:tc>
          <w:tcPr>
            <w:tcW w:w="0" w:type="dxa"/>
            <w:vAlign w:val="bottom"/>
          </w:tcPr>
          <w:p>
            <w:pPr>
              <w:spacing w:after="0"/>
              <w:rPr>
                <w:sz w:val="1"/>
                <w:szCs w:val="1"/>
                <w:color w:val="auto"/>
              </w:rPr>
            </w:pPr>
          </w:p>
        </w:tc>
      </w:tr>
      <w:tr>
        <w:trPr>
          <w:trHeight w:val="227"/>
        </w:trPr>
        <w:tc>
          <w:tcPr>
            <w:tcW w:w="6700" w:type="dxa"/>
            <w:vAlign w:val="bottom"/>
            <w:tcBorders>
              <w:bottom w:val="single" w:sz="8" w:color="auto"/>
            </w:tcBorders>
          </w:tcPr>
          <w:p>
            <w:pPr>
              <w:ind w:left="160"/>
              <w:spacing w:after="0"/>
              <w:rPr>
                <w:sz w:val="20"/>
                <w:szCs w:val="20"/>
                <w:color w:val="auto"/>
              </w:rPr>
            </w:pPr>
            <w:r>
              <w:rPr>
                <w:rFonts w:ascii="Verdana" w:cs="Verdana" w:eastAsia="Verdana" w:hAnsi="Verdana"/>
                <w:sz w:val="14"/>
                <w:szCs w:val="14"/>
                <w:color w:val="auto"/>
              </w:rPr>
              <w:t>Other long-term liabilities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2"/>
              <w:spacing w:after="0"/>
              <w:rPr>
                <w:sz w:val="20"/>
                <w:szCs w:val="20"/>
                <w:color w:val="auto"/>
              </w:rPr>
            </w:pPr>
            <w:r>
              <w:rPr>
                <w:rFonts w:ascii="Verdana" w:cs="Verdana" w:eastAsia="Verdana" w:hAnsi="Verdana"/>
                <w:sz w:val="16"/>
                <w:szCs w:val="16"/>
                <w:color w:val="214E93"/>
              </w:rPr>
              <w:t>120,312</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131313"/>
              </w:rPr>
              <w:t>110,009</w:t>
            </w:r>
          </w:p>
        </w:tc>
        <w:tc>
          <w:tcPr>
            <w:tcW w:w="0" w:type="dxa"/>
            <w:vAlign w:val="bottom"/>
          </w:tcPr>
          <w:p>
            <w:pPr>
              <w:spacing w:after="0"/>
              <w:rPr>
                <w:sz w:val="1"/>
                <w:szCs w:val="1"/>
                <w:color w:val="auto"/>
              </w:rPr>
            </w:pPr>
          </w:p>
        </w:tc>
      </w:tr>
      <w:tr>
        <w:trPr>
          <w:trHeight w:val="211"/>
        </w:trPr>
        <w:tc>
          <w:tcPr>
            <w:tcW w:w="6700" w:type="dxa"/>
            <w:vAlign w:val="bottom"/>
          </w:tcPr>
          <w:p>
            <w:pPr>
              <w:ind w:left="400"/>
              <w:spacing w:after="0"/>
              <w:rPr>
                <w:sz w:val="20"/>
                <w:szCs w:val="20"/>
                <w:color w:val="auto"/>
              </w:rPr>
            </w:pPr>
            <w:r>
              <w:rPr>
                <w:rFonts w:ascii="Verdana" w:cs="Verdana" w:eastAsia="Verdana" w:hAnsi="Verdana"/>
                <w:sz w:val="14"/>
                <w:szCs w:val="14"/>
                <w:color w:val="auto"/>
              </w:rPr>
              <w:t>Total long-term liabilities</w:t>
            </w:r>
          </w:p>
        </w:tc>
        <w:tc>
          <w:tcPr>
            <w:tcW w:w="280" w:type="dxa"/>
            <w:vAlign w:val="bottom"/>
          </w:tcPr>
          <w:p>
            <w:pPr>
              <w:spacing w:after="0"/>
              <w:rPr>
                <w:sz w:val="18"/>
                <w:szCs w:val="18"/>
                <w:color w:val="auto"/>
              </w:rPr>
            </w:pPr>
          </w:p>
        </w:tc>
        <w:tc>
          <w:tcPr>
            <w:tcW w:w="1160" w:type="dxa"/>
            <w:vAlign w:val="bottom"/>
          </w:tcPr>
          <w:p>
            <w:pPr>
              <w:jc w:val="right"/>
              <w:ind w:right="42"/>
              <w:spacing w:after="0"/>
              <w:rPr>
                <w:sz w:val="20"/>
                <w:szCs w:val="20"/>
                <w:color w:val="auto"/>
              </w:rPr>
            </w:pPr>
            <w:r>
              <w:rPr>
                <w:rFonts w:ascii="Verdana" w:cs="Verdana" w:eastAsia="Verdana" w:hAnsi="Verdana"/>
                <w:sz w:val="16"/>
                <w:szCs w:val="16"/>
                <w:color w:val="214E93"/>
              </w:rPr>
              <w:t>4,682,408</w:t>
            </w:r>
          </w:p>
        </w:tc>
        <w:tc>
          <w:tcPr>
            <w:tcW w:w="30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Verdana" w:cs="Verdana" w:eastAsia="Verdana" w:hAnsi="Verdana"/>
                <w:sz w:val="16"/>
                <w:szCs w:val="16"/>
                <w:color w:val="131313"/>
              </w:rPr>
              <w:t>4,397,320</w:t>
            </w:r>
          </w:p>
        </w:tc>
        <w:tc>
          <w:tcPr>
            <w:tcW w:w="0" w:type="dxa"/>
            <w:vAlign w:val="bottom"/>
          </w:tcPr>
          <w:p>
            <w:pPr>
              <w:spacing w:after="0"/>
              <w:rPr>
                <w:sz w:val="1"/>
                <w:szCs w:val="1"/>
                <w:color w:val="auto"/>
              </w:rPr>
            </w:pPr>
          </w:p>
        </w:tc>
      </w:tr>
      <w:tr>
        <w:trPr>
          <w:trHeight w:val="213"/>
        </w:trPr>
        <w:tc>
          <w:tcPr>
            <w:tcW w:w="6700" w:type="dxa"/>
            <w:vAlign w:val="bottom"/>
          </w:tcPr>
          <w:p>
            <w:pPr>
              <w:ind w:left="40"/>
              <w:spacing w:after="0"/>
              <w:rPr>
                <w:sz w:val="20"/>
                <w:szCs w:val="20"/>
                <w:color w:val="auto"/>
              </w:rPr>
            </w:pPr>
            <w:r>
              <w:rPr>
                <w:rFonts w:ascii="Verdana" w:cs="Verdana" w:eastAsia="Verdana" w:hAnsi="Verdana"/>
                <w:sz w:val="14"/>
                <w:szCs w:val="14"/>
                <w:color w:val="auto"/>
              </w:rPr>
              <w:t>Commitments and contingencies (Note 14)</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700" w:type="dxa"/>
            <w:vAlign w:val="bottom"/>
          </w:tcPr>
          <w:p>
            <w:pPr>
              <w:ind w:left="40"/>
              <w:spacing w:after="0"/>
              <w:rPr>
                <w:sz w:val="20"/>
                <w:szCs w:val="20"/>
                <w:color w:val="auto"/>
              </w:rPr>
            </w:pPr>
            <w:r>
              <w:rPr>
                <w:rFonts w:ascii="Verdana" w:cs="Verdana" w:eastAsia="Verdana" w:hAnsi="Verdana"/>
                <w:sz w:val="14"/>
                <w:szCs w:val="14"/>
                <w:color w:val="auto"/>
              </w:rPr>
              <w:t>Shareholders’ equity</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700" w:type="dxa"/>
            <w:vAlign w:val="bottom"/>
          </w:tcPr>
          <w:p>
            <w:pPr>
              <w:ind w:left="160"/>
              <w:spacing w:after="0"/>
              <w:rPr>
                <w:sz w:val="20"/>
                <w:szCs w:val="20"/>
                <w:color w:val="auto"/>
              </w:rPr>
            </w:pPr>
            <w:r>
              <w:rPr>
                <w:rFonts w:ascii="Verdana" w:cs="Verdana" w:eastAsia="Verdana" w:hAnsi="Verdana"/>
                <w:sz w:val="14"/>
                <w:szCs w:val="14"/>
                <w:color w:val="auto"/>
              </w:rPr>
              <w:t>Common stock — $0.01 par value, 160,000,000 shares authorized; 124,409,739 and</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6700" w:type="dxa"/>
            <w:vAlign w:val="bottom"/>
          </w:tcPr>
          <w:p>
            <w:pPr>
              <w:ind w:left="160"/>
              <w:spacing w:after="0" w:line="166" w:lineRule="exact"/>
              <w:rPr>
                <w:sz w:val="20"/>
                <w:szCs w:val="20"/>
                <w:color w:val="auto"/>
              </w:rPr>
            </w:pPr>
            <w:r>
              <w:rPr>
                <w:rFonts w:ascii="Verdana" w:cs="Verdana" w:eastAsia="Verdana" w:hAnsi="Verdana"/>
                <w:sz w:val="14"/>
                <w:szCs w:val="14"/>
                <w:color w:val="auto"/>
              </w:rPr>
              <w:t>125,101,268 shares issued; and 124,262,322 and 125,048,396 shares outstanding,</w:t>
            </w:r>
          </w:p>
        </w:tc>
        <w:tc>
          <w:tcPr>
            <w:tcW w:w="280" w:type="dxa"/>
            <w:vAlign w:val="bottom"/>
          </w:tcPr>
          <w:p>
            <w:pPr>
              <w:spacing w:after="0"/>
              <w:rPr>
                <w:sz w:val="14"/>
                <w:szCs w:val="14"/>
                <w:color w:val="auto"/>
              </w:rPr>
            </w:pPr>
          </w:p>
        </w:tc>
        <w:tc>
          <w:tcPr>
            <w:tcW w:w="1160" w:type="dxa"/>
            <w:vAlign w:val="bottom"/>
            <w:vMerge w:val="restart"/>
          </w:tcPr>
          <w:p>
            <w:pPr>
              <w:jc w:val="right"/>
              <w:ind w:right="42"/>
              <w:spacing w:after="0"/>
              <w:rPr>
                <w:sz w:val="20"/>
                <w:szCs w:val="20"/>
                <w:color w:val="auto"/>
              </w:rPr>
            </w:pPr>
            <w:r>
              <w:rPr>
                <w:rFonts w:ascii="Verdana" w:cs="Verdana" w:eastAsia="Verdana" w:hAnsi="Verdana"/>
                <w:sz w:val="16"/>
                <w:szCs w:val="16"/>
                <w:color w:val="214E93"/>
              </w:rPr>
              <w:t>1,244</w:t>
            </w:r>
          </w:p>
        </w:tc>
        <w:tc>
          <w:tcPr>
            <w:tcW w:w="300" w:type="dxa"/>
            <w:vAlign w:val="bottom"/>
          </w:tcPr>
          <w:p>
            <w:pPr>
              <w:spacing w:after="0"/>
              <w:rPr>
                <w:sz w:val="14"/>
                <w:szCs w:val="14"/>
                <w:color w:val="auto"/>
              </w:rPr>
            </w:pPr>
          </w:p>
        </w:tc>
        <w:tc>
          <w:tcPr>
            <w:tcW w:w="1120" w:type="dxa"/>
            <w:vAlign w:val="bottom"/>
            <w:vMerge w:val="restart"/>
          </w:tcPr>
          <w:p>
            <w:pPr>
              <w:jc w:val="right"/>
              <w:ind w:right="2"/>
              <w:spacing w:after="0"/>
              <w:rPr>
                <w:sz w:val="20"/>
                <w:szCs w:val="20"/>
                <w:color w:val="auto"/>
              </w:rPr>
            </w:pPr>
            <w:r>
              <w:rPr>
                <w:rFonts w:ascii="Verdana" w:cs="Verdana" w:eastAsia="Verdana" w:hAnsi="Verdana"/>
                <w:sz w:val="16"/>
                <w:szCs w:val="16"/>
                <w:color w:val="131313"/>
              </w:rPr>
              <w:t>1,251</w:t>
            </w:r>
          </w:p>
        </w:tc>
        <w:tc>
          <w:tcPr>
            <w:tcW w:w="0" w:type="dxa"/>
            <w:vAlign w:val="bottom"/>
          </w:tcPr>
          <w:p>
            <w:pPr>
              <w:spacing w:after="0"/>
              <w:rPr>
                <w:sz w:val="1"/>
                <w:szCs w:val="1"/>
                <w:color w:val="auto"/>
              </w:rPr>
            </w:pPr>
          </w:p>
        </w:tc>
      </w:tr>
      <w:tr>
        <w:trPr>
          <w:trHeight w:val="187"/>
        </w:trPr>
        <w:tc>
          <w:tcPr>
            <w:tcW w:w="6700" w:type="dxa"/>
            <w:vAlign w:val="bottom"/>
          </w:tcPr>
          <w:p>
            <w:pPr>
              <w:ind w:left="160"/>
              <w:spacing w:after="0"/>
              <w:rPr>
                <w:sz w:val="20"/>
                <w:szCs w:val="20"/>
                <w:color w:val="auto"/>
              </w:rPr>
            </w:pPr>
            <w:r>
              <w:rPr>
                <w:rFonts w:ascii="Verdana" w:cs="Verdana" w:eastAsia="Verdana" w:hAnsi="Verdana"/>
                <w:sz w:val="14"/>
                <w:szCs w:val="14"/>
                <w:color w:val="auto"/>
              </w:rPr>
              <w:t>respectively</w:t>
            </w:r>
          </w:p>
        </w:tc>
        <w:tc>
          <w:tcPr>
            <w:tcW w:w="2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00" w:type="dxa"/>
            <w:vAlign w:val="bottom"/>
          </w:tcPr>
          <w:p>
            <w:pPr>
              <w:ind w:left="160"/>
              <w:spacing w:after="0"/>
              <w:rPr>
                <w:sz w:val="20"/>
                <w:szCs w:val="20"/>
                <w:color w:val="auto"/>
              </w:rPr>
            </w:pPr>
            <w:r>
              <w:rPr>
                <w:rFonts w:ascii="Verdana" w:cs="Verdana" w:eastAsia="Verdana" w:hAnsi="Verdana"/>
                <w:sz w:val="14"/>
                <w:szCs w:val="14"/>
                <w:color w:val="auto"/>
              </w:rPr>
              <w:t>Additional paid-in capital</w:t>
            </w:r>
          </w:p>
        </w:tc>
        <w:tc>
          <w:tcPr>
            <w:tcW w:w="280" w:type="dxa"/>
            <w:vAlign w:val="bottom"/>
          </w:tcPr>
          <w:p>
            <w:pPr>
              <w:spacing w:after="0"/>
              <w:rPr>
                <w:sz w:val="20"/>
                <w:szCs w:val="20"/>
                <w:color w:val="auto"/>
              </w:rPr>
            </w:pPr>
          </w:p>
        </w:tc>
        <w:tc>
          <w:tcPr>
            <w:tcW w:w="1160" w:type="dxa"/>
            <w:vAlign w:val="bottom"/>
          </w:tcPr>
          <w:p>
            <w:pPr>
              <w:jc w:val="right"/>
              <w:ind w:right="42"/>
              <w:spacing w:after="0"/>
              <w:rPr>
                <w:sz w:val="20"/>
                <w:szCs w:val="20"/>
                <w:color w:val="auto"/>
              </w:rPr>
            </w:pPr>
            <w:r>
              <w:rPr>
                <w:rFonts w:ascii="Verdana" w:cs="Verdana" w:eastAsia="Verdana" w:hAnsi="Verdana"/>
                <w:sz w:val="16"/>
                <w:szCs w:val="16"/>
                <w:color w:val="214E93"/>
              </w:rPr>
              <w:t>2,509,118</w:t>
            </w:r>
          </w:p>
        </w:tc>
        <w:tc>
          <w:tcPr>
            <w:tcW w:w="300" w:type="dxa"/>
            <w:vAlign w:val="bottom"/>
          </w:tcPr>
          <w:p>
            <w:pPr>
              <w:spacing w:after="0"/>
              <w:rPr>
                <w:sz w:val="20"/>
                <w:szCs w:val="20"/>
                <w:color w:val="auto"/>
              </w:rPr>
            </w:pPr>
          </w:p>
        </w:tc>
        <w:tc>
          <w:tcPr>
            <w:tcW w:w="1120" w:type="dxa"/>
            <w:vAlign w:val="bottom"/>
          </w:tcPr>
          <w:p>
            <w:pPr>
              <w:jc w:val="right"/>
              <w:ind w:right="2"/>
              <w:spacing w:after="0"/>
              <w:rPr>
                <w:sz w:val="20"/>
                <w:szCs w:val="20"/>
                <w:color w:val="auto"/>
              </w:rPr>
            </w:pPr>
            <w:r>
              <w:rPr>
                <w:rFonts w:ascii="Verdana" w:cs="Verdana" w:eastAsia="Verdana" w:hAnsi="Verdana"/>
                <w:sz w:val="16"/>
                <w:szCs w:val="16"/>
                <w:color w:val="131313"/>
              </w:rPr>
              <w:t>2,533,247</w:t>
            </w:r>
          </w:p>
        </w:tc>
        <w:tc>
          <w:tcPr>
            <w:tcW w:w="0" w:type="dxa"/>
            <w:vAlign w:val="bottom"/>
          </w:tcPr>
          <w:p>
            <w:pPr>
              <w:spacing w:after="0"/>
              <w:rPr>
                <w:sz w:val="1"/>
                <w:szCs w:val="1"/>
                <w:color w:val="auto"/>
              </w:rPr>
            </w:pPr>
          </w:p>
        </w:tc>
      </w:tr>
      <w:tr>
        <w:trPr>
          <w:trHeight w:val="236"/>
        </w:trPr>
        <w:tc>
          <w:tcPr>
            <w:tcW w:w="6700" w:type="dxa"/>
            <w:vAlign w:val="bottom"/>
          </w:tcPr>
          <w:p>
            <w:pPr>
              <w:ind w:left="160"/>
              <w:spacing w:after="0"/>
              <w:rPr>
                <w:sz w:val="20"/>
                <w:szCs w:val="20"/>
                <w:color w:val="auto"/>
              </w:rPr>
            </w:pPr>
            <w:r>
              <w:rPr>
                <w:rFonts w:ascii="Verdana" w:cs="Verdana" w:eastAsia="Verdana" w:hAnsi="Verdana"/>
                <w:sz w:val="14"/>
                <w:szCs w:val="14"/>
                <w:color w:val="auto"/>
              </w:rPr>
              <w:t>Retained earnings</w:t>
            </w:r>
          </w:p>
        </w:tc>
        <w:tc>
          <w:tcPr>
            <w:tcW w:w="280" w:type="dxa"/>
            <w:vAlign w:val="bottom"/>
          </w:tcPr>
          <w:p>
            <w:pPr>
              <w:spacing w:after="0"/>
              <w:rPr>
                <w:sz w:val="20"/>
                <w:szCs w:val="20"/>
                <w:color w:val="auto"/>
              </w:rPr>
            </w:pPr>
          </w:p>
        </w:tc>
        <w:tc>
          <w:tcPr>
            <w:tcW w:w="1160" w:type="dxa"/>
            <w:vAlign w:val="bottom"/>
          </w:tcPr>
          <w:p>
            <w:pPr>
              <w:jc w:val="right"/>
              <w:ind w:right="42"/>
              <w:spacing w:after="0"/>
              <w:rPr>
                <w:sz w:val="20"/>
                <w:szCs w:val="20"/>
                <w:color w:val="auto"/>
              </w:rPr>
            </w:pPr>
            <w:r>
              <w:rPr>
                <w:rFonts w:ascii="Verdana" w:cs="Verdana" w:eastAsia="Verdana" w:hAnsi="Verdana"/>
                <w:sz w:val="16"/>
                <w:szCs w:val="16"/>
                <w:color w:val="214E93"/>
              </w:rPr>
              <w:t>3,153,112</w:t>
            </w:r>
          </w:p>
        </w:tc>
        <w:tc>
          <w:tcPr>
            <w:tcW w:w="300" w:type="dxa"/>
            <w:vAlign w:val="bottom"/>
          </w:tcPr>
          <w:p>
            <w:pPr>
              <w:spacing w:after="0"/>
              <w:rPr>
                <w:sz w:val="20"/>
                <w:szCs w:val="20"/>
                <w:color w:val="auto"/>
              </w:rPr>
            </w:pPr>
          </w:p>
        </w:tc>
        <w:tc>
          <w:tcPr>
            <w:tcW w:w="1120" w:type="dxa"/>
            <w:vAlign w:val="bottom"/>
          </w:tcPr>
          <w:p>
            <w:pPr>
              <w:jc w:val="right"/>
              <w:ind w:right="2"/>
              <w:spacing w:after="0"/>
              <w:rPr>
                <w:sz w:val="20"/>
                <w:szCs w:val="20"/>
                <w:color w:val="auto"/>
              </w:rPr>
            </w:pPr>
            <w:r>
              <w:rPr>
                <w:rFonts w:ascii="Verdana" w:cs="Verdana" w:eastAsia="Verdana" w:hAnsi="Verdana"/>
                <w:sz w:val="16"/>
                <w:szCs w:val="16"/>
                <w:color w:val="131313"/>
              </w:rPr>
              <w:t>2,556,987</w:t>
            </w:r>
          </w:p>
        </w:tc>
        <w:tc>
          <w:tcPr>
            <w:tcW w:w="0" w:type="dxa"/>
            <w:vAlign w:val="bottom"/>
          </w:tcPr>
          <w:p>
            <w:pPr>
              <w:spacing w:after="0"/>
              <w:rPr>
                <w:sz w:val="1"/>
                <w:szCs w:val="1"/>
                <w:color w:val="auto"/>
              </w:rPr>
            </w:pPr>
          </w:p>
        </w:tc>
      </w:tr>
      <w:tr>
        <w:trPr>
          <w:trHeight w:val="227"/>
        </w:trPr>
        <w:tc>
          <w:tcPr>
            <w:tcW w:w="6700" w:type="dxa"/>
            <w:vAlign w:val="bottom"/>
            <w:tcBorders>
              <w:bottom w:val="single" w:sz="8" w:color="auto"/>
            </w:tcBorders>
          </w:tcPr>
          <w:p>
            <w:pPr>
              <w:ind w:left="160"/>
              <w:spacing w:after="0"/>
              <w:rPr>
                <w:sz w:val="20"/>
                <w:szCs w:val="20"/>
                <w:color w:val="auto"/>
              </w:rPr>
            </w:pPr>
            <w:r>
              <w:rPr>
                <w:rFonts w:ascii="Verdana" w:cs="Verdana" w:eastAsia="Verdana" w:hAnsi="Verdana"/>
                <w:sz w:val="14"/>
                <w:szCs w:val="14"/>
                <w:color w:val="auto"/>
              </w:rPr>
              <w:t>Treasury stock, at cost, 147,417 and 52,872 shares, respectively</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214E93"/>
              </w:rPr>
              <w:t>(5,333)</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131313"/>
              </w:rPr>
              <w:t>(2,336)</w:t>
            </w:r>
          </w:p>
        </w:tc>
        <w:tc>
          <w:tcPr>
            <w:tcW w:w="0" w:type="dxa"/>
            <w:vAlign w:val="bottom"/>
          </w:tcPr>
          <w:p>
            <w:pPr>
              <w:spacing w:after="0"/>
              <w:rPr>
                <w:sz w:val="1"/>
                <w:szCs w:val="1"/>
                <w:color w:val="auto"/>
              </w:rPr>
            </w:pPr>
          </w:p>
        </w:tc>
      </w:tr>
      <w:tr>
        <w:trPr>
          <w:trHeight w:val="206"/>
        </w:trPr>
        <w:tc>
          <w:tcPr>
            <w:tcW w:w="6700" w:type="dxa"/>
            <w:vAlign w:val="bottom"/>
          </w:tcPr>
          <w:p>
            <w:pPr>
              <w:ind w:left="400"/>
              <w:spacing w:after="0"/>
              <w:rPr>
                <w:sz w:val="20"/>
                <w:szCs w:val="20"/>
                <w:color w:val="auto"/>
              </w:rPr>
            </w:pPr>
            <w:r>
              <w:rPr>
                <w:rFonts w:ascii="Verdana" w:cs="Verdana" w:eastAsia="Verdana" w:hAnsi="Verdana"/>
                <w:sz w:val="14"/>
                <w:szCs w:val="14"/>
                <w:color w:val="auto"/>
              </w:rPr>
              <w:t>Total Matador Resources Company shareholders’ equity</w:t>
            </w:r>
          </w:p>
        </w:tc>
        <w:tc>
          <w:tcPr>
            <w:tcW w:w="280" w:type="dxa"/>
            <w:vAlign w:val="bottom"/>
          </w:tcPr>
          <w:p>
            <w:pPr>
              <w:spacing w:after="0"/>
              <w:rPr>
                <w:sz w:val="17"/>
                <w:szCs w:val="17"/>
                <w:color w:val="auto"/>
              </w:rPr>
            </w:pPr>
          </w:p>
        </w:tc>
        <w:tc>
          <w:tcPr>
            <w:tcW w:w="1160" w:type="dxa"/>
            <w:vAlign w:val="bottom"/>
          </w:tcPr>
          <w:p>
            <w:pPr>
              <w:jc w:val="right"/>
              <w:ind w:right="42"/>
              <w:spacing w:after="0"/>
              <w:rPr>
                <w:sz w:val="20"/>
                <w:szCs w:val="20"/>
                <w:color w:val="auto"/>
              </w:rPr>
            </w:pPr>
            <w:r>
              <w:rPr>
                <w:rFonts w:ascii="Verdana" w:cs="Verdana" w:eastAsia="Verdana" w:hAnsi="Verdana"/>
                <w:sz w:val="16"/>
                <w:szCs w:val="16"/>
                <w:color w:val="214E93"/>
              </w:rPr>
              <w:t>5,658,141</w:t>
            </w:r>
          </w:p>
        </w:tc>
        <w:tc>
          <w:tcPr>
            <w:tcW w:w="30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Verdana" w:cs="Verdana" w:eastAsia="Verdana" w:hAnsi="Verdana"/>
                <w:sz w:val="16"/>
                <w:szCs w:val="16"/>
                <w:color w:val="131313"/>
              </w:rPr>
              <w:t>5,089,149</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40"/>
              <w:spacing w:after="0"/>
              <w:rPr>
                <w:sz w:val="20"/>
                <w:szCs w:val="20"/>
                <w:color w:val="auto"/>
              </w:rPr>
            </w:pPr>
            <w:r>
              <w:rPr>
                <w:rFonts w:ascii="Verdana" w:cs="Verdana" w:eastAsia="Verdana" w:hAnsi="Verdana"/>
                <w:sz w:val="14"/>
                <w:szCs w:val="14"/>
                <w:color w:val="auto"/>
              </w:rPr>
              <w:t>Non-controlling interest in subsidiaries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2"/>
              <w:spacing w:after="0"/>
              <w:rPr>
                <w:sz w:val="20"/>
                <w:szCs w:val="20"/>
                <w:color w:val="auto"/>
              </w:rPr>
            </w:pPr>
            <w:r>
              <w:rPr>
                <w:rFonts w:ascii="Verdana" w:cs="Verdana" w:eastAsia="Verdana" w:hAnsi="Verdana"/>
                <w:sz w:val="16"/>
                <w:szCs w:val="16"/>
                <w:color w:val="214E93"/>
              </w:rPr>
              <w:t>338,511</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131313"/>
              </w:rPr>
              <w:t>368,283</w:t>
            </w:r>
          </w:p>
        </w:tc>
        <w:tc>
          <w:tcPr>
            <w:tcW w:w="0" w:type="dxa"/>
            <w:vAlign w:val="bottom"/>
          </w:tcPr>
          <w:p>
            <w:pPr>
              <w:spacing w:after="0"/>
              <w:rPr>
                <w:sz w:val="1"/>
                <w:szCs w:val="1"/>
                <w:color w:val="auto"/>
              </w:rPr>
            </w:pPr>
          </w:p>
        </w:tc>
      </w:tr>
      <w:tr>
        <w:trPr>
          <w:trHeight w:val="207"/>
        </w:trPr>
        <w:tc>
          <w:tcPr>
            <w:tcW w:w="6700" w:type="dxa"/>
            <w:vAlign w:val="bottom"/>
            <w:tcBorders>
              <w:bottom w:val="single" w:sz="8" w:color="auto"/>
            </w:tcBorders>
          </w:tcPr>
          <w:p>
            <w:pPr>
              <w:ind w:left="400"/>
              <w:spacing w:after="0"/>
              <w:rPr>
                <w:sz w:val="20"/>
                <w:szCs w:val="20"/>
                <w:color w:val="auto"/>
              </w:rPr>
            </w:pPr>
            <w:r>
              <w:rPr>
                <w:rFonts w:ascii="Verdana" w:cs="Verdana" w:eastAsia="Verdana" w:hAnsi="Verdana"/>
                <w:sz w:val="14"/>
                <w:szCs w:val="14"/>
                <w:color w:val="auto"/>
              </w:rPr>
              <w:t>Total shareholders’ equity</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
              <w:spacing w:after="0"/>
              <w:rPr>
                <w:sz w:val="20"/>
                <w:szCs w:val="20"/>
                <w:color w:val="auto"/>
              </w:rPr>
            </w:pPr>
            <w:r>
              <w:rPr>
                <w:rFonts w:ascii="Verdana" w:cs="Verdana" w:eastAsia="Verdana" w:hAnsi="Verdana"/>
                <w:sz w:val="16"/>
                <w:szCs w:val="16"/>
                <w:color w:val="214E93"/>
              </w:rPr>
              <w:t>5,996,652</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131313"/>
              </w:rPr>
              <w:t>5,457,432</w:t>
            </w:r>
          </w:p>
        </w:tc>
        <w:tc>
          <w:tcPr>
            <w:tcW w:w="0" w:type="dxa"/>
            <w:vAlign w:val="bottom"/>
          </w:tcPr>
          <w:p>
            <w:pPr>
              <w:spacing w:after="0"/>
              <w:rPr>
                <w:sz w:val="1"/>
                <w:szCs w:val="1"/>
                <w:color w:val="auto"/>
              </w:rPr>
            </w:pPr>
          </w:p>
        </w:tc>
      </w:tr>
      <w:tr>
        <w:trPr>
          <w:trHeight w:val="211"/>
        </w:trPr>
        <w:tc>
          <w:tcPr>
            <w:tcW w:w="6700" w:type="dxa"/>
            <w:vAlign w:val="bottom"/>
            <w:tcBorders>
              <w:bottom w:val="single" w:sz="8" w:color="214E93"/>
            </w:tcBorders>
          </w:tcPr>
          <w:p>
            <w:pPr>
              <w:ind w:left="40"/>
              <w:spacing w:after="0"/>
              <w:rPr>
                <w:sz w:val="20"/>
                <w:szCs w:val="20"/>
                <w:color w:val="auto"/>
              </w:rPr>
            </w:pPr>
            <w:r>
              <w:rPr>
                <w:rFonts w:ascii="Verdana" w:cs="Verdana" w:eastAsia="Verdana" w:hAnsi="Verdana"/>
                <w:sz w:val="14"/>
                <w:szCs w:val="14"/>
                <w:color w:val="auto"/>
              </w:rPr>
              <w:t>Total liabilities and shareholders’ equity</w:t>
            </w:r>
          </w:p>
        </w:tc>
        <w:tc>
          <w:tcPr>
            <w:tcW w:w="280" w:type="dxa"/>
            <w:vAlign w:val="bottom"/>
            <w:tcBorders>
              <w:bottom w:val="single" w:sz="8" w:color="214E93"/>
            </w:tcBorders>
          </w:tcPr>
          <w:p>
            <w:pPr>
              <w:jc w:val="right"/>
              <w:ind w:right="41"/>
              <w:spacing w:after="0"/>
              <w:rPr>
                <w:sz w:val="20"/>
                <w:szCs w:val="20"/>
                <w:color w:val="auto"/>
              </w:rPr>
            </w:pPr>
            <w:r>
              <w:rPr>
                <w:rFonts w:ascii="Verdana" w:cs="Verdana" w:eastAsia="Verdana" w:hAnsi="Verdana"/>
                <w:sz w:val="16"/>
                <w:szCs w:val="16"/>
                <w:color w:val="214E93"/>
              </w:rPr>
              <w:t>$</w:t>
            </w:r>
          </w:p>
        </w:tc>
        <w:tc>
          <w:tcPr>
            <w:tcW w:w="1160" w:type="dxa"/>
            <w:vAlign w:val="bottom"/>
            <w:tcBorders>
              <w:bottom w:val="single" w:sz="8" w:color="214E93"/>
            </w:tcBorders>
          </w:tcPr>
          <w:p>
            <w:pPr>
              <w:jc w:val="right"/>
              <w:ind w:right="42"/>
              <w:spacing w:after="0"/>
              <w:rPr>
                <w:sz w:val="20"/>
                <w:szCs w:val="20"/>
                <w:color w:val="auto"/>
              </w:rPr>
            </w:pPr>
            <w:r>
              <w:rPr>
                <w:rFonts w:ascii="Verdana" w:cs="Verdana" w:eastAsia="Verdana" w:hAnsi="Verdana"/>
                <w:sz w:val="16"/>
                <w:szCs w:val="16"/>
                <w:color w:val="214E93"/>
              </w:rPr>
              <w:t>11,710,569</w:t>
            </w:r>
          </w:p>
        </w:tc>
        <w:tc>
          <w:tcPr>
            <w:tcW w:w="300" w:type="dxa"/>
            <w:vAlign w:val="bottom"/>
            <w:tcBorders>
              <w:bottom w:val="single" w:sz="8" w:color="214E93"/>
            </w:tcBorders>
          </w:tcPr>
          <w:p>
            <w:pPr>
              <w:jc w:val="right"/>
              <w:ind w:right="41"/>
              <w:spacing w:after="0"/>
              <w:rPr>
                <w:sz w:val="20"/>
                <w:szCs w:val="20"/>
                <w:color w:val="auto"/>
              </w:rPr>
            </w:pPr>
            <w:r>
              <w:rPr>
                <w:rFonts w:ascii="Verdana" w:cs="Verdana" w:eastAsia="Verdana" w:hAnsi="Verdana"/>
                <w:sz w:val="16"/>
                <w:szCs w:val="16"/>
                <w:color w:val="131313"/>
              </w:rPr>
              <w:t>$</w:t>
            </w:r>
          </w:p>
        </w:tc>
        <w:tc>
          <w:tcPr>
            <w:tcW w:w="1120" w:type="dxa"/>
            <w:vAlign w:val="bottom"/>
            <w:tcBorders>
              <w:bottom w:val="single" w:sz="8" w:color="214E93"/>
            </w:tcBorders>
          </w:tcPr>
          <w:p>
            <w:pPr>
              <w:jc w:val="right"/>
              <w:ind w:right="2"/>
              <w:spacing w:after="0"/>
              <w:rPr>
                <w:sz w:val="20"/>
                <w:szCs w:val="20"/>
                <w:color w:val="auto"/>
              </w:rPr>
            </w:pPr>
            <w:r>
              <w:rPr>
                <w:rFonts w:ascii="Verdana" w:cs="Verdana" w:eastAsia="Verdana" w:hAnsi="Verdana"/>
                <w:sz w:val="16"/>
                <w:szCs w:val="16"/>
                <w:color w:val="131313"/>
              </w:rPr>
              <w:t>10,850,109</w:t>
            </w: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29" w:lineRule="exact"/>
        <w:rPr>
          <w:sz w:val="20"/>
          <w:szCs w:val="20"/>
          <w:color w:val="auto"/>
        </w:rPr>
      </w:pPr>
    </w:p>
    <w:p>
      <w:pPr>
        <w:ind w:left="1720"/>
        <w:spacing w:after="0"/>
        <w:rPr>
          <w:sz w:val="20"/>
          <w:szCs w:val="20"/>
          <w:color w:val="auto"/>
        </w:rPr>
      </w:pPr>
      <w:r>
        <w:rPr>
          <w:rFonts w:ascii="Verdana" w:cs="Verdana" w:eastAsia="Verdana" w:hAnsi="Verdana"/>
          <w:sz w:val="14"/>
          <w:szCs w:val="14"/>
          <w:i w:val="1"/>
          <w:iCs w:val="1"/>
          <w:color w:val="auto"/>
        </w:rPr>
        <w:t>The accompanying notes are an integral part of these consolidated financial statements.</w:t>
      </w:r>
    </w:p>
    <w:p>
      <w:pPr>
        <w:sectPr>
          <w:pgSz w:w="11880" w:h="15480" w:orient="portrait"/>
          <w:cols w:equalWidth="0" w:num="1">
            <w:col w:w="10300"/>
          </w:cols>
          <w:pgMar w:left="1160" w:top="498"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900"/>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0300"/>
          </w:cols>
          <w:pgMar w:left="1160" w:top="498" w:right="420" w:bottom="0" w:gutter="0" w:footer="0" w:header="0"/>
          <w:type w:val="continuous"/>
        </w:sectPr>
      </w:pPr>
    </w:p>
    <w:bookmarkStart w:id="135" w:name="page136"/>
    <w:bookmarkEnd w:id="135"/>
    <w:tbl>
      <w:tblPr>
        <w:tblLayout w:type="fixed"/>
        <w:tblInd w:w="0" w:type="dxa"/>
        <w:tblCellMar>
          <w:top w:w="0" w:type="dxa"/>
          <w:left w:w="0" w:type="dxa"/>
          <w:bottom w:w="0" w:type="dxa"/>
          <w:right w:w="0" w:type="dxa"/>
        </w:tblCellMar>
      </w:tblPr>
      <w:tr>
        <w:trPr>
          <w:trHeight w:val="220"/>
        </w:trPr>
        <w:tc>
          <w:tcPr>
            <w:tcW w:w="740" w:type="dxa"/>
            <w:vAlign w:val="bottom"/>
          </w:tcPr>
          <w:p>
            <w:pPr>
              <w:spacing w:after="0"/>
              <w:rPr>
                <w:sz w:val="20"/>
                <w:szCs w:val="20"/>
                <w:color w:val="auto"/>
              </w:rPr>
            </w:pPr>
            <w:r>
              <w:rPr>
                <w:rFonts w:ascii="Calibri" w:cs="Calibri" w:eastAsia="Calibri" w:hAnsi="Calibri"/>
                <w:sz w:val="18"/>
                <w:szCs w:val="18"/>
                <w:color w:val="auto"/>
              </w:rPr>
              <w:t>F-5</w:t>
            </w:r>
          </w:p>
        </w:tc>
        <w:tc>
          <w:tcPr>
            <w:tcW w:w="6360" w:type="dxa"/>
            <w:vAlign w:val="bottom"/>
          </w:tcPr>
          <w:p>
            <w:pPr>
              <w:ind w:left="40"/>
              <w:spacing w:after="0"/>
              <w:rPr>
                <w:sz w:val="20"/>
                <w:szCs w:val="20"/>
                <w:color w:val="auto"/>
              </w:rPr>
            </w:pPr>
            <w:r>
              <w:rPr>
                <w:rFonts w:ascii="Calibri" w:cs="Calibri" w:eastAsia="Calibri" w:hAnsi="Calibri"/>
                <w:sz w:val="18"/>
                <w:szCs w:val="18"/>
                <w:color w:val="auto"/>
              </w:rPr>
              <w:t>MATADOR RESOURCES COMPANY</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6"/>
        </w:trPr>
        <w:tc>
          <w:tcPr>
            <w:tcW w:w="740" w:type="dxa"/>
            <w:vAlign w:val="bottom"/>
          </w:tcPr>
          <w:p>
            <w:pPr>
              <w:spacing w:after="0"/>
              <w:rPr>
                <w:sz w:val="24"/>
                <w:szCs w:val="24"/>
                <w:color w:val="auto"/>
              </w:rPr>
            </w:pPr>
          </w:p>
        </w:tc>
        <w:tc>
          <w:tcPr>
            <w:tcW w:w="6360" w:type="dxa"/>
            <w:vAlign w:val="bottom"/>
            <w:tcBorders>
              <w:bottom w:val="single" w:sz="8" w:color="214E93"/>
            </w:tcBorders>
          </w:tcPr>
          <w:p>
            <w:pPr>
              <w:ind w:left="40"/>
              <w:spacing w:after="0"/>
              <w:rPr>
                <w:sz w:val="20"/>
                <w:szCs w:val="20"/>
                <w:color w:val="auto"/>
              </w:rPr>
            </w:pPr>
            <w:r>
              <w:rPr>
                <w:rFonts w:ascii="Verdana" w:cs="Verdana" w:eastAsia="Verdana" w:hAnsi="Verdana"/>
                <w:sz w:val="20"/>
                <w:szCs w:val="20"/>
                <w:color w:val="214E93"/>
              </w:rPr>
              <w:t>Consolidated Statements of Income</w:t>
            </w:r>
          </w:p>
        </w:tc>
        <w:tc>
          <w:tcPr>
            <w:tcW w:w="180" w:type="dxa"/>
            <w:vAlign w:val="bottom"/>
            <w:tcBorders>
              <w:bottom w:val="single" w:sz="8" w:color="214E93"/>
            </w:tcBorders>
          </w:tcPr>
          <w:p>
            <w:pPr>
              <w:spacing w:after="0"/>
              <w:rPr>
                <w:sz w:val="24"/>
                <w:szCs w:val="24"/>
                <w:color w:val="auto"/>
              </w:rPr>
            </w:pPr>
          </w:p>
        </w:tc>
        <w:tc>
          <w:tcPr>
            <w:tcW w:w="900" w:type="dxa"/>
            <w:vAlign w:val="bottom"/>
            <w:tcBorders>
              <w:bottom w:val="single" w:sz="8" w:color="214E93"/>
            </w:tcBorders>
          </w:tcPr>
          <w:p>
            <w:pPr>
              <w:spacing w:after="0"/>
              <w:rPr>
                <w:sz w:val="24"/>
                <w:szCs w:val="24"/>
                <w:color w:val="auto"/>
              </w:rPr>
            </w:pPr>
          </w:p>
        </w:tc>
        <w:tc>
          <w:tcPr>
            <w:tcW w:w="180" w:type="dxa"/>
            <w:vAlign w:val="bottom"/>
            <w:tcBorders>
              <w:bottom w:val="single" w:sz="8" w:color="214E93"/>
            </w:tcBorders>
          </w:tcPr>
          <w:p>
            <w:pPr>
              <w:spacing w:after="0"/>
              <w:rPr>
                <w:sz w:val="24"/>
                <w:szCs w:val="24"/>
                <w:color w:val="auto"/>
              </w:rPr>
            </w:pPr>
          </w:p>
        </w:tc>
        <w:tc>
          <w:tcPr>
            <w:tcW w:w="900" w:type="dxa"/>
            <w:vAlign w:val="bottom"/>
            <w:tcBorders>
              <w:bottom w:val="single" w:sz="8" w:color="214E93"/>
            </w:tcBorders>
          </w:tcPr>
          <w:p>
            <w:pPr>
              <w:spacing w:after="0"/>
              <w:rPr>
                <w:sz w:val="24"/>
                <w:szCs w:val="24"/>
                <w:color w:val="auto"/>
              </w:rPr>
            </w:pPr>
          </w:p>
        </w:tc>
        <w:tc>
          <w:tcPr>
            <w:tcW w:w="200" w:type="dxa"/>
            <w:vAlign w:val="bottom"/>
            <w:tcBorders>
              <w:bottom w:val="single" w:sz="8" w:color="214E93"/>
            </w:tcBorders>
          </w:tcPr>
          <w:p>
            <w:pPr>
              <w:spacing w:after="0"/>
              <w:rPr>
                <w:sz w:val="24"/>
                <w:szCs w:val="24"/>
                <w:color w:val="auto"/>
              </w:rPr>
            </w:pPr>
          </w:p>
        </w:tc>
        <w:tc>
          <w:tcPr>
            <w:tcW w:w="840" w:type="dxa"/>
            <w:vAlign w:val="bottom"/>
            <w:tcBorders>
              <w:bottom w:val="single" w:sz="8" w:color="214E93"/>
            </w:tcBorders>
          </w:tcPr>
          <w:p>
            <w:pPr>
              <w:spacing w:after="0"/>
              <w:rPr>
                <w:sz w:val="24"/>
                <w:szCs w:val="24"/>
                <w:color w:val="auto"/>
              </w:rPr>
            </w:pPr>
          </w:p>
        </w:tc>
        <w:tc>
          <w:tcPr>
            <w:tcW w:w="1160" w:type="dxa"/>
            <w:vAlign w:val="bottom"/>
            <w:tcBorders>
              <w:bottom w:val="single" w:sz="8" w:color="214E93"/>
            </w:tcBorders>
          </w:tcPr>
          <w:p>
            <w:pPr>
              <w:spacing w:after="0"/>
              <w:rPr>
                <w:sz w:val="24"/>
                <w:szCs w:val="24"/>
                <w:color w:val="auto"/>
              </w:rPr>
            </w:pPr>
          </w:p>
        </w:tc>
        <w:tc>
          <w:tcPr>
            <w:tcW w:w="0" w:type="dxa"/>
            <w:vAlign w:val="bottom"/>
          </w:tcPr>
          <w:p>
            <w:pPr>
              <w:spacing w:after="0"/>
              <w:rPr>
                <w:sz w:val="1"/>
                <w:szCs w:val="1"/>
                <w:color w:val="auto"/>
              </w:rPr>
            </w:pPr>
          </w:p>
        </w:tc>
      </w:tr>
      <w:tr>
        <w:trPr>
          <w:trHeight w:val="743"/>
        </w:trPr>
        <w:tc>
          <w:tcPr>
            <w:tcW w:w="740" w:type="dxa"/>
            <w:vAlign w:val="bottom"/>
          </w:tcPr>
          <w:p>
            <w:pPr>
              <w:spacing w:after="0"/>
              <w:rPr>
                <w:sz w:val="24"/>
                <w:szCs w:val="24"/>
                <w:color w:val="auto"/>
              </w:rPr>
            </w:pPr>
          </w:p>
        </w:tc>
        <w:tc>
          <w:tcPr>
            <w:tcW w:w="6360" w:type="dxa"/>
            <w:vAlign w:val="bottom"/>
          </w:tcPr>
          <w:p>
            <w:pPr>
              <w:ind w:left="40"/>
              <w:spacing w:after="0"/>
              <w:rPr>
                <w:sz w:val="20"/>
                <w:szCs w:val="20"/>
                <w:color w:val="auto"/>
              </w:rPr>
            </w:pPr>
            <w:r>
              <w:rPr>
                <w:rFonts w:ascii="Calibri" w:cs="Calibri" w:eastAsia="Calibri" w:hAnsi="Calibri"/>
                <w:sz w:val="19"/>
                <w:szCs w:val="19"/>
                <w:b w:val="1"/>
                <w:bCs w:val="1"/>
                <w:color w:val="214E93"/>
              </w:rPr>
              <w:t>Matador Resources Company and Subsidiaries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0" w:type="dxa"/>
            <w:vAlign w:val="bottom"/>
          </w:tcPr>
          <w:p>
            <w:pPr>
              <w:spacing w:after="0"/>
              <w:rPr>
                <w:sz w:val="22"/>
                <w:szCs w:val="22"/>
                <w:color w:val="auto"/>
              </w:rPr>
            </w:pPr>
          </w:p>
        </w:tc>
        <w:tc>
          <w:tcPr>
            <w:tcW w:w="6360" w:type="dxa"/>
            <w:vAlign w:val="bottom"/>
          </w:tcPr>
          <w:p>
            <w:pPr>
              <w:spacing w:after="0"/>
              <w:rPr>
                <w:sz w:val="22"/>
                <w:szCs w:val="22"/>
                <w:color w:val="auto"/>
              </w:rPr>
            </w:pPr>
          </w:p>
        </w:tc>
        <w:tc>
          <w:tcPr>
            <w:tcW w:w="180" w:type="dxa"/>
            <w:vAlign w:val="bottom"/>
            <w:tcBorders>
              <w:bottom w:val="single" w:sz="8" w:color="214E93"/>
            </w:tcBorders>
          </w:tcPr>
          <w:p>
            <w:pPr>
              <w:spacing w:after="0"/>
              <w:rPr>
                <w:sz w:val="22"/>
                <w:szCs w:val="22"/>
                <w:color w:val="auto"/>
              </w:rPr>
            </w:pPr>
          </w:p>
        </w:tc>
        <w:tc>
          <w:tcPr>
            <w:tcW w:w="3020" w:type="dxa"/>
            <w:vAlign w:val="bottom"/>
            <w:tcBorders>
              <w:bottom w:val="single" w:sz="8" w:color="214E93"/>
            </w:tcBorders>
            <w:gridSpan w:val="5"/>
          </w:tcPr>
          <w:p>
            <w:pPr>
              <w:jc w:val="right"/>
              <w:ind w:right="622"/>
              <w:spacing w:after="0"/>
              <w:rPr>
                <w:sz w:val="20"/>
                <w:szCs w:val="20"/>
                <w:color w:val="auto"/>
              </w:rPr>
            </w:pPr>
            <w:r>
              <w:rPr>
                <w:rFonts w:ascii="Verdana" w:cs="Verdana" w:eastAsia="Verdana" w:hAnsi="Verdana"/>
                <w:sz w:val="14"/>
                <w:szCs w:val="14"/>
                <w:color w:val="auto"/>
              </w:rPr>
              <w:t>Year Ended December 31,</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740" w:type="dxa"/>
            <w:vAlign w:val="bottom"/>
          </w:tcPr>
          <w:p>
            <w:pPr>
              <w:spacing w:after="0"/>
              <w:rPr>
                <w:sz w:val="20"/>
                <w:szCs w:val="20"/>
                <w:color w:val="auto"/>
              </w:rPr>
            </w:pPr>
          </w:p>
        </w:tc>
        <w:tc>
          <w:tcPr>
            <w:tcW w:w="6360" w:type="dxa"/>
            <w:vAlign w:val="bottom"/>
            <w:tcBorders>
              <w:bottom w:val="single" w:sz="8" w:color="214E93"/>
            </w:tcBorders>
          </w:tcPr>
          <w:p>
            <w:pPr>
              <w:spacing w:after="0"/>
              <w:rPr>
                <w:sz w:val="20"/>
                <w:szCs w:val="20"/>
                <w:color w:val="auto"/>
              </w:rPr>
            </w:pPr>
          </w:p>
        </w:tc>
        <w:tc>
          <w:tcPr>
            <w:tcW w:w="180" w:type="dxa"/>
            <w:vAlign w:val="bottom"/>
            <w:tcBorders>
              <w:bottom w:val="single" w:sz="8" w:color="214E93"/>
            </w:tcBorders>
          </w:tcPr>
          <w:p>
            <w:pPr>
              <w:spacing w:after="0"/>
              <w:rPr>
                <w:sz w:val="20"/>
                <w:szCs w:val="20"/>
                <w:color w:val="auto"/>
              </w:rPr>
            </w:pPr>
          </w:p>
        </w:tc>
        <w:tc>
          <w:tcPr>
            <w:tcW w:w="900" w:type="dxa"/>
            <w:vAlign w:val="bottom"/>
            <w:tcBorders>
              <w:bottom w:val="single" w:sz="8" w:color="214E93"/>
            </w:tcBorders>
          </w:tcPr>
          <w:p>
            <w:pPr>
              <w:jc w:val="right"/>
              <w:ind w:right="322"/>
              <w:spacing w:after="0"/>
              <w:rPr>
                <w:sz w:val="20"/>
                <w:szCs w:val="20"/>
                <w:color w:val="auto"/>
              </w:rPr>
            </w:pPr>
            <w:r>
              <w:rPr>
                <w:rFonts w:ascii="Verdana" w:cs="Verdana" w:eastAsia="Verdana" w:hAnsi="Verdana"/>
                <w:sz w:val="14"/>
                <w:szCs w:val="14"/>
                <w:color w:val="214E93"/>
              </w:rPr>
              <w:t>2025</w:t>
            </w:r>
          </w:p>
        </w:tc>
        <w:tc>
          <w:tcPr>
            <w:tcW w:w="180" w:type="dxa"/>
            <w:vAlign w:val="bottom"/>
            <w:tcBorders>
              <w:bottom w:val="single" w:sz="8" w:color="214E93"/>
            </w:tcBorders>
          </w:tcPr>
          <w:p>
            <w:pPr>
              <w:spacing w:after="0"/>
              <w:rPr>
                <w:sz w:val="20"/>
                <w:szCs w:val="20"/>
                <w:color w:val="auto"/>
              </w:rPr>
            </w:pPr>
          </w:p>
        </w:tc>
        <w:tc>
          <w:tcPr>
            <w:tcW w:w="900" w:type="dxa"/>
            <w:vAlign w:val="bottom"/>
            <w:tcBorders>
              <w:bottom w:val="single" w:sz="8" w:color="214E93"/>
            </w:tcBorders>
          </w:tcPr>
          <w:p>
            <w:pPr>
              <w:jc w:val="right"/>
              <w:ind w:right="302"/>
              <w:spacing w:after="0"/>
              <w:rPr>
                <w:sz w:val="20"/>
                <w:szCs w:val="20"/>
                <w:color w:val="auto"/>
              </w:rPr>
            </w:pPr>
            <w:r>
              <w:rPr>
                <w:rFonts w:ascii="Verdana" w:cs="Verdana" w:eastAsia="Verdana" w:hAnsi="Verdana"/>
                <w:sz w:val="14"/>
                <w:szCs w:val="14"/>
                <w:color w:val="auto"/>
              </w:rPr>
              <w:t>2024</w:t>
            </w:r>
          </w:p>
        </w:tc>
        <w:tc>
          <w:tcPr>
            <w:tcW w:w="200" w:type="dxa"/>
            <w:vAlign w:val="bottom"/>
            <w:tcBorders>
              <w:bottom w:val="single" w:sz="8" w:color="214E93"/>
            </w:tcBorders>
          </w:tcPr>
          <w:p>
            <w:pPr>
              <w:spacing w:after="0"/>
              <w:rPr>
                <w:sz w:val="20"/>
                <w:szCs w:val="20"/>
                <w:color w:val="auto"/>
              </w:rPr>
            </w:pPr>
          </w:p>
        </w:tc>
        <w:tc>
          <w:tcPr>
            <w:tcW w:w="840" w:type="dxa"/>
            <w:vAlign w:val="bottom"/>
            <w:tcBorders>
              <w:bottom w:val="single" w:sz="8" w:color="214E93"/>
            </w:tcBorders>
          </w:tcPr>
          <w:p>
            <w:pPr>
              <w:jc w:val="right"/>
              <w:ind w:right="262"/>
              <w:spacing w:after="0"/>
              <w:rPr>
                <w:sz w:val="20"/>
                <w:szCs w:val="20"/>
                <w:color w:val="auto"/>
              </w:rPr>
            </w:pPr>
            <w:r>
              <w:rPr>
                <w:rFonts w:ascii="Verdana" w:cs="Verdana" w:eastAsia="Verdana" w:hAnsi="Verdana"/>
                <w:sz w:val="14"/>
                <w:szCs w:val="14"/>
                <w:color w:val="auto"/>
              </w:rPr>
              <w:t>2023</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40" w:type="dxa"/>
            <w:vAlign w:val="bottom"/>
          </w:tcPr>
          <w:p>
            <w:pPr>
              <w:spacing w:after="0"/>
              <w:rPr>
                <w:sz w:val="16"/>
                <w:szCs w:val="16"/>
                <w:color w:val="auto"/>
              </w:rPr>
            </w:pPr>
          </w:p>
        </w:tc>
        <w:tc>
          <w:tcPr>
            <w:tcW w:w="6360" w:type="dxa"/>
            <w:vAlign w:val="bottom"/>
          </w:tcPr>
          <w:p>
            <w:pPr>
              <w:ind w:left="40"/>
              <w:spacing w:after="0"/>
              <w:rPr>
                <w:sz w:val="20"/>
                <w:szCs w:val="20"/>
                <w:color w:val="auto"/>
              </w:rPr>
            </w:pPr>
            <w:r>
              <w:rPr>
                <w:rFonts w:ascii="Verdana" w:cs="Verdana" w:eastAsia="Verdana" w:hAnsi="Verdana"/>
                <w:sz w:val="14"/>
                <w:szCs w:val="14"/>
                <w:i w:val="1"/>
                <w:iCs w:val="1"/>
                <w:color w:val="auto"/>
              </w:rPr>
              <w:t>(in thousands, except per share data)</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40" w:type="dxa"/>
            <w:vAlign w:val="bottom"/>
          </w:tcPr>
          <w:p>
            <w:pPr>
              <w:spacing w:after="0"/>
              <w:rPr>
                <w:sz w:val="18"/>
                <w:szCs w:val="18"/>
                <w:color w:val="auto"/>
              </w:rPr>
            </w:pPr>
          </w:p>
        </w:tc>
        <w:tc>
          <w:tcPr>
            <w:tcW w:w="6360" w:type="dxa"/>
            <w:vAlign w:val="bottom"/>
          </w:tcPr>
          <w:p>
            <w:pPr>
              <w:ind w:left="40"/>
              <w:spacing w:after="0"/>
              <w:rPr>
                <w:sz w:val="20"/>
                <w:szCs w:val="20"/>
                <w:color w:val="auto"/>
              </w:rPr>
            </w:pPr>
            <w:r>
              <w:rPr>
                <w:rFonts w:ascii="Verdana" w:cs="Verdana" w:eastAsia="Verdana" w:hAnsi="Verdana"/>
                <w:sz w:val="14"/>
                <w:szCs w:val="14"/>
                <w:color w:val="auto"/>
              </w:rPr>
              <w:t>Revenues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740" w:type="dxa"/>
            <w:vAlign w:val="bottom"/>
          </w:tcPr>
          <w:p>
            <w:pPr>
              <w:spacing w:after="0"/>
              <w:rPr>
                <w:sz w:val="24"/>
                <w:szCs w:val="24"/>
                <w:color w:val="auto"/>
              </w:rPr>
            </w:pPr>
          </w:p>
        </w:tc>
        <w:tc>
          <w:tcPr>
            <w:tcW w:w="6360" w:type="dxa"/>
            <w:vAlign w:val="bottom"/>
          </w:tcPr>
          <w:p>
            <w:pPr>
              <w:ind w:left="160"/>
              <w:spacing w:after="0"/>
              <w:rPr>
                <w:sz w:val="20"/>
                <w:szCs w:val="20"/>
                <w:color w:val="auto"/>
              </w:rPr>
            </w:pPr>
            <w:r>
              <w:rPr>
                <w:rFonts w:ascii="Verdana" w:cs="Verdana" w:eastAsia="Verdana" w:hAnsi="Verdana"/>
                <w:sz w:val="14"/>
                <w:szCs w:val="14"/>
                <w:color w:val="auto"/>
              </w:rPr>
              <w:t>Oil and natural gas revenues</w:t>
            </w:r>
          </w:p>
        </w:tc>
        <w:tc>
          <w:tcPr>
            <w:tcW w:w="1080" w:type="dxa"/>
            <w:vAlign w:val="bottom"/>
            <w:gridSpan w:val="2"/>
          </w:tcPr>
          <w:p>
            <w:pPr>
              <w:ind w:left="60"/>
              <w:spacing w:after="0"/>
              <w:rPr>
                <w:sz w:val="20"/>
                <w:szCs w:val="20"/>
                <w:color w:val="auto"/>
              </w:rPr>
            </w:pPr>
            <w:r>
              <w:rPr>
                <w:rFonts w:ascii="Verdana" w:cs="Verdana" w:eastAsia="Verdana" w:hAnsi="Verdana"/>
                <w:sz w:val="16"/>
                <w:szCs w:val="16"/>
                <w:color w:val="214E93"/>
              </w:rPr>
              <w:t>$3,238,750</w:t>
            </w:r>
          </w:p>
        </w:tc>
        <w:tc>
          <w:tcPr>
            <w:tcW w:w="1080" w:type="dxa"/>
            <w:vAlign w:val="bottom"/>
            <w:gridSpan w:val="2"/>
          </w:tcPr>
          <w:p>
            <w:pPr>
              <w:ind w:left="60"/>
              <w:spacing w:after="0"/>
              <w:rPr>
                <w:sz w:val="20"/>
                <w:szCs w:val="20"/>
                <w:color w:val="auto"/>
              </w:rPr>
            </w:pPr>
            <w:r>
              <w:rPr>
                <w:rFonts w:ascii="Verdana" w:cs="Verdana" w:eastAsia="Verdana" w:hAnsi="Verdana"/>
                <w:sz w:val="16"/>
                <w:szCs w:val="16"/>
                <w:color w:val="auto"/>
              </w:rPr>
              <w:t>$3,143,834</w:t>
            </w:r>
          </w:p>
        </w:tc>
        <w:tc>
          <w:tcPr>
            <w:tcW w:w="1040" w:type="dxa"/>
            <w:vAlign w:val="bottom"/>
            <w:gridSpan w:val="2"/>
          </w:tcPr>
          <w:p>
            <w:pPr>
              <w:ind w:left="80"/>
              <w:spacing w:after="0"/>
              <w:rPr>
                <w:sz w:val="20"/>
                <w:szCs w:val="20"/>
                <w:color w:val="auto"/>
              </w:rPr>
            </w:pPr>
            <w:r>
              <w:rPr>
                <w:rFonts w:ascii="Verdana" w:cs="Verdana" w:eastAsia="Verdana" w:hAnsi="Verdana"/>
                <w:sz w:val="16"/>
                <w:szCs w:val="16"/>
                <w:color w:val="auto"/>
              </w:rPr>
              <w:t>$2,545,599</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40" w:type="dxa"/>
            <w:vAlign w:val="bottom"/>
          </w:tcPr>
          <w:p>
            <w:pPr>
              <w:spacing w:after="0"/>
              <w:rPr>
                <w:sz w:val="24"/>
                <w:szCs w:val="24"/>
                <w:color w:val="auto"/>
              </w:rPr>
            </w:pPr>
          </w:p>
        </w:tc>
        <w:tc>
          <w:tcPr>
            <w:tcW w:w="6360" w:type="dxa"/>
            <w:vAlign w:val="bottom"/>
          </w:tcPr>
          <w:p>
            <w:pPr>
              <w:ind w:left="160"/>
              <w:spacing w:after="0"/>
              <w:rPr>
                <w:sz w:val="20"/>
                <w:szCs w:val="20"/>
                <w:color w:val="auto"/>
              </w:rPr>
            </w:pPr>
            <w:r>
              <w:rPr>
                <w:rFonts w:ascii="Verdana" w:cs="Verdana" w:eastAsia="Verdana" w:hAnsi="Verdana"/>
                <w:sz w:val="14"/>
                <w:szCs w:val="14"/>
                <w:color w:val="auto"/>
              </w:rPr>
              <w:t>Third-party midstream services revenues</w:t>
            </w:r>
          </w:p>
        </w:tc>
        <w:tc>
          <w:tcPr>
            <w:tcW w:w="180" w:type="dxa"/>
            <w:vAlign w:val="bottom"/>
          </w:tcPr>
          <w:p>
            <w:pPr>
              <w:spacing w:after="0"/>
              <w:rPr>
                <w:sz w:val="24"/>
                <w:szCs w:val="24"/>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214E93"/>
              </w:rPr>
              <w:t>164,733</w:t>
            </w:r>
          </w:p>
        </w:tc>
        <w:tc>
          <w:tcPr>
            <w:tcW w:w="180" w:type="dxa"/>
            <w:vAlign w:val="bottom"/>
          </w:tcPr>
          <w:p>
            <w:pPr>
              <w:spacing w:after="0"/>
              <w:rPr>
                <w:sz w:val="24"/>
                <w:szCs w:val="24"/>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auto"/>
              </w:rPr>
              <w:t>141,027</w:t>
            </w:r>
          </w:p>
        </w:tc>
        <w:tc>
          <w:tcPr>
            <w:tcW w:w="20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Verdana" w:cs="Verdana" w:eastAsia="Verdana" w:hAnsi="Verdana"/>
                <w:sz w:val="16"/>
                <w:szCs w:val="16"/>
                <w:color w:val="auto"/>
              </w:rPr>
              <w:t>122,153</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40" w:type="dxa"/>
            <w:vAlign w:val="bottom"/>
          </w:tcPr>
          <w:p>
            <w:pPr>
              <w:spacing w:after="0"/>
              <w:rPr>
                <w:sz w:val="24"/>
                <w:szCs w:val="24"/>
                <w:color w:val="auto"/>
              </w:rPr>
            </w:pPr>
          </w:p>
        </w:tc>
        <w:tc>
          <w:tcPr>
            <w:tcW w:w="6360" w:type="dxa"/>
            <w:vAlign w:val="bottom"/>
          </w:tcPr>
          <w:p>
            <w:pPr>
              <w:ind w:left="160"/>
              <w:spacing w:after="0"/>
              <w:rPr>
                <w:sz w:val="20"/>
                <w:szCs w:val="20"/>
                <w:color w:val="auto"/>
              </w:rPr>
            </w:pPr>
            <w:r>
              <w:rPr>
                <w:rFonts w:ascii="Verdana" w:cs="Verdana" w:eastAsia="Verdana" w:hAnsi="Verdana"/>
                <w:sz w:val="14"/>
                <w:szCs w:val="14"/>
                <w:color w:val="auto"/>
              </w:rPr>
              <w:t>Sales of purchased natural gas</w:t>
            </w:r>
          </w:p>
        </w:tc>
        <w:tc>
          <w:tcPr>
            <w:tcW w:w="180" w:type="dxa"/>
            <w:vAlign w:val="bottom"/>
          </w:tcPr>
          <w:p>
            <w:pPr>
              <w:spacing w:after="0"/>
              <w:rPr>
                <w:sz w:val="24"/>
                <w:szCs w:val="24"/>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214E93"/>
              </w:rPr>
              <w:t>253,031</w:t>
            </w:r>
          </w:p>
        </w:tc>
        <w:tc>
          <w:tcPr>
            <w:tcW w:w="180" w:type="dxa"/>
            <w:vAlign w:val="bottom"/>
          </w:tcPr>
          <w:p>
            <w:pPr>
              <w:spacing w:after="0"/>
              <w:rPr>
                <w:sz w:val="24"/>
                <w:szCs w:val="24"/>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auto"/>
              </w:rPr>
              <w:t>194,097</w:t>
            </w:r>
          </w:p>
        </w:tc>
        <w:tc>
          <w:tcPr>
            <w:tcW w:w="20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Verdana" w:cs="Verdana" w:eastAsia="Verdana" w:hAnsi="Verdana"/>
                <w:sz w:val="16"/>
                <w:szCs w:val="16"/>
                <w:color w:val="auto"/>
              </w:rPr>
              <w:t>149,869</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40" w:type="dxa"/>
            <w:vAlign w:val="bottom"/>
          </w:tcPr>
          <w:p>
            <w:pPr>
              <w:spacing w:after="0"/>
              <w:rPr>
                <w:sz w:val="24"/>
                <w:szCs w:val="24"/>
                <w:color w:val="auto"/>
              </w:rPr>
            </w:pPr>
          </w:p>
        </w:tc>
        <w:tc>
          <w:tcPr>
            <w:tcW w:w="6360" w:type="dxa"/>
            <w:vAlign w:val="bottom"/>
          </w:tcPr>
          <w:p>
            <w:pPr>
              <w:ind w:left="160"/>
              <w:spacing w:after="0"/>
              <w:rPr>
                <w:sz w:val="20"/>
                <w:szCs w:val="20"/>
                <w:color w:val="auto"/>
              </w:rPr>
            </w:pPr>
            <w:r>
              <w:rPr>
                <w:rFonts w:ascii="Verdana" w:cs="Verdana" w:eastAsia="Verdana" w:hAnsi="Verdana"/>
                <w:sz w:val="14"/>
                <w:szCs w:val="14"/>
                <w:color w:val="auto"/>
              </w:rPr>
              <w:t>Realized gain (loss) on derivatives</w:t>
            </w:r>
          </w:p>
        </w:tc>
        <w:tc>
          <w:tcPr>
            <w:tcW w:w="180" w:type="dxa"/>
            <w:vAlign w:val="bottom"/>
          </w:tcPr>
          <w:p>
            <w:pPr>
              <w:spacing w:after="0"/>
              <w:rPr>
                <w:sz w:val="24"/>
                <w:szCs w:val="24"/>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214E93"/>
              </w:rPr>
              <w:t>21,679</w:t>
            </w:r>
          </w:p>
        </w:tc>
        <w:tc>
          <w:tcPr>
            <w:tcW w:w="180" w:type="dxa"/>
            <w:vAlign w:val="bottom"/>
          </w:tcPr>
          <w:p>
            <w:pPr>
              <w:spacing w:after="0"/>
              <w:rPr>
                <w:sz w:val="24"/>
                <w:szCs w:val="24"/>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auto"/>
              </w:rPr>
              <w:t>12,724</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Verdana" w:cs="Verdana" w:eastAsia="Verdana" w:hAnsi="Verdana"/>
                <w:sz w:val="16"/>
                <w:szCs w:val="16"/>
                <w:color w:val="auto"/>
              </w:rPr>
              <w:t>(9,575)</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40" w:type="dxa"/>
            <w:vAlign w:val="bottom"/>
          </w:tcPr>
          <w:p>
            <w:pPr>
              <w:spacing w:after="0"/>
              <w:rPr>
                <w:sz w:val="24"/>
                <w:szCs w:val="24"/>
                <w:color w:val="auto"/>
              </w:rPr>
            </w:pPr>
          </w:p>
        </w:tc>
        <w:tc>
          <w:tcPr>
            <w:tcW w:w="6360" w:type="dxa"/>
            <w:vAlign w:val="bottom"/>
            <w:tcBorders>
              <w:bottom w:val="single" w:sz="8" w:color="auto"/>
            </w:tcBorders>
          </w:tcPr>
          <w:p>
            <w:pPr>
              <w:ind w:left="160"/>
              <w:spacing w:after="0"/>
              <w:rPr>
                <w:sz w:val="20"/>
                <w:szCs w:val="20"/>
                <w:color w:val="auto"/>
              </w:rPr>
            </w:pPr>
            <w:r>
              <w:rPr>
                <w:rFonts w:ascii="Verdana" w:cs="Verdana" w:eastAsia="Verdana" w:hAnsi="Verdana"/>
                <w:sz w:val="14"/>
                <w:szCs w:val="14"/>
                <w:color w:val="auto"/>
              </w:rPr>
              <w:t>Unrealized gain (loss) on derivatives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2"/>
              <w:spacing w:after="0"/>
              <w:rPr>
                <w:sz w:val="20"/>
                <w:szCs w:val="20"/>
                <w:color w:val="auto"/>
              </w:rPr>
            </w:pPr>
            <w:r>
              <w:rPr>
                <w:rFonts w:ascii="Verdana" w:cs="Verdana" w:eastAsia="Verdana" w:hAnsi="Verdana"/>
                <w:sz w:val="16"/>
                <w:szCs w:val="16"/>
                <w:color w:val="214E93"/>
              </w:rPr>
              <w:t>18,084</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2"/>
              <w:spacing w:after="0"/>
              <w:rPr>
                <w:sz w:val="20"/>
                <w:szCs w:val="20"/>
                <w:color w:val="auto"/>
              </w:rPr>
            </w:pPr>
            <w:r>
              <w:rPr>
                <w:rFonts w:ascii="Verdana" w:cs="Verdana" w:eastAsia="Verdana" w:hAnsi="Verdana"/>
                <w:sz w:val="16"/>
                <w:szCs w:val="16"/>
                <w:color w:val="auto"/>
              </w:rPr>
              <w:t>13,299</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(1,261)</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40" w:type="dxa"/>
            <w:vAlign w:val="bottom"/>
          </w:tcPr>
          <w:p>
            <w:pPr>
              <w:spacing w:after="0"/>
              <w:rPr>
                <w:sz w:val="16"/>
                <w:szCs w:val="16"/>
                <w:color w:val="auto"/>
              </w:rPr>
            </w:pPr>
          </w:p>
        </w:tc>
        <w:tc>
          <w:tcPr>
            <w:tcW w:w="6360" w:type="dxa"/>
            <w:vAlign w:val="bottom"/>
          </w:tcPr>
          <w:p>
            <w:pPr>
              <w:ind w:left="280"/>
              <w:spacing w:after="0"/>
              <w:rPr>
                <w:sz w:val="20"/>
                <w:szCs w:val="20"/>
                <w:color w:val="auto"/>
              </w:rPr>
            </w:pPr>
            <w:r>
              <w:rPr>
                <w:rFonts w:ascii="Verdana" w:cs="Verdana" w:eastAsia="Verdana" w:hAnsi="Verdana"/>
                <w:sz w:val="14"/>
                <w:szCs w:val="14"/>
                <w:color w:val="auto"/>
              </w:rPr>
              <w:t>Total revenues</w:t>
            </w:r>
          </w:p>
        </w:tc>
        <w:tc>
          <w:tcPr>
            <w:tcW w:w="180" w:type="dxa"/>
            <w:vAlign w:val="bottom"/>
          </w:tcPr>
          <w:p>
            <w:pPr>
              <w:spacing w:after="0"/>
              <w:rPr>
                <w:sz w:val="16"/>
                <w:szCs w:val="16"/>
                <w:color w:val="auto"/>
              </w:rPr>
            </w:pPr>
          </w:p>
        </w:tc>
        <w:tc>
          <w:tcPr>
            <w:tcW w:w="900" w:type="dxa"/>
            <w:vAlign w:val="bottom"/>
            <w:vMerge w:val="restart"/>
          </w:tcPr>
          <w:p>
            <w:pPr>
              <w:jc w:val="right"/>
              <w:ind w:right="62"/>
              <w:spacing w:after="0"/>
              <w:rPr>
                <w:sz w:val="20"/>
                <w:szCs w:val="20"/>
                <w:color w:val="auto"/>
              </w:rPr>
            </w:pPr>
            <w:r>
              <w:rPr>
                <w:rFonts w:ascii="Verdana" w:cs="Verdana" w:eastAsia="Verdana" w:hAnsi="Verdana"/>
                <w:sz w:val="14"/>
                <w:szCs w:val="14"/>
                <w:color w:val="214E93"/>
              </w:rPr>
              <w:t>3,696,277</w:t>
            </w:r>
          </w:p>
        </w:tc>
        <w:tc>
          <w:tcPr>
            <w:tcW w:w="180" w:type="dxa"/>
            <w:vAlign w:val="bottom"/>
          </w:tcPr>
          <w:p>
            <w:pPr>
              <w:spacing w:after="0"/>
              <w:rPr>
                <w:sz w:val="16"/>
                <w:szCs w:val="16"/>
                <w:color w:val="auto"/>
              </w:rPr>
            </w:pPr>
          </w:p>
        </w:tc>
        <w:tc>
          <w:tcPr>
            <w:tcW w:w="900" w:type="dxa"/>
            <w:vAlign w:val="bottom"/>
            <w:vMerge w:val="restart"/>
          </w:tcPr>
          <w:p>
            <w:pPr>
              <w:jc w:val="right"/>
              <w:ind w:right="62"/>
              <w:spacing w:after="0"/>
              <w:rPr>
                <w:sz w:val="20"/>
                <w:szCs w:val="20"/>
                <w:color w:val="auto"/>
              </w:rPr>
            </w:pPr>
            <w:r>
              <w:rPr>
                <w:rFonts w:ascii="Verdana" w:cs="Verdana" w:eastAsia="Verdana" w:hAnsi="Verdana"/>
                <w:sz w:val="14"/>
                <w:szCs w:val="14"/>
                <w:color w:val="auto"/>
              </w:rPr>
              <w:t>3,504,981</w:t>
            </w:r>
          </w:p>
        </w:tc>
        <w:tc>
          <w:tcPr>
            <w:tcW w:w="200" w:type="dxa"/>
            <w:vAlign w:val="bottom"/>
          </w:tcPr>
          <w:p>
            <w:pPr>
              <w:spacing w:after="0"/>
              <w:rPr>
                <w:sz w:val="16"/>
                <w:szCs w:val="16"/>
                <w:color w:val="auto"/>
              </w:rPr>
            </w:pPr>
          </w:p>
        </w:tc>
        <w:tc>
          <w:tcPr>
            <w:tcW w:w="840" w:type="dxa"/>
            <w:vAlign w:val="bottom"/>
            <w:vMerge w:val="restart"/>
          </w:tcPr>
          <w:p>
            <w:pPr>
              <w:jc w:val="right"/>
              <w:ind w:right="2"/>
              <w:spacing w:after="0"/>
              <w:rPr>
                <w:sz w:val="20"/>
                <w:szCs w:val="20"/>
                <w:color w:val="auto"/>
              </w:rPr>
            </w:pPr>
            <w:r>
              <w:rPr>
                <w:rFonts w:ascii="Verdana" w:cs="Verdana" w:eastAsia="Verdana" w:hAnsi="Verdana"/>
                <w:sz w:val="14"/>
                <w:szCs w:val="14"/>
                <w:color w:val="auto"/>
              </w:rPr>
              <w:t>2,806,785</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740" w:type="dxa"/>
            <w:vAlign w:val="bottom"/>
          </w:tcPr>
          <w:p>
            <w:pPr>
              <w:spacing w:after="0"/>
              <w:rPr>
                <w:sz w:val="6"/>
                <w:szCs w:val="6"/>
                <w:color w:val="auto"/>
              </w:rPr>
            </w:pPr>
          </w:p>
        </w:tc>
        <w:tc>
          <w:tcPr>
            <w:tcW w:w="63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740" w:type="dxa"/>
            <w:vAlign w:val="bottom"/>
          </w:tcPr>
          <w:p>
            <w:pPr>
              <w:spacing w:after="0"/>
              <w:rPr>
                <w:sz w:val="16"/>
                <w:szCs w:val="16"/>
                <w:color w:val="auto"/>
              </w:rPr>
            </w:pPr>
          </w:p>
        </w:tc>
        <w:tc>
          <w:tcPr>
            <w:tcW w:w="6360" w:type="dxa"/>
            <w:vAlign w:val="bottom"/>
          </w:tcPr>
          <w:p>
            <w:pPr>
              <w:ind w:left="40"/>
              <w:spacing w:after="0"/>
              <w:rPr>
                <w:sz w:val="20"/>
                <w:szCs w:val="20"/>
                <w:color w:val="auto"/>
              </w:rPr>
            </w:pPr>
            <w:r>
              <w:rPr>
                <w:rFonts w:ascii="Verdana" w:cs="Verdana" w:eastAsia="Verdana" w:hAnsi="Verdana"/>
                <w:sz w:val="14"/>
                <w:szCs w:val="14"/>
                <w:color w:val="auto"/>
              </w:rPr>
              <w:t>Expenses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740" w:type="dxa"/>
            <w:vAlign w:val="bottom"/>
          </w:tcPr>
          <w:p>
            <w:pPr>
              <w:spacing w:after="0"/>
              <w:rPr>
                <w:sz w:val="24"/>
                <w:szCs w:val="24"/>
                <w:color w:val="auto"/>
              </w:rPr>
            </w:pPr>
          </w:p>
        </w:tc>
        <w:tc>
          <w:tcPr>
            <w:tcW w:w="6360" w:type="dxa"/>
            <w:vAlign w:val="bottom"/>
          </w:tcPr>
          <w:p>
            <w:pPr>
              <w:ind w:left="160"/>
              <w:spacing w:after="0"/>
              <w:rPr>
                <w:sz w:val="20"/>
                <w:szCs w:val="20"/>
                <w:color w:val="auto"/>
              </w:rPr>
            </w:pPr>
            <w:r>
              <w:rPr>
                <w:rFonts w:ascii="Verdana" w:cs="Verdana" w:eastAsia="Verdana" w:hAnsi="Verdana"/>
                <w:sz w:val="14"/>
                <w:szCs w:val="14"/>
                <w:color w:val="auto"/>
              </w:rPr>
              <w:t>Lease operating</w:t>
            </w:r>
          </w:p>
        </w:tc>
        <w:tc>
          <w:tcPr>
            <w:tcW w:w="180" w:type="dxa"/>
            <w:vAlign w:val="bottom"/>
          </w:tcPr>
          <w:p>
            <w:pPr>
              <w:spacing w:after="0"/>
              <w:rPr>
                <w:sz w:val="24"/>
                <w:szCs w:val="24"/>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214E93"/>
              </w:rPr>
              <w:t>415,810</w:t>
            </w:r>
          </w:p>
        </w:tc>
        <w:tc>
          <w:tcPr>
            <w:tcW w:w="180" w:type="dxa"/>
            <w:vAlign w:val="bottom"/>
          </w:tcPr>
          <w:p>
            <w:pPr>
              <w:spacing w:after="0"/>
              <w:rPr>
                <w:sz w:val="24"/>
                <w:szCs w:val="24"/>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auto"/>
              </w:rPr>
              <w:t>325,145</w:t>
            </w:r>
          </w:p>
        </w:tc>
        <w:tc>
          <w:tcPr>
            <w:tcW w:w="20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Verdana" w:cs="Verdana" w:eastAsia="Verdana" w:hAnsi="Verdana"/>
                <w:sz w:val="16"/>
                <w:szCs w:val="16"/>
                <w:color w:val="auto"/>
              </w:rPr>
              <w:t>232,521</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40" w:type="dxa"/>
            <w:vAlign w:val="bottom"/>
          </w:tcPr>
          <w:p>
            <w:pPr>
              <w:spacing w:after="0"/>
              <w:rPr>
                <w:sz w:val="24"/>
                <w:szCs w:val="24"/>
                <w:color w:val="auto"/>
              </w:rPr>
            </w:pPr>
          </w:p>
        </w:tc>
        <w:tc>
          <w:tcPr>
            <w:tcW w:w="6360" w:type="dxa"/>
            <w:vAlign w:val="bottom"/>
          </w:tcPr>
          <w:p>
            <w:pPr>
              <w:ind w:left="160"/>
              <w:spacing w:after="0"/>
              <w:rPr>
                <w:sz w:val="20"/>
                <w:szCs w:val="20"/>
                <w:color w:val="auto"/>
              </w:rPr>
            </w:pPr>
            <w:r>
              <w:rPr>
                <w:rFonts w:ascii="Verdana" w:cs="Verdana" w:eastAsia="Verdana" w:hAnsi="Verdana"/>
                <w:sz w:val="14"/>
                <w:szCs w:val="14"/>
                <w:color w:val="auto"/>
              </w:rPr>
              <w:t>Transportation and processing</w:t>
            </w:r>
          </w:p>
        </w:tc>
        <w:tc>
          <w:tcPr>
            <w:tcW w:w="180" w:type="dxa"/>
            <w:vAlign w:val="bottom"/>
          </w:tcPr>
          <w:p>
            <w:pPr>
              <w:spacing w:after="0"/>
              <w:rPr>
                <w:sz w:val="24"/>
                <w:szCs w:val="24"/>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214E93"/>
              </w:rPr>
              <w:t>66,787</w:t>
            </w:r>
          </w:p>
        </w:tc>
        <w:tc>
          <w:tcPr>
            <w:tcW w:w="180" w:type="dxa"/>
            <w:vAlign w:val="bottom"/>
          </w:tcPr>
          <w:p>
            <w:pPr>
              <w:spacing w:after="0"/>
              <w:rPr>
                <w:sz w:val="24"/>
                <w:szCs w:val="24"/>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auto"/>
              </w:rPr>
              <w:t>58,593</w:t>
            </w:r>
          </w:p>
        </w:tc>
        <w:tc>
          <w:tcPr>
            <w:tcW w:w="20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Verdana" w:cs="Verdana" w:eastAsia="Verdana" w:hAnsi="Verdana"/>
                <w:sz w:val="16"/>
                <w:szCs w:val="16"/>
                <w:color w:val="auto"/>
              </w:rPr>
              <w:t>59,912</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40" w:type="dxa"/>
            <w:vAlign w:val="bottom"/>
          </w:tcPr>
          <w:p>
            <w:pPr>
              <w:spacing w:after="0"/>
              <w:rPr>
                <w:sz w:val="24"/>
                <w:szCs w:val="24"/>
                <w:color w:val="auto"/>
              </w:rPr>
            </w:pPr>
          </w:p>
        </w:tc>
        <w:tc>
          <w:tcPr>
            <w:tcW w:w="6360" w:type="dxa"/>
            <w:vAlign w:val="bottom"/>
          </w:tcPr>
          <w:p>
            <w:pPr>
              <w:ind w:left="160"/>
              <w:spacing w:after="0"/>
              <w:rPr>
                <w:sz w:val="20"/>
                <w:szCs w:val="20"/>
                <w:color w:val="auto"/>
              </w:rPr>
            </w:pPr>
            <w:r>
              <w:rPr>
                <w:rFonts w:ascii="Verdana" w:cs="Verdana" w:eastAsia="Verdana" w:hAnsi="Verdana"/>
                <w:sz w:val="14"/>
                <w:szCs w:val="14"/>
                <w:color w:val="auto"/>
              </w:rPr>
              <w:t>Midstream operating</w:t>
            </w:r>
          </w:p>
        </w:tc>
        <w:tc>
          <w:tcPr>
            <w:tcW w:w="180" w:type="dxa"/>
            <w:vAlign w:val="bottom"/>
          </w:tcPr>
          <w:p>
            <w:pPr>
              <w:spacing w:after="0"/>
              <w:rPr>
                <w:sz w:val="24"/>
                <w:szCs w:val="24"/>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214E93"/>
              </w:rPr>
              <w:t>208,142</w:t>
            </w:r>
          </w:p>
        </w:tc>
        <w:tc>
          <w:tcPr>
            <w:tcW w:w="180" w:type="dxa"/>
            <w:vAlign w:val="bottom"/>
          </w:tcPr>
          <w:p>
            <w:pPr>
              <w:spacing w:after="0"/>
              <w:rPr>
                <w:sz w:val="24"/>
                <w:szCs w:val="24"/>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auto"/>
              </w:rPr>
              <w:t>167,400</w:t>
            </w:r>
          </w:p>
        </w:tc>
        <w:tc>
          <w:tcPr>
            <w:tcW w:w="20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Verdana" w:cs="Verdana" w:eastAsia="Verdana" w:hAnsi="Verdana"/>
                <w:sz w:val="16"/>
                <w:szCs w:val="16"/>
                <w:color w:val="auto"/>
              </w:rPr>
              <w:t>124,021</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40" w:type="dxa"/>
            <w:vAlign w:val="bottom"/>
          </w:tcPr>
          <w:p>
            <w:pPr>
              <w:spacing w:after="0"/>
              <w:rPr>
                <w:sz w:val="24"/>
                <w:szCs w:val="24"/>
                <w:color w:val="auto"/>
              </w:rPr>
            </w:pPr>
          </w:p>
        </w:tc>
        <w:tc>
          <w:tcPr>
            <w:tcW w:w="6360" w:type="dxa"/>
            <w:vAlign w:val="bottom"/>
          </w:tcPr>
          <w:p>
            <w:pPr>
              <w:ind w:left="160"/>
              <w:spacing w:after="0"/>
              <w:rPr>
                <w:sz w:val="20"/>
                <w:szCs w:val="20"/>
                <w:color w:val="auto"/>
              </w:rPr>
            </w:pPr>
            <w:r>
              <w:rPr>
                <w:rFonts w:ascii="Verdana" w:cs="Verdana" w:eastAsia="Verdana" w:hAnsi="Verdana"/>
                <w:sz w:val="14"/>
                <w:szCs w:val="14"/>
                <w:color w:val="auto"/>
              </w:rPr>
              <w:t>Purchased natural gas</w:t>
            </w:r>
          </w:p>
        </w:tc>
        <w:tc>
          <w:tcPr>
            <w:tcW w:w="180" w:type="dxa"/>
            <w:vAlign w:val="bottom"/>
          </w:tcPr>
          <w:p>
            <w:pPr>
              <w:spacing w:after="0"/>
              <w:rPr>
                <w:sz w:val="24"/>
                <w:szCs w:val="24"/>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214E93"/>
              </w:rPr>
              <w:t>163,094</w:t>
            </w:r>
          </w:p>
        </w:tc>
        <w:tc>
          <w:tcPr>
            <w:tcW w:w="180" w:type="dxa"/>
            <w:vAlign w:val="bottom"/>
          </w:tcPr>
          <w:p>
            <w:pPr>
              <w:spacing w:after="0"/>
              <w:rPr>
                <w:sz w:val="24"/>
                <w:szCs w:val="24"/>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auto"/>
              </w:rPr>
              <w:t>142,715</w:t>
            </w:r>
          </w:p>
        </w:tc>
        <w:tc>
          <w:tcPr>
            <w:tcW w:w="20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Verdana" w:cs="Verdana" w:eastAsia="Verdana" w:hAnsi="Verdana"/>
                <w:sz w:val="16"/>
                <w:szCs w:val="16"/>
                <w:color w:val="auto"/>
              </w:rPr>
              <w:t>129,401</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40" w:type="dxa"/>
            <w:vAlign w:val="bottom"/>
          </w:tcPr>
          <w:p>
            <w:pPr>
              <w:spacing w:after="0"/>
              <w:rPr>
                <w:sz w:val="24"/>
                <w:szCs w:val="24"/>
                <w:color w:val="auto"/>
              </w:rPr>
            </w:pPr>
          </w:p>
        </w:tc>
        <w:tc>
          <w:tcPr>
            <w:tcW w:w="6360" w:type="dxa"/>
            <w:vAlign w:val="bottom"/>
          </w:tcPr>
          <w:p>
            <w:pPr>
              <w:ind w:left="160"/>
              <w:spacing w:after="0"/>
              <w:rPr>
                <w:sz w:val="20"/>
                <w:szCs w:val="20"/>
                <w:color w:val="auto"/>
              </w:rPr>
            </w:pPr>
            <w:r>
              <w:rPr>
                <w:rFonts w:ascii="Verdana" w:cs="Verdana" w:eastAsia="Verdana" w:hAnsi="Verdana"/>
                <w:sz w:val="14"/>
                <w:szCs w:val="14"/>
                <w:color w:val="auto"/>
              </w:rPr>
              <w:t>Depletion, depreciation and amortization</w:t>
            </w:r>
          </w:p>
        </w:tc>
        <w:tc>
          <w:tcPr>
            <w:tcW w:w="1080" w:type="dxa"/>
            <w:vAlign w:val="bottom"/>
            <w:gridSpan w:val="2"/>
          </w:tcPr>
          <w:p>
            <w:pPr>
              <w:jc w:val="right"/>
              <w:ind w:right="62"/>
              <w:spacing w:after="0"/>
              <w:rPr>
                <w:sz w:val="20"/>
                <w:szCs w:val="20"/>
                <w:color w:val="auto"/>
              </w:rPr>
            </w:pPr>
            <w:r>
              <w:rPr>
                <w:rFonts w:ascii="Verdana" w:cs="Verdana" w:eastAsia="Verdana" w:hAnsi="Verdana"/>
                <w:sz w:val="16"/>
                <w:szCs w:val="16"/>
                <w:color w:val="214E93"/>
              </w:rPr>
              <w:t>1,195,358</w:t>
            </w:r>
          </w:p>
        </w:tc>
        <w:tc>
          <w:tcPr>
            <w:tcW w:w="180" w:type="dxa"/>
            <w:vAlign w:val="bottom"/>
          </w:tcPr>
          <w:p>
            <w:pPr>
              <w:spacing w:after="0"/>
              <w:rPr>
                <w:sz w:val="24"/>
                <w:szCs w:val="24"/>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auto"/>
              </w:rPr>
              <w:t>974,300</w:t>
            </w:r>
          </w:p>
        </w:tc>
        <w:tc>
          <w:tcPr>
            <w:tcW w:w="20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Verdana" w:cs="Verdana" w:eastAsia="Verdana" w:hAnsi="Verdana"/>
                <w:sz w:val="16"/>
                <w:szCs w:val="16"/>
                <w:color w:val="auto"/>
              </w:rPr>
              <w:t>716,688</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40" w:type="dxa"/>
            <w:vAlign w:val="bottom"/>
          </w:tcPr>
          <w:p>
            <w:pPr>
              <w:spacing w:after="0"/>
              <w:rPr>
                <w:sz w:val="24"/>
                <w:szCs w:val="24"/>
                <w:color w:val="auto"/>
              </w:rPr>
            </w:pPr>
          </w:p>
        </w:tc>
        <w:tc>
          <w:tcPr>
            <w:tcW w:w="6360" w:type="dxa"/>
            <w:vAlign w:val="bottom"/>
          </w:tcPr>
          <w:p>
            <w:pPr>
              <w:ind w:left="160"/>
              <w:spacing w:after="0"/>
              <w:rPr>
                <w:sz w:val="20"/>
                <w:szCs w:val="20"/>
                <w:color w:val="auto"/>
              </w:rPr>
            </w:pPr>
            <w:r>
              <w:rPr>
                <w:rFonts w:ascii="Verdana" w:cs="Verdana" w:eastAsia="Verdana" w:hAnsi="Verdana"/>
                <w:sz w:val="14"/>
                <w:szCs w:val="14"/>
                <w:color w:val="auto"/>
              </w:rPr>
              <w:t>Taxes other than income</w:t>
            </w:r>
          </w:p>
        </w:tc>
        <w:tc>
          <w:tcPr>
            <w:tcW w:w="180" w:type="dxa"/>
            <w:vAlign w:val="bottom"/>
          </w:tcPr>
          <w:p>
            <w:pPr>
              <w:spacing w:after="0"/>
              <w:rPr>
                <w:sz w:val="24"/>
                <w:szCs w:val="24"/>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214E93"/>
              </w:rPr>
              <w:t>275,629</w:t>
            </w:r>
          </w:p>
        </w:tc>
        <w:tc>
          <w:tcPr>
            <w:tcW w:w="180" w:type="dxa"/>
            <w:vAlign w:val="bottom"/>
          </w:tcPr>
          <w:p>
            <w:pPr>
              <w:spacing w:after="0"/>
              <w:rPr>
                <w:sz w:val="24"/>
                <w:szCs w:val="24"/>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auto"/>
              </w:rPr>
              <w:t>268,649</w:t>
            </w:r>
          </w:p>
        </w:tc>
        <w:tc>
          <w:tcPr>
            <w:tcW w:w="20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Verdana" w:cs="Verdana" w:eastAsia="Verdana" w:hAnsi="Verdana"/>
                <w:sz w:val="16"/>
                <w:szCs w:val="16"/>
                <w:color w:val="auto"/>
              </w:rPr>
              <w:t>220,604</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40" w:type="dxa"/>
            <w:vAlign w:val="bottom"/>
          </w:tcPr>
          <w:p>
            <w:pPr>
              <w:spacing w:after="0"/>
              <w:rPr>
                <w:sz w:val="24"/>
                <w:szCs w:val="24"/>
                <w:color w:val="auto"/>
              </w:rPr>
            </w:pPr>
          </w:p>
        </w:tc>
        <w:tc>
          <w:tcPr>
            <w:tcW w:w="6360" w:type="dxa"/>
            <w:vAlign w:val="bottom"/>
          </w:tcPr>
          <w:p>
            <w:pPr>
              <w:ind w:left="160"/>
              <w:spacing w:after="0"/>
              <w:rPr>
                <w:sz w:val="20"/>
                <w:szCs w:val="20"/>
                <w:color w:val="auto"/>
              </w:rPr>
            </w:pPr>
            <w:r>
              <w:rPr>
                <w:rFonts w:ascii="Verdana" w:cs="Verdana" w:eastAsia="Verdana" w:hAnsi="Verdana"/>
                <w:sz w:val="14"/>
                <w:szCs w:val="14"/>
                <w:color w:val="auto"/>
              </w:rPr>
              <w:t>Accretion of asset retirement obligations</w:t>
            </w:r>
          </w:p>
        </w:tc>
        <w:tc>
          <w:tcPr>
            <w:tcW w:w="180" w:type="dxa"/>
            <w:vAlign w:val="bottom"/>
          </w:tcPr>
          <w:p>
            <w:pPr>
              <w:spacing w:after="0"/>
              <w:rPr>
                <w:sz w:val="24"/>
                <w:szCs w:val="24"/>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214E93"/>
              </w:rPr>
              <w:t>7,846</w:t>
            </w:r>
          </w:p>
        </w:tc>
        <w:tc>
          <w:tcPr>
            <w:tcW w:w="180" w:type="dxa"/>
            <w:vAlign w:val="bottom"/>
          </w:tcPr>
          <w:p>
            <w:pPr>
              <w:spacing w:after="0"/>
              <w:rPr>
                <w:sz w:val="24"/>
                <w:szCs w:val="24"/>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auto"/>
              </w:rPr>
              <w:t>6,027</w:t>
            </w:r>
          </w:p>
        </w:tc>
        <w:tc>
          <w:tcPr>
            <w:tcW w:w="20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Verdana" w:cs="Verdana" w:eastAsia="Verdana" w:hAnsi="Verdana"/>
                <w:sz w:val="16"/>
                <w:szCs w:val="16"/>
                <w:color w:val="auto"/>
              </w:rPr>
              <w:t>3,943</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40" w:type="dxa"/>
            <w:vAlign w:val="bottom"/>
          </w:tcPr>
          <w:p>
            <w:pPr>
              <w:spacing w:after="0"/>
              <w:rPr>
                <w:sz w:val="24"/>
                <w:szCs w:val="24"/>
                <w:color w:val="auto"/>
              </w:rPr>
            </w:pPr>
          </w:p>
        </w:tc>
        <w:tc>
          <w:tcPr>
            <w:tcW w:w="6360" w:type="dxa"/>
            <w:vAlign w:val="bottom"/>
            <w:tcBorders>
              <w:bottom w:val="single" w:sz="8" w:color="auto"/>
            </w:tcBorders>
          </w:tcPr>
          <w:p>
            <w:pPr>
              <w:ind w:left="160"/>
              <w:spacing w:after="0"/>
              <w:rPr>
                <w:sz w:val="20"/>
                <w:szCs w:val="20"/>
                <w:color w:val="auto"/>
              </w:rPr>
            </w:pPr>
            <w:r>
              <w:rPr>
                <w:rFonts w:ascii="Verdana" w:cs="Verdana" w:eastAsia="Verdana" w:hAnsi="Verdana"/>
                <w:sz w:val="14"/>
                <w:szCs w:val="14"/>
                <w:color w:val="auto"/>
              </w:rPr>
              <w:t>General and administrative</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2"/>
              <w:spacing w:after="0"/>
              <w:rPr>
                <w:sz w:val="20"/>
                <w:szCs w:val="20"/>
                <w:color w:val="auto"/>
              </w:rPr>
            </w:pPr>
            <w:r>
              <w:rPr>
                <w:rFonts w:ascii="Verdana" w:cs="Verdana" w:eastAsia="Verdana" w:hAnsi="Verdana"/>
                <w:sz w:val="16"/>
                <w:szCs w:val="16"/>
                <w:color w:val="214E93"/>
              </w:rPr>
              <w:t>137,069</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2"/>
              <w:spacing w:after="0"/>
              <w:rPr>
                <w:sz w:val="20"/>
                <w:szCs w:val="20"/>
                <w:color w:val="auto"/>
              </w:rPr>
            </w:pPr>
            <w:r>
              <w:rPr>
                <w:rFonts w:ascii="Verdana" w:cs="Verdana" w:eastAsia="Verdana" w:hAnsi="Verdana"/>
                <w:sz w:val="16"/>
                <w:szCs w:val="16"/>
                <w:color w:val="auto"/>
              </w:rPr>
              <w:t>127,454</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auto"/>
              </w:rPr>
              <w:t>110,373</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40" w:type="dxa"/>
            <w:vAlign w:val="bottom"/>
          </w:tcPr>
          <w:p>
            <w:pPr>
              <w:spacing w:after="0"/>
              <w:rPr>
                <w:sz w:val="22"/>
                <w:szCs w:val="22"/>
                <w:color w:val="auto"/>
              </w:rPr>
            </w:pPr>
          </w:p>
        </w:tc>
        <w:tc>
          <w:tcPr>
            <w:tcW w:w="6360" w:type="dxa"/>
            <w:vAlign w:val="bottom"/>
            <w:tcBorders>
              <w:bottom w:val="single" w:sz="8" w:color="auto"/>
            </w:tcBorders>
          </w:tcPr>
          <w:p>
            <w:pPr>
              <w:ind w:left="280"/>
              <w:spacing w:after="0"/>
              <w:rPr>
                <w:sz w:val="20"/>
                <w:szCs w:val="20"/>
                <w:color w:val="auto"/>
              </w:rPr>
            </w:pPr>
            <w:r>
              <w:rPr>
                <w:rFonts w:ascii="Verdana" w:cs="Verdana" w:eastAsia="Verdana" w:hAnsi="Verdana"/>
                <w:sz w:val="14"/>
                <w:szCs w:val="14"/>
                <w:color w:val="auto"/>
              </w:rPr>
              <w:t>Total expenses</w:t>
            </w:r>
          </w:p>
        </w:tc>
        <w:tc>
          <w:tcPr>
            <w:tcW w:w="1080" w:type="dxa"/>
            <w:vAlign w:val="bottom"/>
            <w:tcBorders>
              <w:bottom w:val="single" w:sz="8" w:color="auto"/>
            </w:tcBorders>
            <w:gridSpan w:val="2"/>
          </w:tcPr>
          <w:p>
            <w:pPr>
              <w:jc w:val="right"/>
              <w:ind w:right="62"/>
              <w:spacing w:after="0"/>
              <w:rPr>
                <w:sz w:val="20"/>
                <w:szCs w:val="20"/>
                <w:color w:val="auto"/>
              </w:rPr>
            </w:pPr>
            <w:r>
              <w:rPr>
                <w:rFonts w:ascii="Verdana" w:cs="Verdana" w:eastAsia="Verdana" w:hAnsi="Verdana"/>
                <w:sz w:val="16"/>
                <w:szCs w:val="16"/>
                <w:color w:val="214E93"/>
              </w:rPr>
              <w:t>2,469,735</w:t>
            </w:r>
          </w:p>
        </w:tc>
        <w:tc>
          <w:tcPr>
            <w:tcW w:w="1080" w:type="dxa"/>
            <w:vAlign w:val="bottom"/>
            <w:tcBorders>
              <w:bottom w:val="single" w:sz="8" w:color="auto"/>
            </w:tcBorders>
            <w:gridSpan w:val="2"/>
          </w:tcPr>
          <w:p>
            <w:pPr>
              <w:jc w:val="right"/>
              <w:ind w:right="62"/>
              <w:spacing w:after="0"/>
              <w:rPr>
                <w:sz w:val="20"/>
                <w:szCs w:val="20"/>
                <w:color w:val="auto"/>
              </w:rPr>
            </w:pPr>
            <w:r>
              <w:rPr>
                <w:rFonts w:ascii="Verdana" w:cs="Verdana" w:eastAsia="Verdana" w:hAnsi="Verdana"/>
                <w:sz w:val="16"/>
                <w:szCs w:val="16"/>
                <w:color w:val="auto"/>
              </w:rPr>
              <w:t>2,070,283</w:t>
            </w:r>
          </w:p>
        </w:tc>
        <w:tc>
          <w:tcPr>
            <w:tcW w:w="1040" w:type="dxa"/>
            <w:vAlign w:val="bottom"/>
            <w:tcBorders>
              <w:bottom w:val="single" w:sz="8" w:color="auto"/>
            </w:tcBorders>
            <w:gridSpan w:val="2"/>
          </w:tcPr>
          <w:p>
            <w:pPr>
              <w:jc w:val="right"/>
              <w:ind w:right="2"/>
              <w:spacing w:after="0"/>
              <w:rPr>
                <w:sz w:val="20"/>
                <w:szCs w:val="20"/>
                <w:color w:val="auto"/>
              </w:rPr>
            </w:pPr>
            <w:r>
              <w:rPr>
                <w:rFonts w:ascii="Verdana" w:cs="Verdana" w:eastAsia="Verdana" w:hAnsi="Verdana"/>
                <w:sz w:val="16"/>
                <w:szCs w:val="16"/>
                <w:color w:val="auto"/>
              </w:rPr>
              <w:t>1,597,463</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40" w:type="dxa"/>
            <w:vAlign w:val="bottom"/>
          </w:tcPr>
          <w:p>
            <w:pPr>
              <w:spacing w:after="0"/>
              <w:rPr>
                <w:sz w:val="22"/>
                <w:szCs w:val="22"/>
                <w:color w:val="auto"/>
              </w:rPr>
            </w:pPr>
          </w:p>
        </w:tc>
        <w:tc>
          <w:tcPr>
            <w:tcW w:w="6360" w:type="dxa"/>
            <w:vAlign w:val="bottom"/>
          </w:tcPr>
          <w:p>
            <w:pPr>
              <w:ind w:left="40"/>
              <w:spacing w:after="0"/>
              <w:rPr>
                <w:sz w:val="20"/>
                <w:szCs w:val="20"/>
                <w:color w:val="auto"/>
              </w:rPr>
            </w:pPr>
            <w:r>
              <w:rPr>
                <w:rFonts w:ascii="Verdana" w:cs="Verdana" w:eastAsia="Verdana" w:hAnsi="Verdana"/>
                <w:sz w:val="14"/>
                <w:szCs w:val="14"/>
                <w:color w:val="auto"/>
              </w:rPr>
              <w:t>Operating income</w:t>
            </w:r>
          </w:p>
        </w:tc>
        <w:tc>
          <w:tcPr>
            <w:tcW w:w="1080" w:type="dxa"/>
            <w:vAlign w:val="bottom"/>
            <w:gridSpan w:val="2"/>
          </w:tcPr>
          <w:p>
            <w:pPr>
              <w:jc w:val="right"/>
              <w:ind w:right="62"/>
              <w:spacing w:after="0"/>
              <w:rPr>
                <w:sz w:val="20"/>
                <w:szCs w:val="20"/>
                <w:color w:val="auto"/>
              </w:rPr>
            </w:pPr>
            <w:r>
              <w:rPr>
                <w:rFonts w:ascii="Verdana" w:cs="Verdana" w:eastAsia="Verdana" w:hAnsi="Verdana"/>
                <w:sz w:val="16"/>
                <w:szCs w:val="16"/>
                <w:color w:val="214E93"/>
              </w:rPr>
              <w:t>1,226,542</w:t>
            </w:r>
          </w:p>
        </w:tc>
        <w:tc>
          <w:tcPr>
            <w:tcW w:w="1080" w:type="dxa"/>
            <w:vAlign w:val="bottom"/>
            <w:gridSpan w:val="2"/>
          </w:tcPr>
          <w:p>
            <w:pPr>
              <w:jc w:val="right"/>
              <w:ind w:right="62"/>
              <w:spacing w:after="0"/>
              <w:rPr>
                <w:sz w:val="20"/>
                <w:szCs w:val="20"/>
                <w:color w:val="auto"/>
              </w:rPr>
            </w:pPr>
            <w:r>
              <w:rPr>
                <w:rFonts w:ascii="Verdana" w:cs="Verdana" w:eastAsia="Verdana" w:hAnsi="Verdana"/>
                <w:sz w:val="16"/>
                <w:szCs w:val="16"/>
                <w:color w:val="auto"/>
              </w:rPr>
              <w:t>1,434,698</w:t>
            </w:r>
          </w:p>
        </w:tc>
        <w:tc>
          <w:tcPr>
            <w:tcW w:w="1040" w:type="dxa"/>
            <w:vAlign w:val="bottom"/>
            <w:gridSpan w:val="2"/>
          </w:tcPr>
          <w:p>
            <w:pPr>
              <w:jc w:val="right"/>
              <w:ind w:right="2"/>
              <w:spacing w:after="0"/>
              <w:rPr>
                <w:sz w:val="20"/>
                <w:szCs w:val="20"/>
                <w:color w:val="auto"/>
              </w:rPr>
            </w:pPr>
            <w:r>
              <w:rPr>
                <w:rFonts w:ascii="Verdana" w:cs="Verdana" w:eastAsia="Verdana" w:hAnsi="Verdana"/>
                <w:sz w:val="16"/>
                <w:szCs w:val="16"/>
                <w:color w:val="auto"/>
              </w:rPr>
              <w:t>1,209,322</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740" w:type="dxa"/>
            <w:vAlign w:val="bottom"/>
          </w:tcPr>
          <w:p>
            <w:pPr>
              <w:spacing w:after="0"/>
              <w:rPr>
                <w:sz w:val="18"/>
                <w:szCs w:val="18"/>
                <w:color w:val="auto"/>
              </w:rPr>
            </w:pPr>
          </w:p>
        </w:tc>
        <w:tc>
          <w:tcPr>
            <w:tcW w:w="6360" w:type="dxa"/>
            <w:vAlign w:val="bottom"/>
          </w:tcPr>
          <w:p>
            <w:pPr>
              <w:ind w:left="40"/>
              <w:spacing w:after="0"/>
              <w:rPr>
                <w:sz w:val="20"/>
                <w:szCs w:val="20"/>
                <w:color w:val="auto"/>
              </w:rPr>
            </w:pPr>
            <w:r>
              <w:rPr>
                <w:rFonts w:ascii="Verdana" w:cs="Verdana" w:eastAsia="Verdana" w:hAnsi="Verdana"/>
                <w:sz w:val="14"/>
                <w:szCs w:val="14"/>
                <w:color w:val="auto"/>
              </w:rPr>
              <w:t>Other income (expense)</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740" w:type="dxa"/>
            <w:vAlign w:val="bottom"/>
          </w:tcPr>
          <w:p>
            <w:pPr>
              <w:spacing w:after="0"/>
              <w:rPr>
                <w:sz w:val="24"/>
                <w:szCs w:val="24"/>
                <w:color w:val="auto"/>
              </w:rPr>
            </w:pPr>
          </w:p>
        </w:tc>
        <w:tc>
          <w:tcPr>
            <w:tcW w:w="6360" w:type="dxa"/>
            <w:vAlign w:val="bottom"/>
          </w:tcPr>
          <w:p>
            <w:pPr>
              <w:ind w:left="160"/>
              <w:spacing w:after="0"/>
              <w:rPr>
                <w:sz w:val="20"/>
                <w:szCs w:val="20"/>
                <w:color w:val="auto"/>
              </w:rPr>
            </w:pPr>
            <w:r>
              <w:rPr>
                <w:rFonts w:ascii="Verdana" w:cs="Verdana" w:eastAsia="Verdana" w:hAnsi="Verdana"/>
                <w:sz w:val="14"/>
                <w:szCs w:val="14"/>
                <w:color w:val="auto"/>
              </w:rPr>
              <w:t>Net loss on asset sales and impairment</w:t>
            </w:r>
          </w:p>
        </w:tc>
        <w:tc>
          <w:tcPr>
            <w:tcW w:w="18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Verdana" w:cs="Verdana" w:eastAsia="Verdana" w:hAnsi="Verdana"/>
                <w:sz w:val="16"/>
                <w:szCs w:val="16"/>
                <w:color w:val="214E93"/>
              </w:rPr>
              <w:t>(589)</w:t>
            </w:r>
          </w:p>
        </w:tc>
        <w:tc>
          <w:tcPr>
            <w:tcW w:w="180" w:type="dxa"/>
            <w:vAlign w:val="bottom"/>
          </w:tcPr>
          <w:p>
            <w:pPr>
              <w:spacing w:after="0"/>
              <w:rPr>
                <w:sz w:val="24"/>
                <w:szCs w:val="24"/>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auto"/>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Verdana" w:cs="Verdana" w:eastAsia="Verdana" w:hAnsi="Verdana"/>
                <w:sz w:val="16"/>
                <w:szCs w:val="16"/>
                <w:color w:val="auto"/>
              </w:rPr>
              <w:t>(202)</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40" w:type="dxa"/>
            <w:vAlign w:val="bottom"/>
          </w:tcPr>
          <w:p>
            <w:pPr>
              <w:spacing w:after="0"/>
              <w:rPr>
                <w:sz w:val="24"/>
                <w:szCs w:val="24"/>
                <w:color w:val="auto"/>
              </w:rPr>
            </w:pPr>
          </w:p>
        </w:tc>
        <w:tc>
          <w:tcPr>
            <w:tcW w:w="6360" w:type="dxa"/>
            <w:vAlign w:val="bottom"/>
          </w:tcPr>
          <w:p>
            <w:pPr>
              <w:ind w:left="160"/>
              <w:spacing w:after="0"/>
              <w:rPr>
                <w:sz w:val="20"/>
                <w:szCs w:val="20"/>
                <w:color w:val="auto"/>
              </w:rPr>
            </w:pPr>
            <w:r>
              <w:rPr>
                <w:rFonts w:ascii="Verdana" w:cs="Verdana" w:eastAsia="Verdana" w:hAnsi="Verdana"/>
                <w:sz w:val="14"/>
                <w:szCs w:val="14"/>
                <w:color w:val="auto"/>
              </w:rPr>
              <w:t>Interest expense</w:t>
            </w:r>
          </w:p>
        </w:tc>
        <w:tc>
          <w:tcPr>
            <w:tcW w:w="18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Verdana" w:cs="Verdana" w:eastAsia="Verdana" w:hAnsi="Verdana"/>
                <w:sz w:val="16"/>
                <w:szCs w:val="16"/>
                <w:color w:val="214E93"/>
                <w:w w:val="98"/>
              </w:rPr>
              <w:t>(208,520)</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Verdana" w:cs="Verdana" w:eastAsia="Verdana" w:hAnsi="Verdana"/>
                <w:sz w:val="16"/>
                <w:szCs w:val="16"/>
                <w:color w:val="auto"/>
              </w:rPr>
              <w:t>(171,687)</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Verdana" w:cs="Verdana" w:eastAsia="Verdana" w:hAnsi="Verdana"/>
                <w:sz w:val="16"/>
                <w:szCs w:val="16"/>
                <w:color w:val="auto"/>
                <w:w w:val="98"/>
              </w:rPr>
              <w:t>(121,520)</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40" w:type="dxa"/>
            <w:vAlign w:val="bottom"/>
          </w:tcPr>
          <w:p>
            <w:pPr>
              <w:spacing w:after="0"/>
              <w:rPr>
                <w:sz w:val="24"/>
                <w:szCs w:val="24"/>
                <w:color w:val="auto"/>
              </w:rPr>
            </w:pPr>
          </w:p>
        </w:tc>
        <w:tc>
          <w:tcPr>
            <w:tcW w:w="6360" w:type="dxa"/>
            <w:vAlign w:val="bottom"/>
            <w:tcBorders>
              <w:bottom w:val="single" w:sz="8" w:color="auto"/>
            </w:tcBorders>
          </w:tcPr>
          <w:p>
            <w:pPr>
              <w:ind w:left="160"/>
              <w:spacing w:after="0"/>
              <w:rPr>
                <w:sz w:val="20"/>
                <w:szCs w:val="20"/>
                <w:color w:val="auto"/>
              </w:rPr>
            </w:pPr>
            <w:r>
              <w:rPr>
                <w:rFonts w:ascii="Verdana" w:cs="Verdana" w:eastAsia="Verdana" w:hAnsi="Verdana"/>
                <w:sz w:val="14"/>
                <w:szCs w:val="14"/>
                <w:color w:val="auto"/>
              </w:rPr>
              <w:t>Other income</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2"/>
              <w:spacing w:after="0"/>
              <w:rPr>
                <w:sz w:val="20"/>
                <w:szCs w:val="20"/>
                <w:color w:val="auto"/>
              </w:rPr>
            </w:pPr>
            <w:r>
              <w:rPr>
                <w:rFonts w:ascii="Verdana" w:cs="Verdana" w:eastAsia="Verdana" w:hAnsi="Verdana"/>
                <w:sz w:val="16"/>
                <w:szCs w:val="16"/>
                <w:color w:val="214E93"/>
              </w:rPr>
              <w:t>16,011</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2"/>
              <w:spacing w:after="0"/>
              <w:rPr>
                <w:sz w:val="20"/>
                <w:szCs w:val="20"/>
                <w:color w:val="auto"/>
              </w:rPr>
            </w:pPr>
            <w:r>
              <w:rPr>
                <w:rFonts w:ascii="Verdana" w:cs="Verdana" w:eastAsia="Verdana" w:hAnsi="Verdana"/>
                <w:sz w:val="16"/>
                <w:szCs w:val="16"/>
                <w:color w:val="auto"/>
              </w:rPr>
              <w:t>696</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auto"/>
              </w:rPr>
              <w:t>8,785</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40" w:type="dxa"/>
            <w:vAlign w:val="bottom"/>
          </w:tcPr>
          <w:p>
            <w:pPr>
              <w:spacing w:after="0"/>
              <w:rPr>
                <w:sz w:val="22"/>
                <w:szCs w:val="22"/>
                <w:color w:val="auto"/>
              </w:rPr>
            </w:pPr>
          </w:p>
        </w:tc>
        <w:tc>
          <w:tcPr>
            <w:tcW w:w="6360" w:type="dxa"/>
            <w:vAlign w:val="bottom"/>
            <w:tcBorders>
              <w:bottom w:val="single" w:sz="8" w:color="auto"/>
            </w:tcBorders>
          </w:tcPr>
          <w:p>
            <w:pPr>
              <w:ind w:left="280"/>
              <w:spacing w:after="0"/>
              <w:rPr>
                <w:sz w:val="20"/>
                <w:szCs w:val="20"/>
                <w:color w:val="auto"/>
              </w:rPr>
            </w:pPr>
            <w:r>
              <w:rPr>
                <w:rFonts w:ascii="Verdana" w:cs="Verdana" w:eastAsia="Verdana" w:hAnsi="Verdana"/>
                <w:sz w:val="14"/>
                <w:szCs w:val="14"/>
                <w:color w:val="auto"/>
              </w:rPr>
              <w:t>Total other expense</w:t>
            </w: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214E93"/>
                <w:w w:val="98"/>
              </w:rPr>
              <w:t>(193,098)</w:t>
            </w: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(170,991)</w:t>
            </w: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w w:val="98"/>
              </w:rPr>
              <w:t>(112,937)</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40" w:type="dxa"/>
            <w:vAlign w:val="bottom"/>
          </w:tcPr>
          <w:p>
            <w:pPr>
              <w:spacing w:after="0"/>
              <w:rPr>
                <w:sz w:val="22"/>
                <w:szCs w:val="22"/>
                <w:color w:val="auto"/>
              </w:rPr>
            </w:pPr>
          </w:p>
        </w:tc>
        <w:tc>
          <w:tcPr>
            <w:tcW w:w="6360" w:type="dxa"/>
            <w:vAlign w:val="bottom"/>
          </w:tcPr>
          <w:p>
            <w:pPr>
              <w:ind w:left="400"/>
              <w:spacing w:after="0"/>
              <w:rPr>
                <w:sz w:val="20"/>
                <w:szCs w:val="20"/>
                <w:color w:val="auto"/>
              </w:rPr>
            </w:pPr>
            <w:r>
              <w:rPr>
                <w:rFonts w:ascii="Verdana" w:cs="Verdana" w:eastAsia="Verdana" w:hAnsi="Verdana"/>
                <w:sz w:val="14"/>
                <w:szCs w:val="14"/>
                <w:color w:val="auto"/>
              </w:rPr>
              <w:t>Income before income taxes</w:t>
            </w:r>
          </w:p>
        </w:tc>
        <w:tc>
          <w:tcPr>
            <w:tcW w:w="1080" w:type="dxa"/>
            <w:vAlign w:val="bottom"/>
            <w:gridSpan w:val="2"/>
          </w:tcPr>
          <w:p>
            <w:pPr>
              <w:jc w:val="right"/>
              <w:ind w:right="62"/>
              <w:spacing w:after="0"/>
              <w:rPr>
                <w:sz w:val="20"/>
                <w:szCs w:val="20"/>
                <w:color w:val="auto"/>
              </w:rPr>
            </w:pPr>
            <w:r>
              <w:rPr>
                <w:rFonts w:ascii="Verdana" w:cs="Verdana" w:eastAsia="Verdana" w:hAnsi="Verdana"/>
                <w:sz w:val="16"/>
                <w:szCs w:val="16"/>
                <w:color w:val="214E93"/>
              </w:rPr>
              <w:t>1,033,444</w:t>
            </w:r>
          </w:p>
        </w:tc>
        <w:tc>
          <w:tcPr>
            <w:tcW w:w="1080" w:type="dxa"/>
            <w:vAlign w:val="bottom"/>
            <w:gridSpan w:val="2"/>
          </w:tcPr>
          <w:p>
            <w:pPr>
              <w:jc w:val="right"/>
              <w:ind w:right="62"/>
              <w:spacing w:after="0"/>
              <w:rPr>
                <w:sz w:val="20"/>
                <w:szCs w:val="20"/>
                <w:color w:val="auto"/>
              </w:rPr>
            </w:pPr>
            <w:r>
              <w:rPr>
                <w:rFonts w:ascii="Verdana" w:cs="Verdana" w:eastAsia="Verdana" w:hAnsi="Verdana"/>
                <w:sz w:val="16"/>
                <w:szCs w:val="16"/>
                <w:color w:val="auto"/>
              </w:rPr>
              <w:t>1,263,707</w:t>
            </w:r>
          </w:p>
        </w:tc>
        <w:tc>
          <w:tcPr>
            <w:tcW w:w="1040" w:type="dxa"/>
            <w:vAlign w:val="bottom"/>
            <w:gridSpan w:val="2"/>
          </w:tcPr>
          <w:p>
            <w:pPr>
              <w:jc w:val="right"/>
              <w:ind w:right="2"/>
              <w:spacing w:after="0"/>
              <w:rPr>
                <w:sz w:val="20"/>
                <w:szCs w:val="20"/>
                <w:color w:val="auto"/>
              </w:rPr>
            </w:pPr>
            <w:r>
              <w:rPr>
                <w:rFonts w:ascii="Verdana" w:cs="Verdana" w:eastAsia="Verdana" w:hAnsi="Verdana"/>
                <w:sz w:val="16"/>
                <w:szCs w:val="16"/>
                <w:color w:val="auto"/>
              </w:rPr>
              <w:t>1,096,385</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740" w:type="dxa"/>
            <w:vAlign w:val="bottom"/>
          </w:tcPr>
          <w:p>
            <w:pPr>
              <w:spacing w:after="0"/>
              <w:rPr>
                <w:sz w:val="18"/>
                <w:szCs w:val="18"/>
                <w:color w:val="auto"/>
              </w:rPr>
            </w:pPr>
          </w:p>
        </w:tc>
        <w:tc>
          <w:tcPr>
            <w:tcW w:w="6360" w:type="dxa"/>
            <w:vAlign w:val="bottom"/>
          </w:tcPr>
          <w:p>
            <w:pPr>
              <w:ind w:left="40"/>
              <w:spacing w:after="0"/>
              <w:rPr>
                <w:sz w:val="20"/>
                <w:szCs w:val="20"/>
                <w:color w:val="auto"/>
              </w:rPr>
            </w:pPr>
            <w:r>
              <w:rPr>
                <w:rFonts w:ascii="Verdana" w:cs="Verdana" w:eastAsia="Verdana" w:hAnsi="Verdana"/>
                <w:sz w:val="14"/>
                <w:szCs w:val="14"/>
                <w:color w:val="auto"/>
              </w:rPr>
              <w:t>Income tax provision (benefit)</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740" w:type="dxa"/>
            <w:vAlign w:val="bottom"/>
          </w:tcPr>
          <w:p>
            <w:pPr>
              <w:spacing w:after="0"/>
              <w:rPr>
                <w:sz w:val="24"/>
                <w:szCs w:val="24"/>
                <w:color w:val="auto"/>
              </w:rPr>
            </w:pPr>
          </w:p>
        </w:tc>
        <w:tc>
          <w:tcPr>
            <w:tcW w:w="6360" w:type="dxa"/>
            <w:vAlign w:val="bottom"/>
          </w:tcPr>
          <w:p>
            <w:pPr>
              <w:ind w:left="160"/>
              <w:spacing w:after="0"/>
              <w:rPr>
                <w:sz w:val="20"/>
                <w:szCs w:val="20"/>
                <w:color w:val="auto"/>
              </w:rPr>
            </w:pPr>
            <w:r>
              <w:rPr>
                <w:rFonts w:ascii="Verdana" w:cs="Verdana" w:eastAsia="Verdana" w:hAnsi="Verdana"/>
                <w:sz w:val="14"/>
                <w:szCs w:val="14"/>
                <w:color w:val="auto"/>
              </w:rPr>
              <w:t>Current</w:t>
            </w:r>
          </w:p>
        </w:tc>
        <w:tc>
          <w:tcPr>
            <w:tcW w:w="180" w:type="dxa"/>
            <w:vAlign w:val="bottom"/>
          </w:tcPr>
          <w:p>
            <w:pPr>
              <w:spacing w:after="0"/>
              <w:rPr>
                <w:sz w:val="24"/>
                <w:szCs w:val="24"/>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214E93"/>
              </w:rPr>
              <w:t>7,088</w:t>
            </w:r>
          </w:p>
        </w:tc>
        <w:tc>
          <w:tcPr>
            <w:tcW w:w="180" w:type="dxa"/>
            <w:vAlign w:val="bottom"/>
          </w:tcPr>
          <w:p>
            <w:pPr>
              <w:spacing w:after="0"/>
              <w:rPr>
                <w:sz w:val="24"/>
                <w:szCs w:val="24"/>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auto"/>
              </w:rPr>
              <w:t>27,059</w:t>
            </w:r>
          </w:p>
        </w:tc>
        <w:tc>
          <w:tcPr>
            <w:tcW w:w="20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Verdana" w:cs="Verdana" w:eastAsia="Verdana" w:hAnsi="Verdana"/>
                <w:sz w:val="16"/>
                <w:szCs w:val="16"/>
                <w:color w:val="auto"/>
              </w:rPr>
              <w:t>13,922</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40" w:type="dxa"/>
            <w:vAlign w:val="bottom"/>
          </w:tcPr>
          <w:p>
            <w:pPr>
              <w:spacing w:after="0"/>
              <w:rPr>
                <w:sz w:val="24"/>
                <w:szCs w:val="24"/>
                <w:color w:val="auto"/>
              </w:rPr>
            </w:pPr>
          </w:p>
        </w:tc>
        <w:tc>
          <w:tcPr>
            <w:tcW w:w="6360" w:type="dxa"/>
            <w:vAlign w:val="bottom"/>
            <w:tcBorders>
              <w:bottom w:val="single" w:sz="8" w:color="auto"/>
            </w:tcBorders>
          </w:tcPr>
          <w:p>
            <w:pPr>
              <w:ind w:left="160"/>
              <w:spacing w:after="0"/>
              <w:rPr>
                <w:sz w:val="20"/>
                <w:szCs w:val="20"/>
                <w:color w:val="auto"/>
              </w:rPr>
            </w:pPr>
            <w:r>
              <w:rPr>
                <w:rFonts w:ascii="Verdana" w:cs="Verdana" w:eastAsia="Verdana" w:hAnsi="Verdana"/>
                <w:sz w:val="14"/>
                <w:szCs w:val="14"/>
                <w:color w:val="auto"/>
              </w:rPr>
              <w:t>Deferred</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2"/>
              <w:spacing w:after="0"/>
              <w:rPr>
                <w:sz w:val="20"/>
                <w:szCs w:val="20"/>
                <w:color w:val="auto"/>
              </w:rPr>
            </w:pPr>
            <w:r>
              <w:rPr>
                <w:rFonts w:ascii="Verdana" w:cs="Verdana" w:eastAsia="Verdana" w:hAnsi="Verdana"/>
                <w:sz w:val="16"/>
                <w:szCs w:val="16"/>
                <w:color w:val="214E93"/>
              </w:rPr>
              <w:t>165,587</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2"/>
              <w:spacing w:after="0"/>
              <w:rPr>
                <w:sz w:val="20"/>
                <w:szCs w:val="20"/>
                <w:color w:val="auto"/>
              </w:rPr>
            </w:pPr>
            <w:r>
              <w:rPr>
                <w:rFonts w:ascii="Verdana" w:cs="Verdana" w:eastAsia="Verdana" w:hAnsi="Verdana"/>
                <w:sz w:val="16"/>
                <w:szCs w:val="16"/>
                <w:color w:val="auto"/>
              </w:rPr>
              <w:t>265,305</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auto"/>
              </w:rPr>
              <w:t>172,104</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40" w:type="dxa"/>
            <w:vAlign w:val="bottom"/>
          </w:tcPr>
          <w:p>
            <w:pPr>
              <w:spacing w:after="0"/>
              <w:rPr>
                <w:sz w:val="22"/>
                <w:szCs w:val="22"/>
                <w:color w:val="auto"/>
              </w:rPr>
            </w:pPr>
          </w:p>
        </w:tc>
        <w:tc>
          <w:tcPr>
            <w:tcW w:w="6360" w:type="dxa"/>
            <w:vAlign w:val="bottom"/>
            <w:tcBorders>
              <w:bottom w:val="single" w:sz="8" w:color="auto"/>
            </w:tcBorders>
          </w:tcPr>
          <w:p>
            <w:pPr>
              <w:ind w:left="280"/>
              <w:spacing w:after="0"/>
              <w:rPr>
                <w:sz w:val="20"/>
                <w:szCs w:val="20"/>
                <w:color w:val="auto"/>
              </w:rPr>
            </w:pPr>
            <w:r>
              <w:rPr>
                <w:rFonts w:ascii="Verdana" w:cs="Verdana" w:eastAsia="Verdana" w:hAnsi="Verdana"/>
                <w:sz w:val="14"/>
                <w:szCs w:val="14"/>
                <w:color w:val="auto"/>
              </w:rPr>
              <w:t>Total income tax provision</w:t>
            </w: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2"/>
              <w:spacing w:after="0"/>
              <w:rPr>
                <w:sz w:val="20"/>
                <w:szCs w:val="20"/>
                <w:color w:val="auto"/>
              </w:rPr>
            </w:pPr>
            <w:r>
              <w:rPr>
                <w:rFonts w:ascii="Verdana" w:cs="Verdana" w:eastAsia="Verdana" w:hAnsi="Verdana"/>
                <w:sz w:val="16"/>
                <w:szCs w:val="16"/>
                <w:color w:val="214E93"/>
              </w:rPr>
              <w:t>172,675</w:t>
            </w: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2"/>
              <w:spacing w:after="0"/>
              <w:rPr>
                <w:sz w:val="20"/>
                <w:szCs w:val="20"/>
                <w:color w:val="auto"/>
              </w:rPr>
            </w:pPr>
            <w:r>
              <w:rPr>
                <w:rFonts w:ascii="Verdana" w:cs="Verdana" w:eastAsia="Verdana" w:hAnsi="Verdana"/>
                <w:sz w:val="16"/>
                <w:szCs w:val="16"/>
                <w:color w:val="auto"/>
              </w:rPr>
              <w:t>292,364</w:t>
            </w: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auto"/>
              </w:rPr>
              <w:t>186,026</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40" w:type="dxa"/>
            <w:vAlign w:val="bottom"/>
          </w:tcPr>
          <w:p>
            <w:pPr>
              <w:spacing w:after="0"/>
              <w:rPr>
                <w:sz w:val="22"/>
                <w:szCs w:val="22"/>
                <w:color w:val="auto"/>
              </w:rPr>
            </w:pPr>
          </w:p>
        </w:tc>
        <w:tc>
          <w:tcPr>
            <w:tcW w:w="6360" w:type="dxa"/>
            <w:vAlign w:val="bottom"/>
          </w:tcPr>
          <w:p>
            <w:pPr>
              <w:ind w:left="400"/>
              <w:spacing w:after="0"/>
              <w:rPr>
                <w:sz w:val="20"/>
                <w:szCs w:val="20"/>
                <w:color w:val="auto"/>
              </w:rPr>
            </w:pPr>
            <w:r>
              <w:rPr>
                <w:rFonts w:ascii="Verdana" w:cs="Verdana" w:eastAsia="Verdana" w:hAnsi="Verdana"/>
                <w:sz w:val="14"/>
                <w:szCs w:val="14"/>
                <w:color w:val="auto"/>
              </w:rPr>
              <w:t>Net income</w:t>
            </w:r>
          </w:p>
        </w:tc>
        <w:tc>
          <w:tcPr>
            <w:tcW w:w="180" w:type="dxa"/>
            <w:vAlign w:val="bottom"/>
          </w:tcPr>
          <w:p>
            <w:pPr>
              <w:spacing w:after="0"/>
              <w:rPr>
                <w:sz w:val="22"/>
                <w:szCs w:val="22"/>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214E93"/>
              </w:rPr>
              <w:t>860,769</w:t>
            </w:r>
          </w:p>
        </w:tc>
        <w:tc>
          <w:tcPr>
            <w:tcW w:w="180" w:type="dxa"/>
            <w:vAlign w:val="bottom"/>
          </w:tcPr>
          <w:p>
            <w:pPr>
              <w:spacing w:after="0"/>
              <w:rPr>
                <w:sz w:val="22"/>
                <w:szCs w:val="22"/>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auto"/>
              </w:rPr>
              <w:t>971,343</w:t>
            </w:r>
          </w:p>
        </w:tc>
        <w:tc>
          <w:tcPr>
            <w:tcW w:w="200" w:type="dxa"/>
            <w:vAlign w:val="bottom"/>
          </w:tcPr>
          <w:p>
            <w:pPr>
              <w:spacing w:after="0"/>
              <w:rPr>
                <w:sz w:val="22"/>
                <w:szCs w:val="22"/>
                <w:color w:val="auto"/>
              </w:rPr>
            </w:pPr>
          </w:p>
        </w:tc>
        <w:tc>
          <w:tcPr>
            <w:tcW w:w="840" w:type="dxa"/>
            <w:vAlign w:val="bottom"/>
          </w:tcPr>
          <w:p>
            <w:pPr>
              <w:jc w:val="right"/>
              <w:ind w:right="2"/>
              <w:spacing w:after="0"/>
              <w:rPr>
                <w:sz w:val="20"/>
                <w:szCs w:val="20"/>
                <w:color w:val="auto"/>
              </w:rPr>
            </w:pPr>
            <w:r>
              <w:rPr>
                <w:rFonts w:ascii="Verdana" w:cs="Verdana" w:eastAsia="Verdana" w:hAnsi="Verdana"/>
                <w:sz w:val="16"/>
                <w:szCs w:val="16"/>
                <w:color w:val="auto"/>
              </w:rPr>
              <w:t>910,359</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740" w:type="dxa"/>
            <w:vAlign w:val="bottom"/>
          </w:tcPr>
          <w:p>
            <w:pPr>
              <w:spacing w:after="0"/>
              <w:rPr>
                <w:sz w:val="24"/>
                <w:szCs w:val="24"/>
                <w:color w:val="auto"/>
              </w:rPr>
            </w:pPr>
          </w:p>
        </w:tc>
        <w:tc>
          <w:tcPr>
            <w:tcW w:w="6360" w:type="dxa"/>
            <w:vAlign w:val="bottom"/>
            <w:tcBorders>
              <w:bottom w:val="single" w:sz="8" w:color="auto"/>
            </w:tcBorders>
          </w:tcPr>
          <w:p>
            <w:pPr>
              <w:ind w:left="40"/>
              <w:spacing w:after="0"/>
              <w:rPr>
                <w:sz w:val="20"/>
                <w:szCs w:val="20"/>
                <w:color w:val="auto"/>
              </w:rPr>
            </w:pPr>
            <w:r>
              <w:rPr>
                <w:rFonts w:ascii="Verdana" w:cs="Verdana" w:eastAsia="Verdana" w:hAnsi="Verdana"/>
                <w:sz w:val="14"/>
                <w:szCs w:val="14"/>
                <w:color w:val="auto"/>
              </w:rPr>
              <w:t>Net income attributable to non-controlling interest in subsidiaries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214E93"/>
                <w:w w:val="98"/>
              </w:rPr>
              <w:t>(101,548)</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(86,021)</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(64,285)</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40" w:type="dxa"/>
            <w:vAlign w:val="bottom"/>
          </w:tcPr>
          <w:p>
            <w:pPr>
              <w:spacing w:after="0"/>
              <w:rPr>
                <w:sz w:val="17"/>
                <w:szCs w:val="17"/>
                <w:color w:val="auto"/>
              </w:rPr>
            </w:pPr>
          </w:p>
        </w:tc>
        <w:tc>
          <w:tcPr>
            <w:tcW w:w="6360" w:type="dxa"/>
            <w:vAlign w:val="bottom"/>
            <w:tcBorders>
              <w:bottom w:val="single" w:sz="8" w:color="214E93"/>
            </w:tcBorders>
          </w:tcPr>
          <w:p>
            <w:pPr>
              <w:ind w:left="40"/>
              <w:spacing w:after="0"/>
              <w:rPr>
                <w:sz w:val="20"/>
                <w:szCs w:val="20"/>
                <w:color w:val="auto"/>
              </w:rPr>
            </w:pPr>
            <w:r>
              <w:rPr>
                <w:rFonts w:ascii="Verdana" w:cs="Verdana" w:eastAsia="Verdana" w:hAnsi="Verdana"/>
                <w:sz w:val="14"/>
                <w:szCs w:val="14"/>
                <w:color w:val="auto"/>
              </w:rPr>
              <w:t>Net income attributable to Matador Resources Company shareholders</w:t>
            </w:r>
          </w:p>
        </w:tc>
        <w:tc>
          <w:tcPr>
            <w:tcW w:w="180" w:type="dxa"/>
            <w:vAlign w:val="bottom"/>
            <w:tcBorders>
              <w:bottom w:val="single" w:sz="8" w:color="214E93"/>
            </w:tcBorders>
          </w:tcPr>
          <w:p>
            <w:pPr>
              <w:ind w:left="60"/>
              <w:spacing w:after="0"/>
              <w:rPr>
                <w:sz w:val="20"/>
                <w:szCs w:val="20"/>
                <w:color w:val="auto"/>
              </w:rPr>
            </w:pPr>
            <w:r>
              <w:rPr>
                <w:rFonts w:ascii="Verdana" w:cs="Verdana" w:eastAsia="Verdana" w:hAnsi="Verdana"/>
                <w:sz w:val="16"/>
                <w:szCs w:val="16"/>
                <w:color w:val="214E93"/>
                <w:w w:val="97"/>
              </w:rPr>
              <w:t>$</w:t>
            </w:r>
          </w:p>
        </w:tc>
        <w:tc>
          <w:tcPr>
            <w:tcW w:w="900" w:type="dxa"/>
            <w:vAlign w:val="bottom"/>
            <w:tcBorders>
              <w:bottom w:val="single" w:sz="8" w:color="214E93"/>
            </w:tcBorders>
          </w:tcPr>
          <w:p>
            <w:pPr>
              <w:jc w:val="right"/>
              <w:ind w:right="62"/>
              <w:spacing w:after="0"/>
              <w:rPr>
                <w:sz w:val="20"/>
                <w:szCs w:val="20"/>
                <w:color w:val="auto"/>
              </w:rPr>
            </w:pPr>
            <w:r>
              <w:rPr>
                <w:rFonts w:ascii="Verdana" w:cs="Verdana" w:eastAsia="Verdana" w:hAnsi="Verdana"/>
                <w:sz w:val="16"/>
                <w:szCs w:val="16"/>
                <w:color w:val="214E93"/>
              </w:rPr>
              <w:t>759,221</w:t>
            </w:r>
          </w:p>
        </w:tc>
        <w:tc>
          <w:tcPr>
            <w:tcW w:w="180" w:type="dxa"/>
            <w:vAlign w:val="bottom"/>
            <w:tcBorders>
              <w:bottom w:val="single" w:sz="8" w:color="214E93"/>
            </w:tcBorders>
          </w:tcPr>
          <w:p>
            <w:pPr>
              <w:ind w:left="60"/>
              <w:spacing w:after="0"/>
              <w:rPr>
                <w:sz w:val="20"/>
                <w:szCs w:val="20"/>
                <w:color w:val="auto"/>
              </w:rPr>
            </w:pPr>
            <w:r>
              <w:rPr>
                <w:rFonts w:ascii="Verdana" w:cs="Verdana" w:eastAsia="Verdana" w:hAnsi="Verdana"/>
                <w:sz w:val="16"/>
                <w:szCs w:val="16"/>
                <w:color w:val="auto"/>
                <w:w w:val="97"/>
              </w:rPr>
              <w:t>$</w:t>
            </w:r>
          </w:p>
        </w:tc>
        <w:tc>
          <w:tcPr>
            <w:tcW w:w="900" w:type="dxa"/>
            <w:vAlign w:val="bottom"/>
            <w:tcBorders>
              <w:bottom w:val="single" w:sz="8" w:color="214E93"/>
            </w:tcBorders>
          </w:tcPr>
          <w:p>
            <w:pPr>
              <w:jc w:val="right"/>
              <w:ind w:right="62"/>
              <w:spacing w:after="0"/>
              <w:rPr>
                <w:sz w:val="20"/>
                <w:szCs w:val="20"/>
                <w:color w:val="auto"/>
              </w:rPr>
            </w:pPr>
            <w:r>
              <w:rPr>
                <w:rFonts w:ascii="Verdana" w:cs="Verdana" w:eastAsia="Verdana" w:hAnsi="Verdana"/>
                <w:sz w:val="16"/>
                <w:szCs w:val="16"/>
                <w:color w:val="auto"/>
              </w:rPr>
              <w:t>885,322</w:t>
            </w:r>
          </w:p>
        </w:tc>
        <w:tc>
          <w:tcPr>
            <w:tcW w:w="200" w:type="dxa"/>
            <w:vAlign w:val="bottom"/>
            <w:tcBorders>
              <w:bottom w:val="single" w:sz="8" w:color="214E93"/>
            </w:tcBorders>
          </w:tcPr>
          <w:p>
            <w:pPr>
              <w:ind w:left="80"/>
              <w:spacing w:after="0"/>
              <w:rPr>
                <w:sz w:val="20"/>
                <w:szCs w:val="20"/>
                <w:color w:val="auto"/>
              </w:rPr>
            </w:pPr>
            <w:r>
              <w:rPr>
                <w:rFonts w:ascii="Verdana" w:cs="Verdana" w:eastAsia="Verdana" w:hAnsi="Verdana"/>
                <w:sz w:val="16"/>
                <w:szCs w:val="16"/>
                <w:color w:val="auto"/>
                <w:w w:val="97"/>
              </w:rPr>
              <w:t>$</w:t>
            </w:r>
          </w:p>
        </w:tc>
        <w:tc>
          <w:tcPr>
            <w:tcW w:w="840" w:type="dxa"/>
            <w:vAlign w:val="bottom"/>
            <w:tcBorders>
              <w:bottom w:val="single" w:sz="8" w:color="214E93"/>
            </w:tcBorders>
          </w:tcPr>
          <w:p>
            <w:pPr>
              <w:jc w:val="right"/>
              <w:ind w:right="2"/>
              <w:spacing w:after="0"/>
              <w:rPr>
                <w:sz w:val="20"/>
                <w:szCs w:val="20"/>
                <w:color w:val="auto"/>
              </w:rPr>
            </w:pPr>
            <w:r>
              <w:rPr>
                <w:rFonts w:ascii="Verdana" w:cs="Verdana" w:eastAsia="Verdana" w:hAnsi="Verdana"/>
                <w:sz w:val="16"/>
                <w:szCs w:val="16"/>
                <w:color w:val="auto"/>
              </w:rPr>
              <w:t>846,074</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740" w:type="dxa"/>
            <w:vAlign w:val="bottom"/>
          </w:tcPr>
          <w:p>
            <w:pPr>
              <w:spacing w:after="0"/>
              <w:rPr>
                <w:sz w:val="16"/>
                <w:szCs w:val="16"/>
                <w:color w:val="auto"/>
              </w:rPr>
            </w:pPr>
          </w:p>
        </w:tc>
        <w:tc>
          <w:tcPr>
            <w:tcW w:w="6360" w:type="dxa"/>
            <w:vAlign w:val="bottom"/>
          </w:tcPr>
          <w:p>
            <w:pPr>
              <w:ind w:left="40"/>
              <w:spacing w:after="0"/>
              <w:rPr>
                <w:sz w:val="20"/>
                <w:szCs w:val="20"/>
                <w:color w:val="auto"/>
              </w:rPr>
            </w:pPr>
            <w:r>
              <w:rPr>
                <w:rFonts w:ascii="Verdana" w:cs="Verdana" w:eastAsia="Verdana" w:hAnsi="Verdana"/>
                <w:sz w:val="14"/>
                <w:szCs w:val="14"/>
                <w:color w:val="auto"/>
              </w:rPr>
              <w:t>Earnings per common share</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740" w:type="dxa"/>
            <w:vAlign w:val="bottom"/>
          </w:tcPr>
          <w:p>
            <w:pPr>
              <w:spacing w:after="0"/>
              <w:rPr>
                <w:sz w:val="24"/>
                <w:szCs w:val="24"/>
                <w:color w:val="auto"/>
              </w:rPr>
            </w:pPr>
          </w:p>
        </w:tc>
        <w:tc>
          <w:tcPr>
            <w:tcW w:w="6360" w:type="dxa"/>
            <w:vAlign w:val="bottom"/>
            <w:tcBorders>
              <w:bottom w:val="single" w:sz="8" w:color="214E93"/>
            </w:tcBorders>
          </w:tcPr>
          <w:p>
            <w:pPr>
              <w:ind w:left="160"/>
              <w:spacing w:after="0"/>
              <w:rPr>
                <w:sz w:val="20"/>
                <w:szCs w:val="20"/>
                <w:color w:val="auto"/>
              </w:rPr>
            </w:pPr>
            <w:r>
              <w:rPr>
                <w:rFonts w:ascii="Verdana" w:cs="Verdana" w:eastAsia="Verdana" w:hAnsi="Verdana"/>
                <w:sz w:val="14"/>
                <w:szCs w:val="14"/>
                <w:color w:val="auto"/>
              </w:rPr>
              <w:t>Basic</w:t>
            </w:r>
          </w:p>
        </w:tc>
        <w:tc>
          <w:tcPr>
            <w:tcW w:w="180" w:type="dxa"/>
            <w:vAlign w:val="bottom"/>
            <w:tcBorders>
              <w:bottom w:val="single" w:sz="8" w:color="214E93"/>
            </w:tcBorders>
          </w:tcPr>
          <w:p>
            <w:pPr>
              <w:ind w:left="60"/>
              <w:spacing w:after="0"/>
              <w:rPr>
                <w:sz w:val="20"/>
                <w:szCs w:val="20"/>
                <w:color w:val="auto"/>
              </w:rPr>
            </w:pPr>
            <w:r>
              <w:rPr>
                <w:rFonts w:ascii="Verdana" w:cs="Verdana" w:eastAsia="Verdana" w:hAnsi="Verdana"/>
                <w:sz w:val="16"/>
                <w:szCs w:val="16"/>
                <w:color w:val="214E93"/>
                <w:w w:val="97"/>
              </w:rPr>
              <w:t>$</w:t>
            </w:r>
          </w:p>
        </w:tc>
        <w:tc>
          <w:tcPr>
            <w:tcW w:w="900" w:type="dxa"/>
            <w:vAlign w:val="bottom"/>
            <w:tcBorders>
              <w:bottom w:val="single" w:sz="8" w:color="214E93"/>
            </w:tcBorders>
          </w:tcPr>
          <w:p>
            <w:pPr>
              <w:jc w:val="right"/>
              <w:ind w:right="62"/>
              <w:spacing w:after="0"/>
              <w:rPr>
                <w:sz w:val="20"/>
                <w:szCs w:val="20"/>
                <w:color w:val="auto"/>
              </w:rPr>
            </w:pPr>
            <w:r>
              <w:rPr>
                <w:rFonts w:ascii="Verdana" w:cs="Verdana" w:eastAsia="Verdana" w:hAnsi="Verdana"/>
                <w:sz w:val="16"/>
                <w:szCs w:val="16"/>
                <w:color w:val="214E93"/>
              </w:rPr>
              <w:t>6.10</w:t>
            </w:r>
          </w:p>
        </w:tc>
        <w:tc>
          <w:tcPr>
            <w:tcW w:w="180" w:type="dxa"/>
            <w:vAlign w:val="bottom"/>
            <w:tcBorders>
              <w:bottom w:val="single" w:sz="8" w:color="214E93"/>
            </w:tcBorders>
          </w:tcPr>
          <w:p>
            <w:pPr>
              <w:ind w:left="60"/>
              <w:spacing w:after="0"/>
              <w:rPr>
                <w:sz w:val="20"/>
                <w:szCs w:val="20"/>
                <w:color w:val="auto"/>
              </w:rPr>
            </w:pPr>
            <w:r>
              <w:rPr>
                <w:rFonts w:ascii="Verdana" w:cs="Verdana" w:eastAsia="Verdana" w:hAnsi="Verdana"/>
                <w:sz w:val="16"/>
                <w:szCs w:val="16"/>
                <w:color w:val="auto"/>
                <w:w w:val="97"/>
              </w:rPr>
              <w:t>$</w:t>
            </w:r>
          </w:p>
        </w:tc>
        <w:tc>
          <w:tcPr>
            <w:tcW w:w="900" w:type="dxa"/>
            <w:vAlign w:val="bottom"/>
            <w:tcBorders>
              <w:bottom w:val="single" w:sz="8" w:color="214E93"/>
            </w:tcBorders>
          </w:tcPr>
          <w:p>
            <w:pPr>
              <w:jc w:val="right"/>
              <w:ind w:right="62"/>
              <w:spacing w:after="0"/>
              <w:rPr>
                <w:sz w:val="20"/>
                <w:szCs w:val="20"/>
                <w:color w:val="auto"/>
              </w:rPr>
            </w:pPr>
            <w:r>
              <w:rPr>
                <w:rFonts w:ascii="Verdana" w:cs="Verdana" w:eastAsia="Verdana" w:hAnsi="Verdana"/>
                <w:sz w:val="16"/>
                <w:szCs w:val="16"/>
                <w:color w:val="auto"/>
              </w:rPr>
              <w:t>7.16</w:t>
            </w:r>
          </w:p>
        </w:tc>
        <w:tc>
          <w:tcPr>
            <w:tcW w:w="200" w:type="dxa"/>
            <w:vAlign w:val="bottom"/>
            <w:tcBorders>
              <w:bottom w:val="single" w:sz="8" w:color="214E93"/>
            </w:tcBorders>
          </w:tcPr>
          <w:p>
            <w:pPr>
              <w:ind w:left="80"/>
              <w:spacing w:after="0"/>
              <w:rPr>
                <w:sz w:val="20"/>
                <w:szCs w:val="20"/>
                <w:color w:val="auto"/>
              </w:rPr>
            </w:pPr>
            <w:r>
              <w:rPr>
                <w:rFonts w:ascii="Verdana" w:cs="Verdana" w:eastAsia="Verdana" w:hAnsi="Verdana"/>
                <w:sz w:val="16"/>
                <w:szCs w:val="16"/>
                <w:color w:val="auto"/>
                <w:w w:val="97"/>
              </w:rPr>
              <w:t>$</w:t>
            </w:r>
          </w:p>
        </w:tc>
        <w:tc>
          <w:tcPr>
            <w:tcW w:w="840" w:type="dxa"/>
            <w:vAlign w:val="bottom"/>
            <w:tcBorders>
              <w:bottom w:val="single" w:sz="8" w:color="214E93"/>
            </w:tcBorders>
          </w:tcPr>
          <w:p>
            <w:pPr>
              <w:jc w:val="right"/>
              <w:ind w:right="2"/>
              <w:spacing w:after="0"/>
              <w:rPr>
                <w:sz w:val="20"/>
                <w:szCs w:val="20"/>
                <w:color w:val="auto"/>
              </w:rPr>
            </w:pPr>
            <w:r>
              <w:rPr>
                <w:rFonts w:ascii="Verdana" w:cs="Verdana" w:eastAsia="Verdana" w:hAnsi="Verdana"/>
                <w:sz w:val="16"/>
                <w:szCs w:val="16"/>
                <w:color w:val="auto"/>
              </w:rPr>
              <w:t>7.10</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40" w:type="dxa"/>
            <w:vAlign w:val="bottom"/>
          </w:tcPr>
          <w:p>
            <w:pPr>
              <w:spacing w:after="0"/>
              <w:rPr>
                <w:sz w:val="22"/>
                <w:szCs w:val="22"/>
                <w:color w:val="auto"/>
              </w:rPr>
            </w:pPr>
          </w:p>
        </w:tc>
        <w:tc>
          <w:tcPr>
            <w:tcW w:w="6360" w:type="dxa"/>
            <w:vAlign w:val="bottom"/>
            <w:tcBorders>
              <w:bottom w:val="single" w:sz="8" w:color="214E93"/>
            </w:tcBorders>
          </w:tcPr>
          <w:p>
            <w:pPr>
              <w:ind w:left="160"/>
              <w:spacing w:after="0"/>
              <w:rPr>
                <w:sz w:val="20"/>
                <w:szCs w:val="20"/>
                <w:color w:val="auto"/>
              </w:rPr>
            </w:pPr>
            <w:r>
              <w:rPr>
                <w:rFonts w:ascii="Verdana" w:cs="Verdana" w:eastAsia="Verdana" w:hAnsi="Verdana"/>
                <w:sz w:val="14"/>
                <w:szCs w:val="14"/>
                <w:color w:val="auto"/>
              </w:rPr>
              <w:t>Diluted</w:t>
            </w:r>
          </w:p>
        </w:tc>
        <w:tc>
          <w:tcPr>
            <w:tcW w:w="180" w:type="dxa"/>
            <w:vAlign w:val="bottom"/>
            <w:tcBorders>
              <w:bottom w:val="single" w:sz="8" w:color="214E93"/>
            </w:tcBorders>
          </w:tcPr>
          <w:p>
            <w:pPr>
              <w:ind w:left="60"/>
              <w:spacing w:after="0"/>
              <w:rPr>
                <w:sz w:val="20"/>
                <w:szCs w:val="20"/>
                <w:color w:val="auto"/>
              </w:rPr>
            </w:pPr>
            <w:r>
              <w:rPr>
                <w:rFonts w:ascii="Verdana" w:cs="Verdana" w:eastAsia="Verdana" w:hAnsi="Verdana"/>
                <w:sz w:val="16"/>
                <w:szCs w:val="16"/>
                <w:color w:val="214E93"/>
                <w:w w:val="97"/>
              </w:rPr>
              <w:t>$</w:t>
            </w:r>
          </w:p>
        </w:tc>
        <w:tc>
          <w:tcPr>
            <w:tcW w:w="900" w:type="dxa"/>
            <w:vAlign w:val="bottom"/>
            <w:tcBorders>
              <w:bottom w:val="single" w:sz="8" w:color="214E93"/>
            </w:tcBorders>
          </w:tcPr>
          <w:p>
            <w:pPr>
              <w:jc w:val="right"/>
              <w:ind w:right="62"/>
              <w:spacing w:after="0"/>
              <w:rPr>
                <w:sz w:val="20"/>
                <w:szCs w:val="20"/>
                <w:color w:val="auto"/>
              </w:rPr>
            </w:pPr>
            <w:r>
              <w:rPr>
                <w:rFonts w:ascii="Verdana" w:cs="Verdana" w:eastAsia="Verdana" w:hAnsi="Verdana"/>
                <w:sz w:val="16"/>
                <w:szCs w:val="16"/>
                <w:color w:val="214E93"/>
              </w:rPr>
              <w:t>6.09</w:t>
            </w:r>
          </w:p>
        </w:tc>
        <w:tc>
          <w:tcPr>
            <w:tcW w:w="180" w:type="dxa"/>
            <w:vAlign w:val="bottom"/>
            <w:tcBorders>
              <w:bottom w:val="single" w:sz="8" w:color="214E93"/>
            </w:tcBorders>
          </w:tcPr>
          <w:p>
            <w:pPr>
              <w:ind w:left="60"/>
              <w:spacing w:after="0"/>
              <w:rPr>
                <w:sz w:val="20"/>
                <w:szCs w:val="20"/>
                <w:color w:val="auto"/>
              </w:rPr>
            </w:pPr>
            <w:r>
              <w:rPr>
                <w:rFonts w:ascii="Verdana" w:cs="Verdana" w:eastAsia="Verdana" w:hAnsi="Verdana"/>
                <w:sz w:val="16"/>
                <w:szCs w:val="16"/>
                <w:color w:val="auto"/>
                <w:w w:val="97"/>
              </w:rPr>
              <w:t>$</w:t>
            </w:r>
          </w:p>
        </w:tc>
        <w:tc>
          <w:tcPr>
            <w:tcW w:w="900" w:type="dxa"/>
            <w:vAlign w:val="bottom"/>
            <w:tcBorders>
              <w:bottom w:val="single" w:sz="8" w:color="214E93"/>
            </w:tcBorders>
          </w:tcPr>
          <w:p>
            <w:pPr>
              <w:jc w:val="right"/>
              <w:ind w:right="62"/>
              <w:spacing w:after="0"/>
              <w:rPr>
                <w:sz w:val="20"/>
                <w:szCs w:val="20"/>
                <w:color w:val="auto"/>
              </w:rPr>
            </w:pPr>
            <w:r>
              <w:rPr>
                <w:rFonts w:ascii="Verdana" w:cs="Verdana" w:eastAsia="Verdana" w:hAnsi="Verdana"/>
                <w:sz w:val="16"/>
                <w:szCs w:val="16"/>
                <w:color w:val="auto"/>
              </w:rPr>
              <w:t>7.14</w:t>
            </w:r>
          </w:p>
        </w:tc>
        <w:tc>
          <w:tcPr>
            <w:tcW w:w="200" w:type="dxa"/>
            <w:vAlign w:val="bottom"/>
            <w:tcBorders>
              <w:bottom w:val="single" w:sz="8" w:color="214E93"/>
            </w:tcBorders>
          </w:tcPr>
          <w:p>
            <w:pPr>
              <w:ind w:left="80"/>
              <w:spacing w:after="0"/>
              <w:rPr>
                <w:sz w:val="20"/>
                <w:szCs w:val="20"/>
                <w:color w:val="auto"/>
              </w:rPr>
            </w:pPr>
            <w:r>
              <w:rPr>
                <w:rFonts w:ascii="Verdana" w:cs="Verdana" w:eastAsia="Verdana" w:hAnsi="Verdana"/>
                <w:sz w:val="16"/>
                <w:szCs w:val="16"/>
                <w:color w:val="auto"/>
                <w:w w:val="97"/>
              </w:rPr>
              <w:t>$</w:t>
            </w:r>
          </w:p>
        </w:tc>
        <w:tc>
          <w:tcPr>
            <w:tcW w:w="840" w:type="dxa"/>
            <w:vAlign w:val="bottom"/>
            <w:tcBorders>
              <w:bottom w:val="single" w:sz="8" w:color="214E93"/>
            </w:tcBorders>
          </w:tcPr>
          <w:p>
            <w:pPr>
              <w:jc w:val="right"/>
              <w:ind w:right="2"/>
              <w:spacing w:after="0"/>
              <w:rPr>
                <w:sz w:val="20"/>
                <w:szCs w:val="20"/>
                <w:color w:val="auto"/>
              </w:rPr>
            </w:pPr>
            <w:r>
              <w:rPr>
                <w:rFonts w:ascii="Verdana" w:cs="Verdana" w:eastAsia="Verdana" w:hAnsi="Verdana"/>
                <w:sz w:val="16"/>
                <w:szCs w:val="16"/>
                <w:color w:val="auto"/>
              </w:rPr>
              <w:t>7.05</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740" w:type="dxa"/>
            <w:vAlign w:val="bottom"/>
          </w:tcPr>
          <w:p>
            <w:pPr>
              <w:spacing w:after="0"/>
              <w:rPr>
                <w:sz w:val="16"/>
                <w:szCs w:val="16"/>
                <w:color w:val="auto"/>
              </w:rPr>
            </w:pPr>
          </w:p>
        </w:tc>
        <w:tc>
          <w:tcPr>
            <w:tcW w:w="6360" w:type="dxa"/>
            <w:vAlign w:val="bottom"/>
          </w:tcPr>
          <w:p>
            <w:pPr>
              <w:ind w:left="40"/>
              <w:spacing w:after="0"/>
              <w:rPr>
                <w:sz w:val="20"/>
                <w:szCs w:val="20"/>
                <w:color w:val="auto"/>
              </w:rPr>
            </w:pPr>
            <w:r>
              <w:rPr>
                <w:rFonts w:ascii="Verdana" w:cs="Verdana" w:eastAsia="Verdana" w:hAnsi="Verdana"/>
                <w:sz w:val="14"/>
                <w:szCs w:val="14"/>
                <w:color w:val="auto"/>
              </w:rPr>
              <w:t>Weighted average common shares outstanding</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740" w:type="dxa"/>
            <w:vAlign w:val="bottom"/>
          </w:tcPr>
          <w:p>
            <w:pPr>
              <w:spacing w:after="0"/>
              <w:rPr>
                <w:sz w:val="24"/>
                <w:szCs w:val="24"/>
                <w:color w:val="auto"/>
              </w:rPr>
            </w:pPr>
          </w:p>
        </w:tc>
        <w:tc>
          <w:tcPr>
            <w:tcW w:w="6360" w:type="dxa"/>
            <w:vAlign w:val="bottom"/>
            <w:tcBorders>
              <w:bottom w:val="single" w:sz="8" w:color="214E93"/>
            </w:tcBorders>
          </w:tcPr>
          <w:p>
            <w:pPr>
              <w:ind w:left="160"/>
              <w:spacing w:after="0"/>
              <w:rPr>
                <w:sz w:val="20"/>
                <w:szCs w:val="20"/>
                <w:color w:val="auto"/>
              </w:rPr>
            </w:pPr>
            <w:r>
              <w:rPr>
                <w:rFonts w:ascii="Verdana" w:cs="Verdana" w:eastAsia="Verdana" w:hAnsi="Verdana"/>
                <w:sz w:val="14"/>
                <w:szCs w:val="14"/>
                <w:color w:val="auto"/>
              </w:rPr>
              <w:t>Basic</w:t>
            </w:r>
          </w:p>
        </w:tc>
        <w:tc>
          <w:tcPr>
            <w:tcW w:w="180" w:type="dxa"/>
            <w:vAlign w:val="bottom"/>
            <w:tcBorders>
              <w:bottom w:val="single" w:sz="8" w:color="214E93"/>
            </w:tcBorders>
          </w:tcPr>
          <w:p>
            <w:pPr>
              <w:spacing w:after="0"/>
              <w:rPr>
                <w:sz w:val="24"/>
                <w:szCs w:val="24"/>
                <w:color w:val="auto"/>
              </w:rPr>
            </w:pPr>
          </w:p>
        </w:tc>
        <w:tc>
          <w:tcPr>
            <w:tcW w:w="900" w:type="dxa"/>
            <w:vAlign w:val="bottom"/>
            <w:tcBorders>
              <w:bottom w:val="single" w:sz="8" w:color="214E93"/>
            </w:tcBorders>
          </w:tcPr>
          <w:p>
            <w:pPr>
              <w:jc w:val="right"/>
              <w:ind w:right="62"/>
              <w:spacing w:after="0"/>
              <w:rPr>
                <w:sz w:val="20"/>
                <w:szCs w:val="20"/>
                <w:color w:val="auto"/>
              </w:rPr>
            </w:pPr>
            <w:r>
              <w:rPr>
                <w:rFonts w:ascii="Verdana" w:cs="Verdana" w:eastAsia="Verdana" w:hAnsi="Verdana"/>
                <w:sz w:val="16"/>
                <w:szCs w:val="16"/>
                <w:color w:val="214E93"/>
              </w:rPr>
              <w:t>124,556</w:t>
            </w:r>
          </w:p>
        </w:tc>
        <w:tc>
          <w:tcPr>
            <w:tcW w:w="180" w:type="dxa"/>
            <w:vAlign w:val="bottom"/>
            <w:tcBorders>
              <w:bottom w:val="single" w:sz="8" w:color="214E93"/>
            </w:tcBorders>
          </w:tcPr>
          <w:p>
            <w:pPr>
              <w:spacing w:after="0"/>
              <w:rPr>
                <w:sz w:val="24"/>
                <w:szCs w:val="24"/>
                <w:color w:val="auto"/>
              </w:rPr>
            </w:pPr>
          </w:p>
        </w:tc>
        <w:tc>
          <w:tcPr>
            <w:tcW w:w="900" w:type="dxa"/>
            <w:vAlign w:val="bottom"/>
            <w:tcBorders>
              <w:bottom w:val="single" w:sz="8" w:color="214E93"/>
            </w:tcBorders>
          </w:tcPr>
          <w:p>
            <w:pPr>
              <w:jc w:val="right"/>
              <w:ind w:right="62"/>
              <w:spacing w:after="0"/>
              <w:rPr>
                <w:sz w:val="20"/>
                <w:szCs w:val="20"/>
                <w:color w:val="auto"/>
              </w:rPr>
            </w:pPr>
            <w:r>
              <w:rPr>
                <w:rFonts w:ascii="Verdana" w:cs="Verdana" w:eastAsia="Verdana" w:hAnsi="Verdana"/>
                <w:sz w:val="16"/>
                <w:szCs w:val="16"/>
                <w:color w:val="auto"/>
              </w:rPr>
              <w:t>123,568</w:t>
            </w:r>
          </w:p>
        </w:tc>
        <w:tc>
          <w:tcPr>
            <w:tcW w:w="200" w:type="dxa"/>
            <w:vAlign w:val="bottom"/>
            <w:tcBorders>
              <w:bottom w:val="single" w:sz="8" w:color="214E93"/>
            </w:tcBorders>
          </w:tcPr>
          <w:p>
            <w:pPr>
              <w:spacing w:after="0"/>
              <w:rPr>
                <w:sz w:val="24"/>
                <w:szCs w:val="24"/>
                <w:color w:val="auto"/>
              </w:rPr>
            </w:pPr>
          </w:p>
        </w:tc>
        <w:tc>
          <w:tcPr>
            <w:tcW w:w="840" w:type="dxa"/>
            <w:vAlign w:val="bottom"/>
            <w:tcBorders>
              <w:bottom w:val="single" w:sz="8" w:color="214E93"/>
            </w:tcBorders>
          </w:tcPr>
          <w:p>
            <w:pPr>
              <w:jc w:val="right"/>
              <w:ind w:right="2"/>
              <w:spacing w:after="0"/>
              <w:rPr>
                <w:sz w:val="20"/>
                <w:szCs w:val="20"/>
                <w:color w:val="auto"/>
              </w:rPr>
            </w:pPr>
            <w:r>
              <w:rPr>
                <w:rFonts w:ascii="Verdana" w:cs="Verdana" w:eastAsia="Verdana" w:hAnsi="Verdana"/>
                <w:sz w:val="16"/>
                <w:szCs w:val="16"/>
                <w:color w:val="auto"/>
              </w:rPr>
              <w:t>119,139</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40" w:type="dxa"/>
            <w:vAlign w:val="bottom"/>
          </w:tcPr>
          <w:p>
            <w:pPr>
              <w:spacing w:after="0"/>
              <w:rPr>
                <w:sz w:val="22"/>
                <w:szCs w:val="22"/>
                <w:color w:val="auto"/>
              </w:rPr>
            </w:pPr>
          </w:p>
        </w:tc>
        <w:tc>
          <w:tcPr>
            <w:tcW w:w="6360" w:type="dxa"/>
            <w:vAlign w:val="bottom"/>
            <w:tcBorders>
              <w:bottom w:val="single" w:sz="8" w:color="214E93"/>
            </w:tcBorders>
          </w:tcPr>
          <w:p>
            <w:pPr>
              <w:ind w:left="160"/>
              <w:spacing w:after="0"/>
              <w:rPr>
                <w:sz w:val="20"/>
                <w:szCs w:val="20"/>
                <w:color w:val="auto"/>
              </w:rPr>
            </w:pPr>
            <w:r>
              <w:rPr>
                <w:rFonts w:ascii="Verdana" w:cs="Verdana" w:eastAsia="Verdana" w:hAnsi="Verdana"/>
                <w:sz w:val="14"/>
                <w:szCs w:val="14"/>
                <w:color w:val="auto"/>
              </w:rPr>
              <w:t>Diluted</w:t>
            </w:r>
          </w:p>
        </w:tc>
        <w:tc>
          <w:tcPr>
            <w:tcW w:w="180" w:type="dxa"/>
            <w:vAlign w:val="bottom"/>
            <w:tcBorders>
              <w:bottom w:val="single" w:sz="8" w:color="214E93"/>
            </w:tcBorders>
          </w:tcPr>
          <w:p>
            <w:pPr>
              <w:spacing w:after="0"/>
              <w:rPr>
                <w:sz w:val="22"/>
                <w:szCs w:val="22"/>
                <w:color w:val="auto"/>
              </w:rPr>
            </w:pPr>
          </w:p>
        </w:tc>
        <w:tc>
          <w:tcPr>
            <w:tcW w:w="900" w:type="dxa"/>
            <w:vAlign w:val="bottom"/>
            <w:tcBorders>
              <w:bottom w:val="single" w:sz="8" w:color="214E93"/>
            </w:tcBorders>
          </w:tcPr>
          <w:p>
            <w:pPr>
              <w:jc w:val="right"/>
              <w:ind w:right="62"/>
              <w:spacing w:after="0"/>
              <w:rPr>
                <w:sz w:val="20"/>
                <w:szCs w:val="20"/>
                <w:color w:val="auto"/>
              </w:rPr>
            </w:pPr>
            <w:r>
              <w:rPr>
                <w:rFonts w:ascii="Verdana" w:cs="Verdana" w:eastAsia="Verdana" w:hAnsi="Verdana"/>
                <w:sz w:val="16"/>
                <w:szCs w:val="16"/>
                <w:color w:val="214E93"/>
              </w:rPr>
              <w:t>124,586</w:t>
            </w:r>
          </w:p>
        </w:tc>
        <w:tc>
          <w:tcPr>
            <w:tcW w:w="180" w:type="dxa"/>
            <w:vAlign w:val="bottom"/>
            <w:tcBorders>
              <w:bottom w:val="single" w:sz="8" w:color="214E93"/>
            </w:tcBorders>
          </w:tcPr>
          <w:p>
            <w:pPr>
              <w:spacing w:after="0"/>
              <w:rPr>
                <w:sz w:val="22"/>
                <w:szCs w:val="22"/>
                <w:color w:val="auto"/>
              </w:rPr>
            </w:pPr>
          </w:p>
        </w:tc>
        <w:tc>
          <w:tcPr>
            <w:tcW w:w="900" w:type="dxa"/>
            <w:vAlign w:val="bottom"/>
            <w:tcBorders>
              <w:bottom w:val="single" w:sz="8" w:color="214E93"/>
            </w:tcBorders>
          </w:tcPr>
          <w:p>
            <w:pPr>
              <w:jc w:val="right"/>
              <w:ind w:right="62"/>
              <w:spacing w:after="0"/>
              <w:rPr>
                <w:sz w:val="20"/>
                <w:szCs w:val="20"/>
                <w:color w:val="auto"/>
              </w:rPr>
            </w:pPr>
            <w:r>
              <w:rPr>
                <w:rFonts w:ascii="Verdana" w:cs="Verdana" w:eastAsia="Verdana" w:hAnsi="Verdana"/>
                <w:sz w:val="16"/>
                <w:szCs w:val="16"/>
                <w:color w:val="auto"/>
              </w:rPr>
              <w:t>124,076</w:t>
            </w:r>
          </w:p>
        </w:tc>
        <w:tc>
          <w:tcPr>
            <w:tcW w:w="200" w:type="dxa"/>
            <w:vAlign w:val="bottom"/>
            <w:tcBorders>
              <w:bottom w:val="single" w:sz="8" w:color="214E93"/>
            </w:tcBorders>
          </w:tcPr>
          <w:p>
            <w:pPr>
              <w:spacing w:after="0"/>
              <w:rPr>
                <w:sz w:val="22"/>
                <w:szCs w:val="22"/>
                <w:color w:val="auto"/>
              </w:rPr>
            </w:pPr>
          </w:p>
        </w:tc>
        <w:tc>
          <w:tcPr>
            <w:tcW w:w="840" w:type="dxa"/>
            <w:vAlign w:val="bottom"/>
            <w:tcBorders>
              <w:bottom w:val="single" w:sz="8" w:color="214E93"/>
            </w:tcBorders>
          </w:tcPr>
          <w:p>
            <w:pPr>
              <w:jc w:val="right"/>
              <w:ind w:right="2"/>
              <w:spacing w:after="0"/>
              <w:rPr>
                <w:sz w:val="20"/>
                <w:szCs w:val="20"/>
                <w:color w:val="auto"/>
              </w:rPr>
            </w:pPr>
            <w:r>
              <w:rPr>
                <w:rFonts w:ascii="Verdana" w:cs="Verdana" w:eastAsia="Verdana" w:hAnsi="Verdana"/>
                <w:sz w:val="16"/>
                <w:szCs w:val="16"/>
                <w:color w:val="auto"/>
              </w:rPr>
              <w:t>119,980</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464820</wp:posOffset>
                </wp:positionH>
                <wp:positionV relativeFrom="paragraph">
                  <wp:posOffset>-7510145</wp:posOffset>
                </wp:positionV>
                <wp:extent cx="6812280" cy="0"/>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71" o:spid="_x0000_s12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pt,-591.3499pt" to="573pt,-591.3499pt" o:allowincell="f" strokecolor="#000000" strokeweight="0pt"/>
            </w:pict>
          </mc:Fallback>
        </mc:AlternateContent>
      </w:r>
    </w:p>
    <w:p>
      <w:pPr>
        <w:spacing w:after="0" w:line="29" w:lineRule="exact"/>
        <w:rPr>
          <w:sz w:val="20"/>
          <w:szCs w:val="20"/>
          <w:color w:val="auto"/>
        </w:rPr>
      </w:pPr>
    </w:p>
    <w:p>
      <w:pPr>
        <w:ind w:left="2460"/>
        <w:spacing w:after="0"/>
        <w:rPr>
          <w:sz w:val="20"/>
          <w:szCs w:val="20"/>
          <w:color w:val="auto"/>
        </w:rPr>
      </w:pPr>
      <w:r>
        <w:rPr>
          <w:rFonts w:ascii="Verdana" w:cs="Verdana" w:eastAsia="Verdana" w:hAnsi="Verdana"/>
          <w:sz w:val="14"/>
          <w:szCs w:val="14"/>
          <w:i w:val="1"/>
          <w:iCs w:val="1"/>
          <w:color w:val="auto"/>
        </w:rPr>
        <w:t>The accompanying notes are an integral part of these consolidated financial statements.</w:t>
      </w:r>
    </w:p>
    <w:p>
      <w:pPr>
        <w:sectPr>
          <w:pgSz w:w="11880" w:h="15480" w:orient="portrait"/>
          <w:cols w:equalWidth="0" w:num="1">
            <w:col w:w="11460"/>
          </w:cols>
          <w:pgMar w:left="420" w:top="498" w:right="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0"/>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1460"/>
          </w:cols>
          <w:pgMar w:left="420" w:top="498" w:right="0" w:bottom="0" w:gutter="0" w:footer="0" w:header="0"/>
          <w:type w:val="continuous"/>
        </w:sectPr>
      </w:pPr>
    </w:p>
    <w:bookmarkStart w:id="136" w:name="page137"/>
    <w:bookmarkEnd w:id="136"/>
    <w:tbl>
      <w:tblPr>
        <w:tblLayout w:type="fixed"/>
        <w:tblInd w:w="0" w:type="dxa"/>
        <w:tblCellMar>
          <w:top w:w="0" w:type="dxa"/>
          <w:left w:w="0" w:type="dxa"/>
          <w:bottom w:w="0" w:type="dxa"/>
          <w:right w:w="0" w:type="dxa"/>
        </w:tblCellMar>
      </w:tblPr>
      <w:tr>
        <w:trPr>
          <w:trHeight w:val="220"/>
        </w:trPr>
        <w:tc>
          <w:tcPr>
            <w:tcW w:w="6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20" w:type="dxa"/>
            <w:vAlign w:val="bottom"/>
            <w:gridSpan w:val="4"/>
          </w:tcPr>
          <w:p>
            <w:pPr>
              <w:jc w:val="center"/>
              <w:ind w:left="32"/>
              <w:spacing w:after="0"/>
              <w:rPr>
                <w:sz w:val="20"/>
                <w:szCs w:val="20"/>
                <w:color w:val="auto"/>
              </w:rPr>
            </w:pPr>
            <w:r>
              <w:rPr>
                <w:rFonts w:ascii="Calibri" w:cs="Calibri" w:eastAsia="Calibri" w:hAnsi="Calibri"/>
                <w:sz w:val="18"/>
                <w:szCs w:val="18"/>
                <w:color w:val="auto"/>
                <w:w w:val="98"/>
              </w:rPr>
              <w:t>2025 ANNUAL REPORT</w:t>
            </w:r>
          </w:p>
        </w:tc>
        <w:tc>
          <w:tcPr>
            <w:tcW w:w="240" w:type="dxa"/>
            <w:vAlign w:val="bottom"/>
            <w:gridSpan w:val="2"/>
          </w:tcPr>
          <w:p>
            <w:pPr>
              <w:ind w:left="20"/>
              <w:spacing w:after="0"/>
              <w:rPr>
                <w:sz w:val="20"/>
                <w:szCs w:val="20"/>
                <w:color w:val="auto"/>
              </w:rPr>
            </w:pPr>
            <w:r>
              <w:rPr>
                <w:rFonts w:ascii="Calibri" w:cs="Calibri" w:eastAsia="Calibri" w:hAnsi="Calibri"/>
                <w:sz w:val="18"/>
                <w:szCs w:val="18"/>
                <w:color w:val="auto"/>
                <w:w w:val="87"/>
              </w:rPr>
              <w:t>F-6</w:t>
            </w:r>
          </w:p>
        </w:tc>
        <w:tc>
          <w:tcPr>
            <w:tcW w:w="0" w:type="dxa"/>
            <w:vAlign w:val="bottom"/>
          </w:tcPr>
          <w:p>
            <w:pPr>
              <w:spacing w:after="0"/>
              <w:rPr>
                <w:sz w:val="1"/>
                <w:szCs w:val="1"/>
                <w:color w:val="auto"/>
              </w:rPr>
            </w:pPr>
          </w:p>
        </w:tc>
      </w:tr>
      <w:tr>
        <w:trPr>
          <w:trHeight w:val="496"/>
        </w:trPr>
        <w:tc>
          <w:tcPr>
            <w:tcW w:w="640" w:type="dxa"/>
            <w:vAlign w:val="bottom"/>
            <w:tcBorders>
              <w:bottom w:val="single" w:sz="8" w:color="214E93"/>
            </w:tcBorders>
          </w:tcPr>
          <w:p>
            <w:pPr>
              <w:spacing w:after="0"/>
              <w:rPr>
                <w:sz w:val="24"/>
                <w:szCs w:val="24"/>
                <w:color w:val="auto"/>
              </w:rPr>
            </w:pPr>
          </w:p>
        </w:tc>
        <w:tc>
          <w:tcPr>
            <w:tcW w:w="7060" w:type="dxa"/>
            <w:vAlign w:val="bottom"/>
            <w:tcBorders>
              <w:bottom w:val="single" w:sz="8" w:color="214E93"/>
            </w:tcBorders>
            <w:gridSpan w:val="6"/>
          </w:tcPr>
          <w:p>
            <w:pPr>
              <w:ind w:left="560"/>
              <w:spacing w:after="0"/>
              <w:rPr>
                <w:sz w:val="20"/>
                <w:szCs w:val="20"/>
                <w:color w:val="auto"/>
              </w:rPr>
            </w:pPr>
            <w:r>
              <w:rPr>
                <w:rFonts w:ascii="Verdana" w:cs="Verdana" w:eastAsia="Verdana" w:hAnsi="Verdana"/>
                <w:sz w:val="21"/>
                <w:szCs w:val="21"/>
                <w:color w:val="214E93"/>
              </w:rPr>
              <w:t>Consolidated Statements of Changes in Shareholder’s Equity</w:t>
            </w:r>
          </w:p>
        </w:tc>
        <w:tc>
          <w:tcPr>
            <w:tcW w:w="700" w:type="dxa"/>
            <w:vAlign w:val="bottom"/>
            <w:tcBorders>
              <w:bottom w:val="single" w:sz="8" w:color="214E93"/>
            </w:tcBorders>
          </w:tcPr>
          <w:p>
            <w:pPr>
              <w:spacing w:after="0"/>
              <w:rPr>
                <w:sz w:val="24"/>
                <w:szCs w:val="24"/>
                <w:color w:val="auto"/>
              </w:rPr>
            </w:pPr>
          </w:p>
        </w:tc>
        <w:tc>
          <w:tcPr>
            <w:tcW w:w="1020" w:type="dxa"/>
            <w:vAlign w:val="bottom"/>
            <w:tcBorders>
              <w:bottom w:val="single" w:sz="8" w:color="214E93"/>
            </w:tcBorders>
          </w:tcPr>
          <w:p>
            <w:pPr>
              <w:spacing w:after="0"/>
              <w:rPr>
                <w:sz w:val="24"/>
                <w:szCs w:val="24"/>
                <w:color w:val="auto"/>
              </w:rPr>
            </w:pPr>
          </w:p>
        </w:tc>
        <w:tc>
          <w:tcPr>
            <w:tcW w:w="900" w:type="dxa"/>
            <w:vAlign w:val="bottom"/>
            <w:tcBorders>
              <w:bottom w:val="single" w:sz="8" w:color="214E93"/>
            </w:tcBorders>
          </w:tcPr>
          <w:p>
            <w:pPr>
              <w:spacing w:after="0"/>
              <w:rPr>
                <w:sz w:val="24"/>
                <w:szCs w:val="24"/>
                <w:color w:val="auto"/>
              </w:rPr>
            </w:pPr>
          </w:p>
        </w:tc>
        <w:tc>
          <w:tcPr>
            <w:tcW w:w="400" w:type="dxa"/>
            <w:vAlign w:val="bottom"/>
            <w:tcBorders>
              <w:bottom w:val="single" w:sz="8" w:color="214E93"/>
            </w:tcBorders>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640" w:type="dxa"/>
            <w:vAlign w:val="bottom"/>
          </w:tcPr>
          <w:p>
            <w:pPr>
              <w:spacing w:after="0"/>
              <w:rPr>
                <w:sz w:val="24"/>
                <w:szCs w:val="24"/>
                <w:color w:val="auto"/>
              </w:rPr>
            </w:pPr>
          </w:p>
        </w:tc>
        <w:tc>
          <w:tcPr>
            <w:tcW w:w="3780" w:type="dxa"/>
            <w:vAlign w:val="bottom"/>
            <w:gridSpan w:val="2"/>
          </w:tcPr>
          <w:p>
            <w:pPr>
              <w:ind w:left="60"/>
              <w:spacing w:after="0"/>
              <w:rPr>
                <w:sz w:val="20"/>
                <w:szCs w:val="20"/>
                <w:color w:val="auto"/>
              </w:rPr>
            </w:pPr>
            <w:r>
              <w:rPr>
                <w:rFonts w:ascii="Calibri" w:cs="Calibri" w:eastAsia="Calibri" w:hAnsi="Calibri"/>
                <w:sz w:val="19"/>
                <w:szCs w:val="19"/>
                <w:b w:val="1"/>
                <w:bCs w:val="1"/>
                <w:color w:val="214E93"/>
              </w:rPr>
              <w:t>Matador Resources Company and Subsidiaries</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00" w:type="dxa"/>
            <w:vAlign w:val="bottom"/>
            <w:tcBorders>
              <w:bottom w:val="single" w:sz="8" w:color="214E93"/>
            </w:tcBorders>
          </w:tcPr>
          <w:p>
            <w:pPr>
              <w:spacing w:after="0"/>
              <w:rPr>
                <w:sz w:val="20"/>
                <w:szCs w:val="20"/>
                <w:color w:val="auto"/>
              </w:rPr>
            </w:pPr>
          </w:p>
        </w:tc>
        <w:tc>
          <w:tcPr>
            <w:tcW w:w="600" w:type="dxa"/>
            <w:vAlign w:val="bottom"/>
            <w:tcBorders>
              <w:bottom w:val="single" w:sz="8" w:color="214E93"/>
            </w:tcBorders>
          </w:tcPr>
          <w:p>
            <w:pPr>
              <w:spacing w:after="0"/>
              <w:rPr>
                <w:sz w:val="20"/>
                <w:szCs w:val="20"/>
                <w:color w:val="auto"/>
              </w:rPr>
            </w:pPr>
          </w:p>
        </w:tc>
        <w:tc>
          <w:tcPr>
            <w:tcW w:w="4400" w:type="dxa"/>
            <w:vAlign w:val="bottom"/>
            <w:tcBorders>
              <w:bottom w:val="single" w:sz="8" w:color="214E93"/>
            </w:tcBorders>
            <w:gridSpan w:val="5"/>
          </w:tcPr>
          <w:p>
            <w:pPr>
              <w:jc w:val="right"/>
              <w:ind w:right="12"/>
              <w:spacing w:after="0"/>
              <w:rPr>
                <w:sz w:val="20"/>
                <w:szCs w:val="20"/>
                <w:color w:val="auto"/>
              </w:rPr>
            </w:pPr>
            <w:r>
              <w:rPr>
                <w:rFonts w:ascii="Verdana" w:cs="Verdana" w:eastAsia="Verdana" w:hAnsi="Verdana"/>
                <w:sz w:val="14"/>
                <w:szCs w:val="14"/>
                <w:color w:val="auto"/>
              </w:rPr>
              <w:t>For the Years Ended December 31, 2023, 2024, 2025</w:t>
            </w:r>
          </w:p>
        </w:tc>
        <w:tc>
          <w:tcPr>
            <w:tcW w:w="900" w:type="dxa"/>
            <w:vAlign w:val="bottom"/>
            <w:tcBorders>
              <w:bottom w:val="single" w:sz="8" w:color="214E93"/>
            </w:tcBorders>
          </w:tcPr>
          <w:p>
            <w:pPr>
              <w:spacing w:after="0"/>
              <w:rPr>
                <w:sz w:val="20"/>
                <w:szCs w:val="20"/>
                <w:color w:val="auto"/>
              </w:rPr>
            </w:pPr>
          </w:p>
        </w:tc>
        <w:tc>
          <w:tcPr>
            <w:tcW w:w="400" w:type="dxa"/>
            <w:vAlign w:val="bottom"/>
            <w:tcBorders>
              <w:bottom w:val="single" w:sz="8" w:color="214E93"/>
            </w:tcBorders>
          </w:tcPr>
          <w:p>
            <w:pPr>
              <w:spacing w:after="0"/>
              <w:rPr>
                <w:sz w:val="20"/>
                <w:szCs w:val="20"/>
                <w:color w:val="auto"/>
              </w:rPr>
            </w:pPr>
          </w:p>
        </w:tc>
        <w:tc>
          <w:tcPr>
            <w:tcW w:w="500" w:type="dxa"/>
            <w:vAlign w:val="bottom"/>
            <w:tcBorders>
              <w:bottom w:val="single" w:sz="8" w:color="214E93"/>
            </w:tcBorders>
          </w:tcPr>
          <w:p>
            <w:pPr>
              <w:spacing w:after="0"/>
              <w:rPr>
                <w:sz w:val="20"/>
                <w:szCs w:val="20"/>
                <w:color w:val="auto"/>
              </w:rPr>
            </w:pPr>
          </w:p>
        </w:tc>
        <w:tc>
          <w:tcPr>
            <w:tcW w:w="20" w:type="dxa"/>
            <w:vAlign w:val="bottom"/>
            <w:tcBorders>
              <w:bottom w:val="single" w:sz="8" w:color="214E93"/>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6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Verdana" w:cs="Verdana" w:eastAsia="Verdana" w:hAnsi="Verdana"/>
                <w:sz w:val="12"/>
                <w:szCs w:val="12"/>
                <w:color w:val="auto"/>
                <w:w w:val="93"/>
              </w:rPr>
              <w:t>Total</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Verdana" w:cs="Verdana" w:eastAsia="Verdana" w:hAnsi="Verdana"/>
                <w:sz w:val="12"/>
                <w:szCs w:val="12"/>
                <w:color w:val="auto"/>
                <w:w w:val="98"/>
              </w:rPr>
              <w:t>shareholders’</w:t>
            </w: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Verdana" w:cs="Verdana" w:eastAsia="Verdana" w:hAnsi="Verdana"/>
                <w:sz w:val="12"/>
                <w:szCs w:val="12"/>
                <w:color w:val="auto"/>
                <w:w w:val="96"/>
              </w:rPr>
              <w:t>equity</w:t>
            </w: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Verdana" w:cs="Verdana" w:eastAsia="Verdana" w:hAnsi="Verdana"/>
                <w:sz w:val="12"/>
                <w:szCs w:val="12"/>
                <w:color w:val="auto"/>
                <w:w w:val="96"/>
              </w:rPr>
              <w:t>attributable</w:t>
            </w:r>
          </w:p>
        </w:tc>
        <w:tc>
          <w:tcPr>
            <w:tcW w:w="900" w:type="dxa"/>
            <w:vAlign w:val="bottom"/>
          </w:tcPr>
          <w:p>
            <w:pPr>
              <w:jc w:val="center"/>
              <w:spacing w:after="0" w:line="142" w:lineRule="exact"/>
              <w:rPr>
                <w:sz w:val="20"/>
                <w:szCs w:val="20"/>
                <w:color w:val="auto"/>
              </w:rPr>
            </w:pPr>
            <w:r>
              <w:rPr>
                <w:rFonts w:ascii="Verdana" w:cs="Verdana" w:eastAsia="Verdana" w:hAnsi="Verdana"/>
                <w:sz w:val="12"/>
                <w:szCs w:val="12"/>
                <w:color w:val="auto"/>
              </w:rPr>
              <w:t>Non-</w:t>
            </w: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300" w:type="dxa"/>
            <w:vAlign w:val="bottom"/>
            <w:gridSpan w:val="2"/>
            <w:vMerge w:val="restart"/>
          </w:tcPr>
          <w:p>
            <w:pPr>
              <w:jc w:val="right"/>
              <w:ind w:right="131"/>
              <w:spacing w:after="0"/>
              <w:rPr>
                <w:sz w:val="20"/>
                <w:szCs w:val="20"/>
                <w:color w:val="auto"/>
              </w:rPr>
            </w:pPr>
            <w:r>
              <w:rPr>
                <w:rFonts w:ascii="Verdana" w:cs="Verdana" w:eastAsia="Verdana" w:hAnsi="Verdana"/>
                <w:sz w:val="12"/>
                <w:szCs w:val="12"/>
                <w:color w:val="auto"/>
              </w:rPr>
              <w:t>Common Stock</w:t>
            </w:r>
          </w:p>
        </w:tc>
        <w:tc>
          <w:tcPr>
            <w:tcW w:w="1000" w:type="dxa"/>
            <w:vAlign w:val="bottom"/>
          </w:tcPr>
          <w:p>
            <w:pPr>
              <w:jc w:val="center"/>
              <w:spacing w:after="0" w:line="142" w:lineRule="exact"/>
              <w:rPr>
                <w:sz w:val="20"/>
                <w:szCs w:val="20"/>
                <w:color w:val="auto"/>
              </w:rPr>
            </w:pPr>
            <w:r>
              <w:rPr>
                <w:rFonts w:ascii="Verdana" w:cs="Verdana" w:eastAsia="Verdana" w:hAnsi="Verdana"/>
                <w:sz w:val="12"/>
                <w:szCs w:val="12"/>
                <w:color w:val="auto"/>
                <w:w w:val="96"/>
              </w:rPr>
              <w:t>Additional</w:t>
            </w:r>
          </w:p>
        </w:tc>
        <w:tc>
          <w:tcPr>
            <w:tcW w:w="1040" w:type="dxa"/>
            <w:vAlign w:val="bottom"/>
          </w:tcPr>
          <w:p>
            <w:pPr>
              <w:spacing w:after="0"/>
              <w:rPr>
                <w:sz w:val="12"/>
                <w:szCs w:val="12"/>
                <w:color w:val="auto"/>
              </w:rPr>
            </w:pPr>
          </w:p>
        </w:tc>
        <w:tc>
          <w:tcPr>
            <w:tcW w:w="1340" w:type="dxa"/>
            <w:vAlign w:val="bottom"/>
            <w:gridSpan w:val="2"/>
            <w:vMerge w:val="restart"/>
          </w:tcPr>
          <w:p>
            <w:pPr>
              <w:jc w:val="right"/>
              <w:ind w:right="151"/>
              <w:spacing w:after="0"/>
              <w:rPr>
                <w:sz w:val="20"/>
                <w:szCs w:val="20"/>
                <w:color w:val="auto"/>
              </w:rPr>
            </w:pPr>
            <w:r>
              <w:rPr>
                <w:rFonts w:ascii="Verdana" w:cs="Verdana" w:eastAsia="Verdana" w:hAnsi="Verdana"/>
                <w:sz w:val="12"/>
                <w:szCs w:val="12"/>
                <w:color w:val="auto"/>
              </w:rPr>
              <w:t>Treasury Stock</w:t>
            </w:r>
          </w:p>
        </w:tc>
        <w:tc>
          <w:tcPr>
            <w:tcW w:w="1020" w:type="dxa"/>
            <w:vAlign w:val="bottom"/>
          </w:tcPr>
          <w:p>
            <w:pPr>
              <w:jc w:val="center"/>
              <w:spacing w:after="0" w:line="142" w:lineRule="exact"/>
              <w:rPr>
                <w:sz w:val="20"/>
                <w:szCs w:val="20"/>
                <w:color w:val="auto"/>
              </w:rPr>
            </w:pPr>
            <w:r>
              <w:rPr>
                <w:rFonts w:ascii="Verdana" w:cs="Verdana" w:eastAsia="Verdana" w:hAnsi="Verdana"/>
                <w:sz w:val="12"/>
                <w:szCs w:val="12"/>
                <w:color w:val="auto"/>
                <w:w w:val="97"/>
              </w:rPr>
              <w:t>to Matador</w:t>
            </w:r>
          </w:p>
        </w:tc>
        <w:tc>
          <w:tcPr>
            <w:tcW w:w="900" w:type="dxa"/>
            <w:vAlign w:val="bottom"/>
          </w:tcPr>
          <w:p>
            <w:pPr>
              <w:jc w:val="center"/>
              <w:spacing w:after="0" w:line="142" w:lineRule="exact"/>
              <w:rPr>
                <w:sz w:val="20"/>
                <w:szCs w:val="20"/>
                <w:color w:val="auto"/>
              </w:rPr>
            </w:pPr>
            <w:r>
              <w:rPr>
                <w:rFonts w:ascii="Verdana" w:cs="Verdana" w:eastAsia="Verdana" w:hAnsi="Verdana"/>
                <w:sz w:val="12"/>
                <w:szCs w:val="12"/>
                <w:color w:val="auto"/>
                <w:w w:val="97"/>
              </w:rPr>
              <w:t>controlling</w:t>
            </w:r>
          </w:p>
        </w:tc>
        <w:tc>
          <w:tcPr>
            <w:tcW w:w="900" w:type="dxa"/>
            <w:vAlign w:val="bottom"/>
            <w:gridSpan w:val="2"/>
          </w:tcPr>
          <w:p>
            <w:pPr>
              <w:jc w:val="center"/>
              <w:spacing w:after="0" w:line="142" w:lineRule="exact"/>
              <w:rPr>
                <w:sz w:val="20"/>
                <w:szCs w:val="20"/>
                <w:color w:val="auto"/>
              </w:rPr>
            </w:pPr>
            <w:r>
              <w:rPr>
                <w:rFonts w:ascii="Verdana" w:cs="Verdana" w:eastAsia="Verdana" w:hAnsi="Verdana"/>
                <w:sz w:val="12"/>
                <w:szCs w:val="12"/>
                <w:color w:val="auto"/>
                <w:w w:val="93"/>
              </w:rPr>
              <w:t>Total</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64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300" w:type="dxa"/>
            <w:vAlign w:val="bottom"/>
            <w:tcBorders>
              <w:bottom w:val="single" w:sz="8" w:color="214E93"/>
            </w:tcBorders>
            <w:gridSpan w:val="2"/>
            <w:vMerge w:val="continue"/>
          </w:tcPr>
          <w:p>
            <w:pPr>
              <w:spacing w:after="0"/>
              <w:rPr>
                <w:sz w:val="6"/>
                <w:szCs w:val="6"/>
                <w:color w:val="auto"/>
              </w:rPr>
            </w:pPr>
          </w:p>
        </w:tc>
        <w:tc>
          <w:tcPr>
            <w:tcW w:w="1000" w:type="dxa"/>
            <w:vAlign w:val="bottom"/>
            <w:vMerge w:val="restart"/>
          </w:tcPr>
          <w:p>
            <w:pPr>
              <w:jc w:val="center"/>
              <w:spacing w:after="0" w:line="142" w:lineRule="exact"/>
              <w:rPr>
                <w:sz w:val="20"/>
                <w:szCs w:val="20"/>
                <w:color w:val="auto"/>
              </w:rPr>
            </w:pPr>
            <w:r>
              <w:rPr>
                <w:rFonts w:ascii="Verdana" w:cs="Verdana" w:eastAsia="Verdana" w:hAnsi="Verdana"/>
                <w:sz w:val="12"/>
                <w:szCs w:val="12"/>
                <w:color w:val="auto"/>
              </w:rPr>
              <w:t>paid-in</w:t>
            </w:r>
          </w:p>
        </w:tc>
        <w:tc>
          <w:tcPr>
            <w:tcW w:w="1040" w:type="dxa"/>
            <w:vAlign w:val="bottom"/>
            <w:vMerge w:val="restart"/>
          </w:tcPr>
          <w:p>
            <w:pPr>
              <w:jc w:val="right"/>
              <w:ind w:right="232"/>
              <w:spacing w:after="0" w:line="142" w:lineRule="exact"/>
              <w:rPr>
                <w:sz w:val="20"/>
                <w:szCs w:val="20"/>
                <w:color w:val="auto"/>
              </w:rPr>
            </w:pPr>
            <w:r>
              <w:rPr>
                <w:rFonts w:ascii="Verdana" w:cs="Verdana" w:eastAsia="Verdana" w:hAnsi="Verdana"/>
                <w:sz w:val="12"/>
                <w:szCs w:val="12"/>
                <w:color w:val="auto"/>
              </w:rPr>
              <w:t>Retained</w:t>
            </w:r>
          </w:p>
        </w:tc>
        <w:tc>
          <w:tcPr>
            <w:tcW w:w="1340" w:type="dxa"/>
            <w:vAlign w:val="bottom"/>
            <w:tcBorders>
              <w:bottom w:val="single" w:sz="8" w:color="214E93"/>
            </w:tcBorders>
            <w:gridSpan w:val="2"/>
            <w:vMerge w:val="continue"/>
          </w:tcPr>
          <w:p>
            <w:pPr>
              <w:spacing w:after="0"/>
              <w:rPr>
                <w:sz w:val="6"/>
                <w:szCs w:val="6"/>
                <w:color w:val="auto"/>
              </w:rPr>
            </w:pPr>
          </w:p>
        </w:tc>
        <w:tc>
          <w:tcPr>
            <w:tcW w:w="1020" w:type="dxa"/>
            <w:vAlign w:val="bottom"/>
            <w:vMerge w:val="restart"/>
          </w:tcPr>
          <w:p>
            <w:pPr>
              <w:jc w:val="center"/>
              <w:spacing w:after="0" w:line="142" w:lineRule="exact"/>
              <w:rPr>
                <w:sz w:val="20"/>
                <w:szCs w:val="20"/>
                <w:color w:val="auto"/>
              </w:rPr>
            </w:pPr>
            <w:r>
              <w:rPr>
                <w:rFonts w:ascii="Verdana" w:cs="Verdana" w:eastAsia="Verdana" w:hAnsi="Verdana"/>
                <w:sz w:val="12"/>
                <w:szCs w:val="12"/>
                <w:color w:val="auto"/>
                <w:w w:val="97"/>
              </w:rPr>
              <w:t>Resources</w:t>
            </w:r>
          </w:p>
        </w:tc>
        <w:tc>
          <w:tcPr>
            <w:tcW w:w="900" w:type="dxa"/>
            <w:vAlign w:val="bottom"/>
            <w:vMerge w:val="restart"/>
          </w:tcPr>
          <w:p>
            <w:pPr>
              <w:jc w:val="center"/>
              <w:spacing w:after="0" w:line="142" w:lineRule="exact"/>
              <w:rPr>
                <w:sz w:val="20"/>
                <w:szCs w:val="20"/>
                <w:color w:val="auto"/>
              </w:rPr>
            </w:pPr>
            <w:r>
              <w:rPr>
                <w:rFonts w:ascii="Verdana" w:cs="Verdana" w:eastAsia="Verdana" w:hAnsi="Verdana"/>
                <w:sz w:val="12"/>
                <w:szCs w:val="12"/>
                <w:color w:val="auto"/>
                <w:w w:val="97"/>
              </w:rPr>
              <w:t>interest in</w:t>
            </w:r>
          </w:p>
        </w:tc>
        <w:tc>
          <w:tcPr>
            <w:tcW w:w="900" w:type="dxa"/>
            <w:vAlign w:val="bottom"/>
            <w:gridSpan w:val="2"/>
            <w:vMerge w:val="restart"/>
          </w:tcPr>
          <w:p>
            <w:pPr>
              <w:jc w:val="center"/>
              <w:spacing w:after="0" w:line="142" w:lineRule="exact"/>
              <w:rPr>
                <w:sz w:val="20"/>
                <w:szCs w:val="20"/>
                <w:color w:val="auto"/>
              </w:rPr>
            </w:pPr>
            <w:r>
              <w:rPr>
                <w:rFonts w:ascii="Verdana" w:cs="Verdana" w:eastAsia="Verdana" w:hAnsi="Verdana"/>
                <w:sz w:val="12"/>
                <w:szCs w:val="12"/>
                <w:color w:val="auto"/>
                <w:w w:val="98"/>
              </w:rPr>
              <w:t>shareholders’</w:t>
            </w: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640" w:type="dxa"/>
            <w:vAlign w:val="bottom"/>
          </w:tcPr>
          <w:p>
            <w:pPr>
              <w:spacing w:after="0"/>
              <w:rPr>
                <w:sz w:val="4"/>
                <w:szCs w:val="4"/>
                <w:color w:val="auto"/>
              </w:rPr>
            </w:pPr>
          </w:p>
        </w:tc>
        <w:tc>
          <w:tcPr>
            <w:tcW w:w="30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640" w:type="dxa"/>
            <w:vAlign w:val="bottom"/>
          </w:tcPr>
          <w:p>
            <w:pPr>
              <w:spacing w:after="0"/>
              <w:rPr>
                <w:sz w:val="14"/>
                <w:szCs w:val="14"/>
                <w:color w:val="auto"/>
              </w:rPr>
            </w:pPr>
          </w:p>
        </w:tc>
        <w:tc>
          <w:tcPr>
            <w:tcW w:w="3080" w:type="dxa"/>
            <w:vAlign w:val="bottom"/>
            <w:tcBorders>
              <w:bottom w:val="single" w:sz="8" w:color="214E93"/>
            </w:tcBorders>
          </w:tcPr>
          <w:p>
            <w:pPr>
              <w:spacing w:after="0"/>
              <w:rPr>
                <w:sz w:val="14"/>
                <w:szCs w:val="14"/>
                <w:color w:val="auto"/>
              </w:rPr>
            </w:pPr>
          </w:p>
        </w:tc>
        <w:tc>
          <w:tcPr>
            <w:tcW w:w="700" w:type="dxa"/>
            <w:vAlign w:val="bottom"/>
            <w:tcBorders>
              <w:bottom w:val="single" w:sz="8" w:color="214E93"/>
            </w:tcBorders>
          </w:tcPr>
          <w:p>
            <w:pPr>
              <w:jc w:val="right"/>
              <w:ind w:right="112"/>
              <w:spacing w:after="0"/>
              <w:rPr>
                <w:sz w:val="20"/>
                <w:szCs w:val="20"/>
                <w:color w:val="auto"/>
              </w:rPr>
            </w:pPr>
            <w:r>
              <w:rPr>
                <w:rFonts w:ascii="Verdana" w:cs="Verdana" w:eastAsia="Verdana" w:hAnsi="Verdana"/>
                <w:sz w:val="12"/>
                <w:szCs w:val="12"/>
                <w:color w:val="auto"/>
              </w:rPr>
              <w:t>Shares</w:t>
            </w:r>
          </w:p>
        </w:tc>
        <w:tc>
          <w:tcPr>
            <w:tcW w:w="600" w:type="dxa"/>
            <w:vAlign w:val="bottom"/>
            <w:tcBorders>
              <w:bottom w:val="single" w:sz="8" w:color="214E93"/>
            </w:tcBorders>
          </w:tcPr>
          <w:p>
            <w:pPr>
              <w:ind w:left="80"/>
              <w:spacing w:after="0"/>
              <w:rPr>
                <w:sz w:val="20"/>
                <w:szCs w:val="20"/>
                <w:color w:val="auto"/>
              </w:rPr>
            </w:pPr>
            <w:r>
              <w:rPr>
                <w:rFonts w:ascii="Verdana" w:cs="Verdana" w:eastAsia="Verdana" w:hAnsi="Verdana"/>
                <w:sz w:val="12"/>
                <w:szCs w:val="12"/>
                <w:color w:val="auto"/>
              </w:rPr>
              <w:t>Amount</w:t>
            </w:r>
          </w:p>
        </w:tc>
        <w:tc>
          <w:tcPr>
            <w:tcW w:w="1000" w:type="dxa"/>
            <w:vAlign w:val="bottom"/>
            <w:tcBorders>
              <w:bottom w:val="single" w:sz="8" w:color="214E93"/>
            </w:tcBorders>
          </w:tcPr>
          <w:p>
            <w:pPr>
              <w:jc w:val="center"/>
              <w:spacing w:after="0"/>
              <w:rPr>
                <w:sz w:val="20"/>
                <w:szCs w:val="20"/>
                <w:color w:val="auto"/>
              </w:rPr>
            </w:pPr>
            <w:r>
              <w:rPr>
                <w:rFonts w:ascii="Verdana" w:cs="Verdana" w:eastAsia="Verdana" w:hAnsi="Verdana"/>
                <w:sz w:val="12"/>
                <w:szCs w:val="12"/>
                <w:color w:val="auto"/>
                <w:w w:val="96"/>
              </w:rPr>
              <w:t>capital</w:t>
            </w:r>
          </w:p>
        </w:tc>
        <w:tc>
          <w:tcPr>
            <w:tcW w:w="1040" w:type="dxa"/>
            <w:vAlign w:val="bottom"/>
            <w:tcBorders>
              <w:bottom w:val="single" w:sz="8" w:color="214E93"/>
            </w:tcBorders>
          </w:tcPr>
          <w:p>
            <w:pPr>
              <w:jc w:val="right"/>
              <w:ind w:right="232"/>
              <w:spacing w:after="0"/>
              <w:rPr>
                <w:sz w:val="20"/>
                <w:szCs w:val="20"/>
                <w:color w:val="auto"/>
              </w:rPr>
            </w:pPr>
            <w:r>
              <w:rPr>
                <w:rFonts w:ascii="Verdana" w:cs="Verdana" w:eastAsia="Verdana" w:hAnsi="Verdana"/>
                <w:sz w:val="12"/>
                <w:szCs w:val="12"/>
                <w:color w:val="auto"/>
              </w:rPr>
              <w:t>earnings</w:t>
            </w:r>
          </w:p>
        </w:tc>
        <w:tc>
          <w:tcPr>
            <w:tcW w:w="640" w:type="dxa"/>
            <w:vAlign w:val="bottom"/>
            <w:tcBorders>
              <w:bottom w:val="single" w:sz="8" w:color="214E93"/>
            </w:tcBorders>
          </w:tcPr>
          <w:p>
            <w:pPr>
              <w:jc w:val="right"/>
              <w:ind w:right="92"/>
              <w:spacing w:after="0"/>
              <w:rPr>
                <w:sz w:val="20"/>
                <w:szCs w:val="20"/>
                <w:color w:val="auto"/>
              </w:rPr>
            </w:pPr>
            <w:r>
              <w:rPr>
                <w:rFonts w:ascii="Verdana" w:cs="Verdana" w:eastAsia="Verdana" w:hAnsi="Verdana"/>
                <w:sz w:val="12"/>
                <w:szCs w:val="12"/>
                <w:color w:val="auto"/>
              </w:rPr>
              <w:t>Shares</w:t>
            </w:r>
          </w:p>
        </w:tc>
        <w:tc>
          <w:tcPr>
            <w:tcW w:w="700" w:type="dxa"/>
            <w:vAlign w:val="bottom"/>
            <w:tcBorders>
              <w:bottom w:val="single" w:sz="8" w:color="214E93"/>
            </w:tcBorders>
          </w:tcPr>
          <w:p>
            <w:pPr>
              <w:jc w:val="right"/>
              <w:ind w:right="51"/>
              <w:spacing w:after="0"/>
              <w:rPr>
                <w:sz w:val="20"/>
                <w:szCs w:val="20"/>
                <w:color w:val="auto"/>
              </w:rPr>
            </w:pPr>
            <w:r>
              <w:rPr>
                <w:rFonts w:ascii="Verdana" w:cs="Verdana" w:eastAsia="Verdana" w:hAnsi="Verdana"/>
                <w:sz w:val="12"/>
                <w:szCs w:val="12"/>
                <w:color w:val="auto"/>
              </w:rPr>
              <w:t>Amount</w:t>
            </w:r>
          </w:p>
        </w:tc>
        <w:tc>
          <w:tcPr>
            <w:tcW w:w="1020" w:type="dxa"/>
            <w:vAlign w:val="bottom"/>
            <w:tcBorders>
              <w:bottom w:val="single" w:sz="8" w:color="214E93"/>
            </w:tcBorders>
          </w:tcPr>
          <w:p>
            <w:pPr>
              <w:jc w:val="center"/>
              <w:spacing w:after="0"/>
              <w:rPr>
                <w:sz w:val="20"/>
                <w:szCs w:val="20"/>
                <w:color w:val="auto"/>
              </w:rPr>
            </w:pPr>
            <w:r>
              <w:rPr>
                <w:rFonts w:ascii="Verdana" w:cs="Verdana" w:eastAsia="Verdana" w:hAnsi="Verdana"/>
                <w:sz w:val="12"/>
                <w:szCs w:val="12"/>
                <w:color w:val="auto"/>
                <w:w w:val="98"/>
              </w:rPr>
              <w:t>Company</w:t>
            </w:r>
          </w:p>
        </w:tc>
        <w:tc>
          <w:tcPr>
            <w:tcW w:w="900" w:type="dxa"/>
            <w:vAlign w:val="bottom"/>
            <w:tcBorders>
              <w:bottom w:val="single" w:sz="8" w:color="214E93"/>
            </w:tcBorders>
          </w:tcPr>
          <w:p>
            <w:pPr>
              <w:jc w:val="center"/>
              <w:spacing w:after="0"/>
              <w:rPr>
                <w:sz w:val="20"/>
                <w:szCs w:val="20"/>
                <w:color w:val="auto"/>
              </w:rPr>
            </w:pPr>
            <w:r>
              <w:rPr>
                <w:rFonts w:ascii="Verdana" w:cs="Verdana" w:eastAsia="Verdana" w:hAnsi="Verdana"/>
                <w:sz w:val="12"/>
                <w:szCs w:val="12"/>
                <w:color w:val="auto"/>
                <w:w w:val="98"/>
              </w:rPr>
              <w:t>subsidiaries</w:t>
            </w:r>
          </w:p>
        </w:tc>
        <w:tc>
          <w:tcPr>
            <w:tcW w:w="900" w:type="dxa"/>
            <w:vAlign w:val="bottom"/>
            <w:tcBorders>
              <w:bottom w:val="single" w:sz="8" w:color="214E93"/>
            </w:tcBorders>
            <w:gridSpan w:val="2"/>
          </w:tcPr>
          <w:p>
            <w:pPr>
              <w:jc w:val="center"/>
              <w:spacing w:after="0"/>
              <w:rPr>
                <w:sz w:val="20"/>
                <w:szCs w:val="20"/>
                <w:color w:val="auto"/>
              </w:rPr>
            </w:pPr>
            <w:r>
              <w:rPr>
                <w:rFonts w:ascii="Verdana" w:cs="Verdana" w:eastAsia="Verdana" w:hAnsi="Verdana"/>
                <w:sz w:val="12"/>
                <w:szCs w:val="12"/>
                <w:color w:val="auto"/>
                <w:w w:val="96"/>
              </w:rPr>
              <w:t>equity</w:t>
            </w:r>
          </w:p>
        </w:tc>
        <w:tc>
          <w:tcPr>
            <w:tcW w:w="20" w:type="dxa"/>
            <w:vAlign w:val="bottom"/>
            <w:tcBorders>
              <w:bottom w:val="single" w:sz="8" w:color="214E93"/>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40" w:type="dxa"/>
            <w:vAlign w:val="bottom"/>
          </w:tcPr>
          <w:p>
            <w:pPr>
              <w:spacing w:after="0"/>
              <w:rPr>
                <w:sz w:val="16"/>
                <w:szCs w:val="16"/>
                <w:color w:val="auto"/>
              </w:rPr>
            </w:pPr>
          </w:p>
        </w:tc>
        <w:tc>
          <w:tcPr>
            <w:tcW w:w="3080" w:type="dxa"/>
            <w:vAlign w:val="bottom"/>
          </w:tcPr>
          <w:p>
            <w:pPr>
              <w:ind w:left="60"/>
              <w:spacing w:after="0"/>
              <w:rPr>
                <w:sz w:val="20"/>
                <w:szCs w:val="20"/>
                <w:color w:val="auto"/>
              </w:rPr>
            </w:pPr>
            <w:r>
              <w:rPr>
                <w:rFonts w:ascii="Verdana" w:cs="Verdana" w:eastAsia="Verdana" w:hAnsi="Verdana"/>
                <w:sz w:val="14"/>
                <w:szCs w:val="14"/>
                <w:i w:val="1"/>
                <w:iCs w:val="1"/>
                <w:color w:val="auto"/>
              </w:rPr>
              <w:t>(in thousands)</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3080" w:type="dxa"/>
            <w:vAlign w:val="bottom"/>
          </w:tcPr>
          <w:p>
            <w:pPr>
              <w:ind w:left="60"/>
              <w:spacing w:after="0"/>
              <w:rPr>
                <w:sz w:val="20"/>
                <w:szCs w:val="20"/>
                <w:color w:val="auto"/>
              </w:rPr>
            </w:pPr>
            <w:r>
              <w:rPr>
                <w:rFonts w:ascii="Verdana" w:cs="Verdana" w:eastAsia="Verdana" w:hAnsi="Verdana"/>
                <w:sz w:val="14"/>
                <w:szCs w:val="14"/>
                <w:b w:val="1"/>
                <w:bCs w:val="1"/>
                <w:color w:val="auto"/>
              </w:rPr>
              <w:t>Balance at January 1, 2023</w:t>
            </w:r>
          </w:p>
        </w:tc>
        <w:tc>
          <w:tcPr>
            <w:tcW w:w="700" w:type="dxa"/>
            <w:vAlign w:val="bottom"/>
          </w:tcPr>
          <w:p>
            <w:pPr>
              <w:jc w:val="right"/>
              <w:ind w:right="12"/>
              <w:spacing w:after="0"/>
              <w:rPr>
                <w:sz w:val="20"/>
                <w:szCs w:val="20"/>
                <w:color w:val="auto"/>
              </w:rPr>
            </w:pPr>
            <w:r>
              <w:rPr>
                <w:rFonts w:ascii="Verdana" w:cs="Verdana" w:eastAsia="Verdana" w:hAnsi="Verdana"/>
                <w:sz w:val="14"/>
                <w:szCs w:val="14"/>
                <w:color w:val="auto"/>
              </w:rPr>
              <w:t>118,953</w:t>
            </w:r>
          </w:p>
        </w:tc>
        <w:tc>
          <w:tcPr>
            <w:tcW w:w="600" w:type="dxa"/>
            <w:vAlign w:val="bottom"/>
          </w:tcPr>
          <w:p>
            <w:pPr>
              <w:jc w:val="right"/>
              <w:ind w:right="11"/>
              <w:spacing w:after="0"/>
              <w:rPr>
                <w:sz w:val="20"/>
                <w:szCs w:val="20"/>
                <w:color w:val="auto"/>
              </w:rPr>
            </w:pPr>
            <w:r>
              <w:rPr>
                <w:rFonts w:ascii="Verdana" w:cs="Verdana" w:eastAsia="Verdana" w:hAnsi="Verdana"/>
                <w:sz w:val="14"/>
                <w:szCs w:val="14"/>
                <w:color w:val="auto"/>
              </w:rPr>
              <w:t>1,190</w:t>
            </w:r>
          </w:p>
        </w:tc>
        <w:tc>
          <w:tcPr>
            <w:tcW w:w="1000" w:type="dxa"/>
            <w:vAlign w:val="bottom"/>
          </w:tcPr>
          <w:p>
            <w:pPr>
              <w:jc w:val="right"/>
              <w:ind w:right="72"/>
              <w:spacing w:after="0"/>
              <w:rPr>
                <w:sz w:val="20"/>
                <w:szCs w:val="20"/>
                <w:color w:val="auto"/>
              </w:rPr>
            </w:pPr>
            <w:r>
              <w:rPr>
                <w:rFonts w:ascii="Verdana" w:cs="Verdana" w:eastAsia="Verdana" w:hAnsi="Verdana"/>
                <w:sz w:val="14"/>
                <w:szCs w:val="14"/>
                <w:color w:val="auto"/>
              </w:rPr>
              <w:t>2,101,999</w:t>
            </w:r>
          </w:p>
        </w:tc>
        <w:tc>
          <w:tcPr>
            <w:tcW w:w="1040" w:type="dxa"/>
            <w:vAlign w:val="bottom"/>
          </w:tcPr>
          <w:p>
            <w:pPr>
              <w:jc w:val="right"/>
              <w:ind w:right="92"/>
              <w:spacing w:after="0"/>
              <w:rPr>
                <w:sz w:val="20"/>
                <w:szCs w:val="20"/>
                <w:color w:val="auto"/>
              </w:rPr>
            </w:pPr>
            <w:r>
              <w:rPr>
                <w:rFonts w:ascii="Verdana" w:cs="Verdana" w:eastAsia="Verdana" w:hAnsi="Verdana"/>
                <w:sz w:val="14"/>
                <w:szCs w:val="14"/>
                <w:color w:val="auto"/>
              </w:rPr>
              <w:t>1,007,642</w:t>
            </w:r>
          </w:p>
        </w:tc>
        <w:tc>
          <w:tcPr>
            <w:tcW w:w="640" w:type="dxa"/>
            <w:vAlign w:val="bottom"/>
          </w:tcPr>
          <w:p>
            <w:pPr>
              <w:jc w:val="right"/>
              <w:ind w:right="72"/>
              <w:spacing w:after="0"/>
              <w:rPr>
                <w:sz w:val="20"/>
                <w:szCs w:val="20"/>
                <w:color w:val="auto"/>
              </w:rPr>
            </w:pPr>
            <w:r>
              <w:rPr>
                <w:rFonts w:ascii="Verdana" w:cs="Verdana" w:eastAsia="Verdana" w:hAnsi="Verdana"/>
                <w:sz w:val="14"/>
                <w:szCs w:val="14"/>
                <w:color w:val="auto"/>
              </w:rPr>
              <w:t>5</w:t>
            </w:r>
          </w:p>
        </w:tc>
        <w:tc>
          <w:tcPr>
            <w:tcW w:w="700" w:type="dxa"/>
            <w:vAlign w:val="bottom"/>
          </w:tcPr>
          <w:p>
            <w:pPr>
              <w:jc w:val="right"/>
              <w:spacing w:after="0"/>
              <w:rPr>
                <w:sz w:val="20"/>
                <w:szCs w:val="20"/>
                <w:color w:val="auto"/>
              </w:rPr>
            </w:pPr>
            <w:r>
              <w:rPr>
                <w:rFonts w:ascii="Verdana" w:cs="Verdana" w:eastAsia="Verdana" w:hAnsi="Verdana"/>
                <w:sz w:val="14"/>
                <w:szCs w:val="14"/>
                <w:color w:val="auto"/>
              </w:rPr>
              <w:t>(34)</w:t>
            </w:r>
          </w:p>
        </w:tc>
        <w:tc>
          <w:tcPr>
            <w:tcW w:w="1020" w:type="dxa"/>
            <w:vAlign w:val="bottom"/>
          </w:tcPr>
          <w:p>
            <w:pPr>
              <w:jc w:val="right"/>
              <w:ind w:right="52"/>
              <w:spacing w:after="0"/>
              <w:rPr>
                <w:sz w:val="20"/>
                <w:szCs w:val="20"/>
                <w:color w:val="auto"/>
              </w:rPr>
            </w:pPr>
            <w:r>
              <w:rPr>
                <w:rFonts w:ascii="Verdana" w:cs="Verdana" w:eastAsia="Verdana" w:hAnsi="Verdana"/>
                <w:sz w:val="14"/>
                <w:szCs w:val="14"/>
                <w:color w:val="auto"/>
              </w:rPr>
              <w:t>3,110,797</w:t>
            </w:r>
          </w:p>
        </w:tc>
        <w:tc>
          <w:tcPr>
            <w:tcW w:w="900" w:type="dxa"/>
            <w:vAlign w:val="bottom"/>
          </w:tcPr>
          <w:p>
            <w:pPr>
              <w:jc w:val="right"/>
              <w:ind w:right="72"/>
              <w:spacing w:after="0"/>
              <w:rPr>
                <w:sz w:val="20"/>
                <w:szCs w:val="20"/>
                <w:color w:val="auto"/>
              </w:rPr>
            </w:pPr>
            <w:r>
              <w:rPr>
                <w:rFonts w:ascii="Verdana" w:cs="Verdana" w:eastAsia="Verdana" w:hAnsi="Verdana"/>
                <w:sz w:val="14"/>
                <w:szCs w:val="14"/>
                <w:color w:val="auto"/>
              </w:rPr>
              <w:t>206,294</w:t>
            </w:r>
          </w:p>
        </w:tc>
        <w:tc>
          <w:tcPr>
            <w:tcW w:w="900" w:type="dxa"/>
            <w:vAlign w:val="bottom"/>
            <w:gridSpan w:val="2"/>
          </w:tcPr>
          <w:p>
            <w:pPr>
              <w:jc w:val="right"/>
              <w:spacing w:after="0"/>
              <w:rPr>
                <w:sz w:val="20"/>
                <w:szCs w:val="20"/>
                <w:color w:val="auto"/>
              </w:rPr>
            </w:pPr>
            <w:r>
              <w:rPr>
                <w:rFonts w:ascii="Verdana" w:cs="Verdana" w:eastAsia="Verdana" w:hAnsi="Verdana"/>
                <w:sz w:val="14"/>
                <w:szCs w:val="14"/>
                <w:color w:val="auto"/>
              </w:rPr>
              <w:t>3,317,091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40" w:type="dxa"/>
            <w:vAlign w:val="bottom"/>
          </w:tcPr>
          <w:p>
            <w:pPr>
              <w:spacing w:after="0"/>
              <w:rPr>
                <w:sz w:val="19"/>
                <w:szCs w:val="19"/>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Dividends declared ($0.65 per share)</w:t>
            </w:r>
          </w:p>
        </w:tc>
        <w:tc>
          <w:tcPr>
            <w:tcW w:w="700" w:type="dxa"/>
            <w:vAlign w:val="bottom"/>
          </w:tcPr>
          <w:p>
            <w:pPr>
              <w:jc w:val="right"/>
              <w:ind w:right="52"/>
              <w:spacing w:after="0"/>
              <w:rPr>
                <w:sz w:val="20"/>
                <w:szCs w:val="20"/>
                <w:color w:val="auto"/>
              </w:rPr>
            </w:pPr>
            <w:r>
              <w:rPr>
                <w:rFonts w:ascii="Verdana" w:cs="Verdana" w:eastAsia="Verdana" w:hAnsi="Verdana"/>
                <w:sz w:val="14"/>
                <w:szCs w:val="14"/>
                <w:color w:val="auto"/>
              </w:rPr>
              <w:t>—</w:t>
            </w:r>
          </w:p>
        </w:tc>
        <w:tc>
          <w:tcPr>
            <w:tcW w:w="600" w:type="dxa"/>
            <w:vAlign w:val="bottom"/>
          </w:tcPr>
          <w:p>
            <w:pPr>
              <w:jc w:val="right"/>
              <w:ind w:right="11"/>
              <w:spacing w:after="0"/>
              <w:rPr>
                <w:sz w:val="20"/>
                <w:szCs w:val="20"/>
                <w:color w:val="auto"/>
              </w:rPr>
            </w:pPr>
            <w:r>
              <w:rPr>
                <w:rFonts w:ascii="Verdana" w:cs="Verdana" w:eastAsia="Verdana" w:hAnsi="Verdana"/>
                <w:sz w:val="14"/>
                <w:szCs w:val="14"/>
                <w:color w:val="auto"/>
              </w:rPr>
              <w:t>—</w:t>
            </w:r>
          </w:p>
        </w:tc>
        <w:tc>
          <w:tcPr>
            <w:tcW w:w="1000" w:type="dxa"/>
            <w:vAlign w:val="bottom"/>
          </w:tcPr>
          <w:p>
            <w:pPr>
              <w:jc w:val="right"/>
              <w:ind w:right="72"/>
              <w:spacing w:after="0"/>
              <w:rPr>
                <w:sz w:val="20"/>
                <w:szCs w:val="20"/>
                <w:color w:val="auto"/>
              </w:rPr>
            </w:pPr>
            <w:r>
              <w:rPr>
                <w:rFonts w:ascii="Verdana" w:cs="Verdana" w:eastAsia="Verdana" w:hAnsi="Verdana"/>
                <w:sz w:val="14"/>
                <w:szCs w:val="14"/>
                <w:color w:val="auto"/>
              </w:rPr>
              <w:t>—</w:t>
            </w:r>
          </w:p>
        </w:tc>
        <w:tc>
          <w:tcPr>
            <w:tcW w:w="1040" w:type="dxa"/>
            <w:vAlign w:val="bottom"/>
          </w:tcPr>
          <w:p>
            <w:pPr>
              <w:jc w:val="right"/>
              <w:ind w:right="32"/>
              <w:spacing w:after="0"/>
              <w:rPr>
                <w:sz w:val="20"/>
                <w:szCs w:val="20"/>
                <w:color w:val="auto"/>
              </w:rPr>
            </w:pPr>
            <w:r>
              <w:rPr>
                <w:rFonts w:ascii="Verdana" w:cs="Verdana" w:eastAsia="Verdana" w:hAnsi="Verdana"/>
                <w:sz w:val="14"/>
                <w:szCs w:val="14"/>
                <w:color w:val="auto"/>
              </w:rPr>
              <w:t>(77,175)</w:t>
            </w:r>
          </w:p>
        </w:tc>
        <w:tc>
          <w:tcPr>
            <w:tcW w:w="640" w:type="dxa"/>
            <w:vAlign w:val="bottom"/>
          </w:tcPr>
          <w:p>
            <w:pPr>
              <w:jc w:val="right"/>
              <w:ind w:right="72"/>
              <w:spacing w:after="0"/>
              <w:rPr>
                <w:sz w:val="20"/>
                <w:szCs w:val="20"/>
                <w:color w:val="auto"/>
              </w:rPr>
            </w:pPr>
            <w:r>
              <w:rPr>
                <w:rFonts w:ascii="Verdana" w:cs="Verdana" w:eastAsia="Verdana" w:hAnsi="Verdana"/>
                <w:sz w:val="14"/>
                <w:szCs w:val="14"/>
                <w:color w:val="auto"/>
              </w:rPr>
              <w:t>—</w:t>
            </w:r>
          </w:p>
        </w:tc>
        <w:tc>
          <w:tcPr>
            <w:tcW w:w="700" w:type="dxa"/>
            <w:vAlign w:val="bottom"/>
          </w:tcPr>
          <w:p>
            <w:pPr>
              <w:jc w:val="right"/>
              <w:ind w:right="11"/>
              <w:spacing w:after="0"/>
              <w:rPr>
                <w:sz w:val="20"/>
                <w:szCs w:val="20"/>
                <w:color w:val="auto"/>
              </w:rPr>
            </w:pPr>
            <w:r>
              <w:rPr>
                <w:rFonts w:ascii="Verdana" w:cs="Verdana" w:eastAsia="Verdana" w:hAnsi="Verdana"/>
                <w:sz w:val="14"/>
                <w:szCs w:val="14"/>
                <w:color w:val="auto"/>
              </w:rPr>
              <w:t>—</w:t>
            </w:r>
          </w:p>
        </w:tc>
        <w:tc>
          <w:tcPr>
            <w:tcW w:w="1020" w:type="dxa"/>
            <w:vAlign w:val="bottom"/>
          </w:tcPr>
          <w:p>
            <w:pPr>
              <w:jc w:val="right"/>
              <w:spacing w:after="0"/>
              <w:rPr>
                <w:sz w:val="20"/>
                <w:szCs w:val="20"/>
                <w:color w:val="auto"/>
              </w:rPr>
            </w:pPr>
            <w:r>
              <w:rPr>
                <w:rFonts w:ascii="Verdana" w:cs="Verdana" w:eastAsia="Verdana" w:hAnsi="Verdana"/>
                <w:sz w:val="14"/>
                <w:szCs w:val="14"/>
                <w:color w:val="auto"/>
              </w:rPr>
              <w:t>(77,175)</w:t>
            </w:r>
          </w:p>
        </w:tc>
        <w:tc>
          <w:tcPr>
            <w:tcW w:w="900" w:type="dxa"/>
            <w:vAlign w:val="bottom"/>
          </w:tcPr>
          <w:p>
            <w:pPr>
              <w:jc w:val="right"/>
              <w:ind w:right="72"/>
              <w:spacing w:after="0"/>
              <w:rPr>
                <w:sz w:val="20"/>
                <w:szCs w:val="20"/>
                <w:color w:val="auto"/>
              </w:rPr>
            </w:pPr>
            <w:r>
              <w:rPr>
                <w:rFonts w:ascii="Verdana" w:cs="Verdana" w:eastAsia="Verdana" w:hAnsi="Verdana"/>
                <w:sz w:val="14"/>
                <w:szCs w:val="14"/>
                <w:color w:val="auto"/>
              </w:rPr>
              <w:t>—</w:t>
            </w:r>
          </w:p>
        </w:tc>
        <w:tc>
          <w:tcPr>
            <w:tcW w:w="900" w:type="dxa"/>
            <w:vAlign w:val="bottom"/>
            <w:gridSpan w:val="2"/>
          </w:tcPr>
          <w:p>
            <w:pPr>
              <w:jc w:val="right"/>
              <w:spacing w:after="0"/>
              <w:rPr>
                <w:sz w:val="20"/>
                <w:szCs w:val="20"/>
                <w:color w:val="auto"/>
              </w:rPr>
            </w:pPr>
            <w:r>
              <w:rPr>
                <w:rFonts w:ascii="Verdana" w:cs="Verdana" w:eastAsia="Verdana" w:hAnsi="Verdana"/>
                <w:sz w:val="14"/>
                <w:szCs w:val="14"/>
                <w:color w:val="auto"/>
              </w:rPr>
              <w:t>(77,175)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40" w:type="dxa"/>
            <w:vAlign w:val="bottom"/>
          </w:tcPr>
          <w:p>
            <w:pPr>
              <w:spacing w:after="0"/>
              <w:rPr>
                <w:sz w:val="15"/>
                <w:szCs w:val="15"/>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Issuance of stock pursuant to incentive and</w:t>
            </w:r>
          </w:p>
        </w:tc>
        <w:tc>
          <w:tcPr>
            <w:tcW w:w="700" w:type="dxa"/>
            <w:vAlign w:val="bottom"/>
            <w:vMerge w:val="restart"/>
          </w:tcPr>
          <w:p>
            <w:pPr>
              <w:jc w:val="right"/>
              <w:ind w:right="52"/>
              <w:spacing w:after="0"/>
              <w:rPr>
                <w:sz w:val="20"/>
                <w:szCs w:val="20"/>
                <w:color w:val="auto"/>
              </w:rPr>
            </w:pPr>
            <w:r>
              <w:rPr>
                <w:rFonts w:ascii="Verdana" w:cs="Verdana" w:eastAsia="Verdana" w:hAnsi="Verdana"/>
                <w:sz w:val="14"/>
                <w:szCs w:val="14"/>
                <w:color w:val="auto"/>
              </w:rPr>
              <w:t>656</w:t>
            </w:r>
          </w:p>
        </w:tc>
        <w:tc>
          <w:tcPr>
            <w:tcW w:w="600" w:type="dxa"/>
            <w:vAlign w:val="bottom"/>
            <w:vMerge w:val="restart"/>
          </w:tcPr>
          <w:p>
            <w:pPr>
              <w:jc w:val="right"/>
              <w:ind w:right="11"/>
              <w:spacing w:after="0"/>
              <w:rPr>
                <w:sz w:val="20"/>
                <w:szCs w:val="20"/>
                <w:color w:val="auto"/>
              </w:rPr>
            </w:pPr>
            <w:r>
              <w:rPr>
                <w:rFonts w:ascii="Verdana" w:cs="Verdana" w:eastAsia="Verdana" w:hAnsi="Verdana"/>
                <w:sz w:val="14"/>
                <w:szCs w:val="14"/>
                <w:color w:val="auto"/>
              </w:rPr>
              <w:t>6</w:t>
            </w:r>
          </w:p>
        </w:tc>
        <w:tc>
          <w:tcPr>
            <w:tcW w:w="1000" w:type="dxa"/>
            <w:vAlign w:val="bottom"/>
            <w:vMerge w:val="restart"/>
          </w:tcPr>
          <w:p>
            <w:pPr>
              <w:jc w:val="right"/>
              <w:ind w:right="12"/>
              <w:spacing w:after="0"/>
              <w:rPr>
                <w:sz w:val="20"/>
                <w:szCs w:val="20"/>
                <w:color w:val="auto"/>
              </w:rPr>
            </w:pPr>
            <w:r>
              <w:rPr>
                <w:rFonts w:ascii="Verdana" w:cs="Verdana" w:eastAsia="Verdana" w:hAnsi="Verdana"/>
                <w:sz w:val="14"/>
                <w:szCs w:val="14"/>
                <w:color w:val="auto"/>
              </w:rPr>
              <w:t>(15,511)</w:t>
            </w:r>
          </w:p>
        </w:tc>
        <w:tc>
          <w:tcPr>
            <w:tcW w:w="1040" w:type="dxa"/>
            <w:vAlign w:val="bottom"/>
            <w:vMerge w:val="restart"/>
          </w:tcPr>
          <w:p>
            <w:pPr>
              <w:jc w:val="right"/>
              <w:ind w:right="92"/>
              <w:spacing w:after="0"/>
              <w:rPr>
                <w:sz w:val="20"/>
                <w:szCs w:val="20"/>
                <w:color w:val="auto"/>
              </w:rPr>
            </w:pPr>
            <w:r>
              <w:rPr>
                <w:rFonts w:ascii="Verdana" w:cs="Verdana" w:eastAsia="Verdana" w:hAnsi="Verdana"/>
                <w:sz w:val="14"/>
                <w:szCs w:val="14"/>
                <w:color w:val="auto"/>
              </w:rPr>
              <w:t>—</w:t>
            </w:r>
          </w:p>
        </w:tc>
        <w:tc>
          <w:tcPr>
            <w:tcW w:w="640" w:type="dxa"/>
            <w:vAlign w:val="bottom"/>
            <w:vMerge w:val="restart"/>
          </w:tcPr>
          <w:p>
            <w:pPr>
              <w:jc w:val="right"/>
              <w:ind w:right="72"/>
              <w:spacing w:after="0"/>
              <w:rPr>
                <w:sz w:val="20"/>
                <w:szCs w:val="20"/>
                <w:color w:val="auto"/>
              </w:rPr>
            </w:pPr>
            <w:r>
              <w:rPr>
                <w:rFonts w:ascii="Verdana" w:cs="Verdana" w:eastAsia="Verdana" w:hAnsi="Verdana"/>
                <w:sz w:val="14"/>
                <w:szCs w:val="14"/>
                <w:color w:val="auto"/>
              </w:rPr>
              <w:t>146</w:t>
            </w:r>
          </w:p>
        </w:tc>
        <w:tc>
          <w:tcPr>
            <w:tcW w:w="700" w:type="dxa"/>
            <w:vAlign w:val="bottom"/>
            <w:vMerge w:val="restart"/>
          </w:tcPr>
          <w:p>
            <w:pPr>
              <w:jc w:val="right"/>
              <w:spacing w:after="0"/>
              <w:rPr>
                <w:sz w:val="20"/>
                <w:szCs w:val="20"/>
                <w:color w:val="auto"/>
              </w:rPr>
            </w:pPr>
            <w:r>
              <w:rPr>
                <w:rFonts w:ascii="Verdana" w:cs="Verdana" w:eastAsia="Verdana" w:hAnsi="Verdana"/>
                <w:sz w:val="14"/>
                <w:szCs w:val="14"/>
                <w:color w:val="auto"/>
              </w:rPr>
              <w:t>(5,087)</w:t>
            </w:r>
          </w:p>
        </w:tc>
        <w:tc>
          <w:tcPr>
            <w:tcW w:w="1020" w:type="dxa"/>
            <w:vAlign w:val="bottom"/>
            <w:vMerge w:val="restart"/>
          </w:tcPr>
          <w:p>
            <w:pPr>
              <w:jc w:val="right"/>
              <w:spacing w:after="0"/>
              <w:rPr>
                <w:sz w:val="20"/>
                <w:szCs w:val="20"/>
                <w:color w:val="auto"/>
              </w:rPr>
            </w:pPr>
            <w:r>
              <w:rPr>
                <w:rFonts w:ascii="Verdana" w:cs="Verdana" w:eastAsia="Verdana" w:hAnsi="Verdana"/>
                <w:sz w:val="14"/>
                <w:szCs w:val="14"/>
                <w:color w:val="auto"/>
              </w:rPr>
              <w:t>(20,592)</w:t>
            </w:r>
          </w:p>
        </w:tc>
        <w:tc>
          <w:tcPr>
            <w:tcW w:w="900" w:type="dxa"/>
            <w:vAlign w:val="bottom"/>
            <w:vMerge w:val="restart"/>
          </w:tcPr>
          <w:p>
            <w:pPr>
              <w:jc w:val="right"/>
              <w:ind w:right="72"/>
              <w:spacing w:after="0"/>
              <w:rPr>
                <w:sz w:val="20"/>
                <w:szCs w:val="20"/>
                <w:color w:val="auto"/>
              </w:rPr>
            </w:pPr>
            <w:r>
              <w:rPr>
                <w:rFonts w:ascii="Verdana" w:cs="Verdana" w:eastAsia="Verdana" w:hAnsi="Verdana"/>
                <w:sz w:val="14"/>
                <w:szCs w:val="14"/>
                <w:color w:val="auto"/>
              </w:rPr>
              <w:t>—</w:t>
            </w:r>
          </w:p>
        </w:tc>
        <w:tc>
          <w:tcPr>
            <w:tcW w:w="900" w:type="dxa"/>
            <w:vAlign w:val="bottom"/>
            <w:gridSpan w:val="2"/>
            <w:vMerge w:val="restart"/>
          </w:tcPr>
          <w:p>
            <w:pPr>
              <w:jc w:val="right"/>
              <w:spacing w:after="0"/>
              <w:rPr>
                <w:sz w:val="20"/>
                <w:szCs w:val="20"/>
                <w:color w:val="auto"/>
              </w:rPr>
            </w:pPr>
            <w:r>
              <w:rPr>
                <w:rFonts w:ascii="Verdana" w:cs="Verdana" w:eastAsia="Verdana" w:hAnsi="Verdana"/>
                <w:sz w:val="14"/>
                <w:szCs w:val="14"/>
                <w:color w:val="auto"/>
              </w:rPr>
              <w:t>(20,592)</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purchase plans, net of shares withheld for taxes</w:t>
            </w: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40" w:type="dxa"/>
            <w:vAlign w:val="bottom"/>
          </w:tcPr>
          <w:p>
            <w:pPr>
              <w:spacing w:after="0"/>
              <w:rPr>
                <w:sz w:val="15"/>
                <w:szCs w:val="15"/>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Stock-based compensation expense related to</w:t>
            </w: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3080" w:type="dxa"/>
            <w:vAlign w:val="bottom"/>
          </w:tcPr>
          <w:p>
            <w:pPr>
              <w:ind w:left="60"/>
              <w:spacing w:after="0" w:line="142" w:lineRule="exact"/>
              <w:rPr>
                <w:sz w:val="20"/>
                <w:szCs w:val="20"/>
                <w:color w:val="auto"/>
              </w:rPr>
            </w:pPr>
            <w:r>
              <w:rPr>
                <w:rFonts w:ascii="Verdana" w:cs="Verdana" w:eastAsia="Verdana" w:hAnsi="Verdana"/>
                <w:sz w:val="12"/>
                <w:szCs w:val="12"/>
                <w:color w:val="auto"/>
              </w:rPr>
              <w:t>equity-based awards including amounts</w:t>
            </w:r>
          </w:p>
        </w:tc>
        <w:tc>
          <w:tcPr>
            <w:tcW w:w="700" w:type="dxa"/>
            <w:vAlign w:val="bottom"/>
            <w:vMerge w:val="restart"/>
          </w:tcPr>
          <w:p>
            <w:pPr>
              <w:jc w:val="right"/>
              <w:ind w:right="52"/>
              <w:spacing w:after="0"/>
              <w:rPr>
                <w:sz w:val="20"/>
                <w:szCs w:val="20"/>
                <w:color w:val="auto"/>
              </w:rPr>
            </w:pPr>
            <w:r>
              <w:rPr>
                <w:rFonts w:ascii="Verdana" w:cs="Verdana" w:eastAsia="Verdana" w:hAnsi="Verdana"/>
                <w:sz w:val="14"/>
                <w:szCs w:val="14"/>
                <w:color w:val="auto"/>
              </w:rPr>
              <w:t>—</w:t>
            </w:r>
          </w:p>
        </w:tc>
        <w:tc>
          <w:tcPr>
            <w:tcW w:w="600" w:type="dxa"/>
            <w:vAlign w:val="bottom"/>
            <w:vMerge w:val="restart"/>
          </w:tcPr>
          <w:p>
            <w:pPr>
              <w:jc w:val="right"/>
              <w:ind w:right="11"/>
              <w:spacing w:after="0"/>
              <w:rPr>
                <w:sz w:val="20"/>
                <w:szCs w:val="20"/>
                <w:color w:val="auto"/>
              </w:rPr>
            </w:pPr>
            <w:r>
              <w:rPr>
                <w:rFonts w:ascii="Verdana" w:cs="Verdana" w:eastAsia="Verdana" w:hAnsi="Verdana"/>
                <w:sz w:val="14"/>
                <w:szCs w:val="14"/>
                <w:color w:val="auto"/>
              </w:rPr>
              <w:t>—</w:t>
            </w:r>
          </w:p>
        </w:tc>
        <w:tc>
          <w:tcPr>
            <w:tcW w:w="1000" w:type="dxa"/>
            <w:vAlign w:val="bottom"/>
            <w:vMerge w:val="restart"/>
          </w:tcPr>
          <w:p>
            <w:pPr>
              <w:jc w:val="right"/>
              <w:ind w:right="72"/>
              <w:spacing w:after="0"/>
              <w:rPr>
                <w:sz w:val="20"/>
                <w:szCs w:val="20"/>
                <w:color w:val="auto"/>
              </w:rPr>
            </w:pPr>
            <w:r>
              <w:rPr>
                <w:rFonts w:ascii="Verdana" w:cs="Verdana" w:eastAsia="Verdana" w:hAnsi="Verdana"/>
                <w:sz w:val="14"/>
                <w:szCs w:val="14"/>
                <w:color w:val="auto"/>
              </w:rPr>
              <w:t>21,580</w:t>
            </w:r>
          </w:p>
        </w:tc>
        <w:tc>
          <w:tcPr>
            <w:tcW w:w="1040" w:type="dxa"/>
            <w:vAlign w:val="bottom"/>
            <w:vMerge w:val="restart"/>
          </w:tcPr>
          <w:p>
            <w:pPr>
              <w:jc w:val="right"/>
              <w:ind w:right="92"/>
              <w:spacing w:after="0"/>
              <w:rPr>
                <w:sz w:val="20"/>
                <w:szCs w:val="20"/>
                <w:color w:val="auto"/>
              </w:rPr>
            </w:pPr>
            <w:r>
              <w:rPr>
                <w:rFonts w:ascii="Verdana" w:cs="Verdana" w:eastAsia="Verdana" w:hAnsi="Verdana"/>
                <w:sz w:val="14"/>
                <w:szCs w:val="14"/>
                <w:color w:val="auto"/>
              </w:rPr>
              <w:t>—</w:t>
            </w:r>
          </w:p>
        </w:tc>
        <w:tc>
          <w:tcPr>
            <w:tcW w:w="640" w:type="dxa"/>
            <w:vAlign w:val="bottom"/>
            <w:vMerge w:val="restart"/>
          </w:tcPr>
          <w:p>
            <w:pPr>
              <w:jc w:val="right"/>
              <w:ind w:right="72"/>
              <w:spacing w:after="0"/>
              <w:rPr>
                <w:sz w:val="20"/>
                <w:szCs w:val="20"/>
                <w:color w:val="auto"/>
              </w:rPr>
            </w:pPr>
            <w:r>
              <w:rPr>
                <w:rFonts w:ascii="Verdana" w:cs="Verdana" w:eastAsia="Verdana" w:hAnsi="Verdana"/>
                <w:sz w:val="14"/>
                <w:szCs w:val="14"/>
                <w:color w:val="auto"/>
              </w:rPr>
              <w:t>—</w:t>
            </w:r>
          </w:p>
        </w:tc>
        <w:tc>
          <w:tcPr>
            <w:tcW w:w="700" w:type="dxa"/>
            <w:vAlign w:val="bottom"/>
            <w:vMerge w:val="restart"/>
          </w:tcPr>
          <w:p>
            <w:pPr>
              <w:jc w:val="right"/>
              <w:ind w:right="11"/>
              <w:spacing w:after="0"/>
              <w:rPr>
                <w:sz w:val="20"/>
                <w:szCs w:val="20"/>
                <w:color w:val="auto"/>
              </w:rPr>
            </w:pPr>
            <w:r>
              <w:rPr>
                <w:rFonts w:ascii="Verdana" w:cs="Verdana" w:eastAsia="Verdana" w:hAnsi="Verdana"/>
                <w:sz w:val="14"/>
                <w:szCs w:val="14"/>
                <w:color w:val="auto"/>
              </w:rPr>
              <w:t>—</w:t>
            </w:r>
          </w:p>
        </w:tc>
        <w:tc>
          <w:tcPr>
            <w:tcW w:w="1020" w:type="dxa"/>
            <w:vAlign w:val="bottom"/>
            <w:vMerge w:val="restart"/>
          </w:tcPr>
          <w:p>
            <w:pPr>
              <w:jc w:val="right"/>
              <w:ind w:right="52"/>
              <w:spacing w:after="0"/>
              <w:rPr>
                <w:sz w:val="20"/>
                <w:szCs w:val="20"/>
                <w:color w:val="auto"/>
              </w:rPr>
            </w:pPr>
            <w:r>
              <w:rPr>
                <w:rFonts w:ascii="Verdana" w:cs="Verdana" w:eastAsia="Verdana" w:hAnsi="Verdana"/>
                <w:sz w:val="14"/>
                <w:szCs w:val="14"/>
                <w:color w:val="auto"/>
              </w:rPr>
              <w:t>21,580</w:t>
            </w:r>
          </w:p>
        </w:tc>
        <w:tc>
          <w:tcPr>
            <w:tcW w:w="900" w:type="dxa"/>
            <w:vAlign w:val="bottom"/>
            <w:vMerge w:val="restart"/>
          </w:tcPr>
          <w:p>
            <w:pPr>
              <w:jc w:val="right"/>
              <w:ind w:right="72"/>
              <w:spacing w:after="0"/>
              <w:rPr>
                <w:sz w:val="20"/>
                <w:szCs w:val="20"/>
                <w:color w:val="auto"/>
              </w:rPr>
            </w:pPr>
            <w:r>
              <w:rPr>
                <w:rFonts w:ascii="Verdana" w:cs="Verdana" w:eastAsia="Verdana" w:hAnsi="Verdana"/>
                <w:sz w:val="14"/>
                <w:szCs w:val="14"/>
                <w:color w:val="auto"/>
              </w:rPr>
              <w:t>—</w:t>
            </w:r>
          </w:p>
        </w:tc>
        <w:tc>
          <w:tcPr>
            <w:tcW w:w="900" w:type="dxa"/>
            <w:vAlign w:val="bottom"/>
            <w:gridSpan w:val="2"/>
            <w:vMerge w:val="restart"/>
          </w:tcPr>
          <w:p>
            <w:pPr>
              <w:jc w:val="right"/>
              <w:spacing w:after="0"/>
              <w:rPr>
                <w:sz w:val="20"/>
                <w:szCs w:val="20"/>
                <w:color w:val="auto"/>
              </w:rPr>
            </w:pPr>
            <w:r>
              <w:rPr>
                <w:rFonts w:ascii="Verdana" w:cs="Verdana" w:eastAsia="Verdana" w:hAnsi="Verdana"/>
                <w:sz w:val="14"/>
                <w:szCs w:val="14"/>
                <w:color w:val="auto"/>
              </w:rPr>
              <w:t>21,580</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40" w:type="dxa"/>
            <w:vAlign w:val="bottom"/>
          </w:tcPr>
          <w:p>
            <w:pPr>
              <w:spacing w:after="0"/>
              <w:rPr>
                <w:sz w:val="13"/>
                <w:szCs w:val="13"/>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capitalized</w:t>
            </w:r>
          </w:p>
        </w:tc>
        <w:tc>
          <w:tcPr>
            <w:tcW w:w="70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40" w:type="dxa"/>
            <w:vAlign w:val="bottom"/>
          </w:tcPr>
          <w:p>
            <w:pPr>
              <w:spacing w:after="0"/>
              <w:rPr>
                <w:sz w:val="15"/>
                <w:szCs w:val="15"/>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Contribution related to formation of San Mateo,</w:t>
            </w:r>
          </w:p>
        </w:tc>
        <w:tc>
          <w:tcPr>
            <w:tcW w:w="700" w:type="dxa"/>
            <w:vAlign w:val="bottom"/>
            <w:vMerge w:val="restart"/>
          </w:tcPr>
          <w:p>
            <w:pPr>
              <w:jc w:val="right"/>
              <w:ind w:right="52"/>
              <w:spacing w:after="0"/>
              <w:rPr>
                <w:sz w:val="20"/>
                <w:szCs w:val="20"/>
                <w:color w:val="auto"/>
              </w:rPr>
            </w:pPr>
            <w:r>
              <w:rPr>
                <w:rFonts w:ascii="Verdana" w:cs="Verdana" w:eastAsia="Verdana" w:hAnsi="Verdana"/>
                <w:sz w:val="14"/>
                <w:szCs w:val="14"/>
                <w:color w:val="auto"/>
              </w:rPr>
              <w:t>—</w:t>
            </w:r>
          </w:p>
        </w:tc>
        <w:tc>
          <w:tcPr>
            <w:tcW w:w="600" w:type="dxa"/>
            <w:vAlign w:val="bottom"/>
            <w:vMerge w:val="restart"/>
          </w:tcPr>
          <w:p>
            <w:pPr>
              <w:jc w:val="right"/>
              <w:ind w:right="11"/>
              <w:spacing w:after="0"/>
              <w:rPr>
                <w:sz w:val="20"/>
                <w:szCs w:val="20"/>
                <w:color w:val="auto"/>
              </w:rPr>
            </w:pPr>
            <w:r>
              <w:rPr>
                <w:rFonts w:ascii="Verdana" w:cs="Verdana" w:eastAsia="Verdana" w:hAnsi="Verdana"/>
                <w:sz w:val="14"/>
                <w:szCs w:val="14"/>
                <w:color w:val="auto"/>
              </w:rPr>
              <w:t>—</w:t>
            </w:r>
          </w:p>
        </w:tc>
        <w:tc>
          <w:tcPr>
            <w:tcW w:w="1000" w:type="dxa"/>
            <w:vAlign w:val="bottom"/>
            <w:vMerge w:val="restart"/>
          </w:tcPr>
          <w:p>
            <w:pPr>
              <w:jc w:val="right"/>
              <w:ind w:right="72"/>
              <w:spacing w:after="0"/>
              <w:rPr>
                <w:sz w:val="20"/>
                <w:szCs w:val="20"/>
                <w:color w:val="auto"/>
              </w:rPr>
            </w:pPr>
            <w:r>
              <w:rPr>
                <w:rFonts w:ascii="Verdana" w:cs="Verdana" w:eastAsia="Verdana" w:hAnsi="Verdana"/>
                <w:sz w:val="14"/>
                <w:szCs w:val="14"/>
                <w:color w:val="auto"/>
              </w:rPr>
              <w:t>30,178</w:t>
            </w:r>
          </w:p>
        </w:tc>
        <w:tc>
          <w:tcPr>
            <w:tcW w:w="1040" w:type="dxa"/>
            <w:vAlign w:val="bottom"/>
            <w:vMerge w:val="restart"/>
          </w:tcPr>
          <w:p>
            <w:pPr>
              <w:jc w:val="right"/>
              <w:ind w:right="92"/>
              <w:spacing w:after="0"/>
              <w:rPr>
                <w:sz w:val="20"/>
                <w:szCs w:val="20"/>
                <w:color w:val="auto"/>
              </w:rPr>
            </w:pPr>
            <w:r>
              <w:rPr>
                <w:rFonts w:ascii="Verdana" w:cs="Verdana" w:eastAsia="Verdana" w:hAnsi="Verdana"/>
                <w:sz w:val="14"/>
                <w:szCs w:val="14"/>
                <w:color w:val="auto"/>
              </w:rPr>
              <w:t>—</w:t>
            </w:r>
          </w:p>
        </w:tc>
        <w:tc>
          <w:tcPr>
            <w:tcW w:w="640" w:type="dxa"/>
            <w:vAlign w:val="bottom"/>
            <w:vMerge w:val="restart"/>
          </w:tcPr>
          <w:p>
            <w:pPr>
              <w:jc w:val="right"/>
              <w:ind w:right="72"/>
              <w:spacing w:after="0"/>
              <w:rPr>
                <w:sz w:val="20"/>
                <w:szCs w:val="20"/>
                <w:color w:val="auto"/>
              </w:rPr>
            </w:pPr>
            <w:r>
              <w:rPr>
                <w:rFonts w:ascii="Verdana" w:cs="Verdana" w:eastAsia="Verdana" w:hAnsi="Verdana"/>
                <w:sz w:val="14"/>
                <w:szCs w:val="14"/>
                <w:color w:val="auto"/>
              </w:rPr>
              <w:t>—</w:t>
            </w:r>
          </w:p>
        </w:tc>
        <w:tc>
          <w:tcPr>
            <w:tcW w:w="700" w:type="dxa"/>
            <w:vAlign w:val="bottom"/>
            <w:vMerge w:val="restart"/>
          </w:tcPr>
          <w:p>
            <w:pPr>
              <w:jc w:val="right"/>
              <w:ind w:right="11"/>
              <w:spacing w:after="0"/>
              <w:rPr>
                <w:sz w:val="20"/>
                <w:szCs w:val="20"/>
                <w:color w:val="auto"/>
              </w:rPr>
            </w:pPr>
            <w:r>
              <w:rPr>
                <w:rFonts w:ascii="Verdana" w:cs="Verdana" w:eastAsia="Verdana" w:hAnsi="Verdana"/>
                <w:sz w:val="14"/>
                <w:szCs w:val="14"/>
                <w:color w:val="auto"/>
              </w:rPr>
              <w:t>—</w:t>
            </w:r>
          </w:p>
        </w:tc>
        <w:tc>
          <w:tcPr>
            <w:tcW w:w="1020" w:type="dxa"/>
            <w:vAlign w:val="bottom"/>
            <w:vMerge w:val="restart"/>
          </w:tcPr>
          <w:p>
            <w:pPr>
              <w:jc w:val="right"/>
              <w:ind w:right="52"/>
              <w:spacing w:after="0"/>
              <w:rPr>
                <w:sz w:val="20"/>
                <w:szCs w:val="20"/>
                <w:color w:val="auto"/>
              </w:rPr>
            </w:pPr>
            <w:r>
              <w:rPr>
                <w:rFonts w:ascii="Verdana" w:cs="Verdana" w:eastAsia="Verdana" w:hAnsi="Verdana"/>
                <w:sz w:val="14"/>
                <w:szCs w:val="14"/>
                <w:color w:val="auto"/>
              </w:rPr>
              <w:t>30,178</w:t>
            </w:r>
          </w:p>
        </w:tc>
        <w:tc>
          <w:tcPr>
            <w:tcW w:w="900" w:type="dxa"/>
            <w:vAlign w:val="bottom"/>
            <w:vMerge w:val="restart"/>
          </w:tcPr>
          <w:p>
            <w:pPr>
              <w:jc w:val="right"/>
              <w:ind w:right="72"/>
              <w:spacing w:after="0"/>
              <w:rPr>
                <w:sz w:val="20"/>
                <w:szCs w:val="20"/>
                <w:color w:val="auto"/>
              </w:rPr>
            </w:pPr>
            <w:r>
              <w:rPr>
                <w:rFonts w:ascii="Verdana" w:cs="Verdana" w:eastAsia="Verdana" w:hAnsi="Verdana"/>
                <w:sz w:val="14"/>
                <w:szCs w:val="14"/>
                <w:color w:val="auto"/>
              </w:rPr>
              <w:t>—</w:t>
            </w:r>
          </w:p>
        </w:tc>
        <w:tc>
          <w:tcPr>
            <w:tcW w:w="900" w:type="dxa"/>
            <w:vAlign w:val="bottom"/>
            <w:gridSpan w:val="2"/>
            <w:vMerge w:val="restart"/>
          </w:tcPr>
          <w:p>
            <w:pPr>
              <w:jc w:val="right"/>
              <w:spacing w:after="0"/>
              <w:rPr>
                <w:sz w:val="20"/>
                <w:szCs w:val="20"/>
                <w:color w:val="auto"/>
              </w:rPr>
            </w:pPr>
            <w:r>
              <w:rPr>
                <w:rFonts w:ascii="Verdana" w:cs="Verdana" w:eastAsia="Verdana" w:hAnsi="Verdana"/>
                <w:sz w:val="14"/>
                <w:szCs w:val="14"/>
                <w:color w:val="auto"/>
              </w:rPr>
              <w:t>30,178</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net of tax of $8.0 million (See Note 11)</w:t>
            </w: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40" w:type="dxa"/>
            <w:vAlign w:val="bottom"/>
          </w:tcPr>
          <w:p>
            <w:pPr>
              <w:spacing w:after="0"/>
              <w:rPr>
                <w:sz w:val="15"/>
                <w:szCs w:val="15"/>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Contributions from non-controlling interest</w:t>
            </w:r>
          </w:p>
        </w:tc>
        <w:tc>
          <w:tcPr>
            <w:tcW w:w="700" w:type="dxa"/>
            <w:vAlign w:val="bottom"/>
            <w:vMerge w:val="restart"/>
          </w:tcPr>
          <w:p>
            <w:pPr>
              <w:jc w:val="right"/>
              <w:ind w:right="52"/>
              <w:spacing w:after="0"/>
              <w:rPr>
                <w:sz w:val="20"/>
                <w:szCs w:val="20"/>
                <w:color w:val="auto"/>
              </w:rPr>
            </w:pPr>
            <w:r>
              <w:rPr>
                <w:rFonts w:ascii="Verdana" w:cs="Verdana" w:eastAsia="Verdana" w:hAnsi="Verdana"/>
                <w:sz w:val="14"/>
                <w:szCs w:val="14"/>
                <w:color w:val="auto"/>
              </w:rPr>
              <w:t>—</w:t>
            </w:r>
          </w:p>
        </w:tc>
        <w:tc>
          <w:tcPr>
            <w:tcW w:w="600" w:type="dxa"/>
            <w:vAlign w:val="bottom"/>
            <w:vMerge w:val="restart"/>
          </w:tcPr>
          <w:p>
            <w:pPr>
              <w:jc w:val="right"/>
              <w:ind w:right="11"/>
              <w:spacing w:after="0"/>
              <w:rPr>
                <w:sz w:val="20"/>
                <w:szCs w:val="20"/>
                <w:color w:val="auto"/>
              </w:rPr>
            </w:pPr>
            <w:r>
              <w:rPr>
                <w:rFonts w:ascii="Verdana" w:cs="Verdana" w:eastAsia="Verdana" w:hAnsi="Verdana"/>
                <w:sz w:val="14"/>
                <w:szCs w:val="14"/>
                <w:color w:val="auto"/>
              </w:rPr>
              <w:t>—</w:t>
            </w:r>
          </w:p>
        </w:tc>
        <w:tc>
          <w:tcPr>
            <w:tcW w:w="1000" w:type="dxa"/>
            <w:vAlign w:val="bottom"/>
            <w:vMerge w:val="restart"/>
          </w:tcPr>
          <w:p>
            <w:pPr>
              <w:jc w:val="right"/>
              <w:ind w:right="72"/>
              <w:spacing w:after="0"/>
              <w:rPr>
                <w:sz w:val="20"/>
                <w:szCs w:val="20"/>
                <w:color w:val="auto"/>
              </w:rPr>
            </w:pPr>
            <w:r>
              <w:rPr>
                <w:rFonts w:ascii="Verdana" w:cs="Verdana" w:eastAsia="Verdana" w:hAnsi="Verdana"/>
                <w:sz w:val="14"/>
                <w:szCs w:val="14"/>
                <w:color w:val="auto"/>
              </w:rPr>
              <w:t>—</w:t>
            </w:r>
          </w:p>
        </w:tc>
        <w:tc>
          <w:tcPr>
            <w:tcW w:w="1040" w:type="dxa"/>
            <w:vAlign w:val="bottom"/>
            <w:vMerge w:val="restart"/>
          </w:tcPr>
          <w:p>
            <w:pPr>
              <w:jc w:val="right"/>
              <w:ind w:right="92"/>
              <w:spacing w:after="0"/>
              <w:rPr>
                <w:sz w:val="20"/>
                <w:szCs w:val="20"/>
                <w:color w:val="auto"/>
              </w:rPr>
            </w:pPr>
            <w:r>
              <w:rPr>
                <w:rFonts w:ascii="Verdana" w:cs="Verdana" w:eastAsia="Verdana" w:hAnsi="Verdana"/>
                <w:sz w:val="14"/>
                <w:szCs w:val="14"/>
                <w:color w:val="auto"/>
              </w:rPr>
              <w:t>—</w:t>
            </w:r>
          </w:p>
        </w:tc>
        <w:tc>
          <w:tcPr>
            <w:tcW w:w="640" w:type="dxa"/>
            <w:vAlign w:val="bottom"/>
            <w:vMerge w:val="restart"/>
          </w:tcPr>
          <w:p>
            <w:pPr>
              <w:jc w:val="right"/>
              <w:ind w:right="72"/>
              <w:spacing w:after="0"/>
              <w:rPr>
                <w:sz w:val="20"/>
                <w:szCs w:val="20"/>
                <w:color w:val="auto"/>
              </w:rPr>
            </w:pPr>
            <w:r>
              <w:rPr>
                <w:rFonts w:ascii="Verdana" w:cs="Verdana" w:eastAsia="Verdana" w:hAnsi="Verdana"/>
                <w:sz w:val="14"/>
                <w:szCs w:val="14"/>
                <w:color w:val="auto"/>
              </w:rPr>
              <w:t>—</w:t>
            </w:r>
          </w:p>
        </w:tc>
        <w:tc>
          <w:tcPr>
            <w:tcW w:w="700" w:type="dxa"/>
            <w:vAlign w:val="bottom"/>
            <w:vMerge w:val="restart"/>
          </w:tcPr>
          <w:p>
            <w:pPr>
              <w:jc w:val="right"/>
              <w:ind w:right="11"/>
              <w:spacing w:after="0"/>
              <w:rPr>
                <w:sz w:val="20"/>
                <w:szCs w:val="20"/>
                <w:color w:val="auto"/>
              </w:rPr>
            </w:pPr>
            <w:r>
              <w:rPr>
                <w:rFonts w:ascii="Verdana" w:cs="Verdana" w:eastAsia="Verdana" w:hAnsi="Verdana"/>
                <w:sz w:val="14"/>
                <w:szCs w:val="14"/>
                <w:color w:val="auto"/>
              </w:rPr>
              <w:t>—</w:t>
            </w:r>
          </w:p>
        </w:tc>
        <w:tc>
          <w:tcPr>
            <w:tcW w:w="1020" w:type="dxa"/>
            <w:vAlign w:val="bottom"/>
            <w:vMerge w:val="restart"/>
          </w:tcPr>
          <w:p>
            <w:pPr>
              <w:jc w:val="right"/>
              <w:ind w:right="52"/>
              <w:spacing w:after="0"/>
              <w:rPr>
                <w:sz w:val="20"/>
                <w:szCs w:val="20"/>
                <w:color w:val="auto"/>
              </w:rPr>
            </w:pPr>
            <w:r>
              <w:rPr>
                <w:rFonts w:ascii="Verdana" w:cs="Verdana" w:eastAsia="Verdana" w:hAnsi="Verdana"/>
                <w:sz w:val="14"/>
                <w:szCs w:val="14"/>
                <w:color w:val="auto"/>
              </w:rPr>
              <w:t>—</w:t>
            </w:r>
          </w:p>
        </w:tc>
        <w:tc>
          <w:tcPr>
            <w:tcW w:w="900" w:type="dxa"/>
            <w:vAlign w:val="bottom"/>
            <w:vMerge w:val="restart"/>
          </w:tcPr>
          <w:p>
            <w:pPr>
              <w:jc w:val="right"/>
              <w:ind w:right="72"/>
              <w:spacing w:after="0"/>
              <w:rPr>
                <w:sz w:val="20"/>
                <w:szCs w:val="20"/>
                <w:color w:val="auto"/>
              </w:rPr>
            </w:pPr>
            <w:r>
              <w:rPr>
                <w:rFonts w:ascii="Verdana" w:cs="Verdana" w:eastAsia="Verdana" w:hAnsi="Verdana"/>
                <w:sz w:val="14"/>
                <w:szCs w:val="14"/>
                <w:color w:val="auto"/>
              </w:rPr>
              <w:t>24,500</w:t>
            </w:r>
          </w:p>
        </w:tc>
        <w:tc>
          <w:tcPr>
            <w:tcW w:w="900" w:type="dxa"/>
            <w:vAlign w:val="bottom"/>
            <w:gridSpan w:val="2"/>
            <w:vMerge w:val="restart"/>
          </w:tcPr>
          <w:p>
            <w:pPr>
              <w:jc w:val="right"/>
              <w:spacing w:after="0"/>
              <w:rPr>
                <w:sz w:val="20"/>
                <w:szCs w:val="20"/>
                <w:color w:val="auto"/>
              </w:rPr>
            </w:pPr>
            <w:r>
              <w:rPr>
                <w:rFonts w:ascii="Verdana" w:cs="Verdana" w:eastAsia="Verdana" w:hAnsi="Verdana"/>
                <w:sz w:val="14"/>
                <w:szCs w:val="14"/>
                <w:color w:val="auto"/>
              </w:rPr>
              <w:t>24,500</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owners of less-than-wholly-owned subsidiaries</w:t>
            </w: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40" w:type="dxa"/>
            <w:vAlign w:val="bottom"/>
          </w:tcPr>
          <w:p>
            <w:pPr>
              <w:spacing w:after="0"/>
              <w:rPr>
                <w:sz w:val="15"/>
                <w:szCs w:val="15"/>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Distributions to non-controlling interest owners</w:t>
            </w:r>
          </w:p>
        </w:tc>
        <w:tc>
          <w:tcPr>
            <w:tcW w:w="700" w:type="dxa"/>
            <w:vAlign w:val="bottom"/>
            <w:vMerge w:val="restart"/>
          </w:tcPr>
          <w:p>
            <w:pPr>
              <w:jc w:val="right"/>
              <w:ind w:right="52"/>
              <w:spacing w:after="0"/>
              <w:rPr>
                <w:sz w:val="20"/>
                <w:szCs w:val="20"/>
                <w:color w:val="auto"/>
              </w:rPr>
            </w:pPr>
            <w:r>
              <w:rPr>
                <w:rFonts w:ascii="Verdana" w:cs="Verdana" w:eastAsia="Verdana" w:hAnsi="Verdana"/>
                <w:sz w:val="14"/>
                <w:szCs w:val="14"/>
                <w:color w:val="auto"/>
              </w:rPr>
              <w:t>—</w:t>
            </w:r>
          </w:p>
        </w:tc>
        <w:tc>
          <w:tcPr>
            <w:tcW w:w="600" w:type="dxa"/>
            <w:vAlign w:val="bottom"/>
            <w:vMerge w:val="restart"/>
          </w:tcPr>
          <w:p>
            <w:pPr>
              <w:jc w:val="right"/>
              <w:ind w:right="11"/>
              <w:spacing w:after="0"/>
              <w:rPr>
                <w:sz w:val="20"/>
                <w:szCs w:val="20"/>
                <w:color w:val="auto"/>
              </w:rPr>
            </w:pPr>
            <w:r>
              <w:rPr>
                <w:rFonts w:ascii="Verdana" w:cs="Verdana" w:eastAsia="Verdana" w:hAnsi="Verdana"/>
                <w:sz w:val="14"/>
                <w:szCs w:val="14"/>
                <w:color w:val="auto"/>
              </w:rPr>
              <w:t>—</w:t>
            </w:r>
          </w:p>
        </w:tc>
        <w:tc>
          <w:tcPr>
            <w:tcW w:w="1000" w:type="dxa"/>
            <w:vAlign w:val="bottom"/>
            <w:vMerge w:val="restart"/>
          </w:tcPr>
          <w:p>
            <w:pPr>
              <w:jc w:val="right"/>
              <w:ind w:right="72"/>
              <w:spacing w:after="0"/>
              <w:rPr>
                <w:sz w:val="20"/>
                <w:szCs w:val="20"/>
                <w:color w:val="auto"/>
              </w:rPr>
            </w:pPr>
            <w:r>
              <w:rPr>
                <w:rFonts w:ascii="Verdana" w:cs="Verdana" w:eastAsia="Verdana" w:hAnsi="Verdana"/>
                <w:sz w:val="14"/>
                <w:szCs w:val="14"/>
                <w:color w:val="auto"/>
              </w:rPr>
              <w:t>—</w:t>
            </w:r>
          </w:p>
        </w:tc>
        <w:tc>
          <w:tcPr>
            <w:tcW w:w="1040" w:type="dxa"/>
            <w:vAlign w:val="bottom"/>
            <w:vMerge w:val="restart"/>
          </w:tcPr>
          <w:p>
            <w:pPr>
              <w:jc w:val="right"/>
              <w:ind w:right="92"/>
              <w:spacing w:after="0"/>
              <w:rPr>
                <w:sz w:val="20"/>
                <w:szCs w:val="20"/>
                <w:color w:val="auto"/>
              </w:rPr>
            </w:pPr>
            <w:r>
              <w:rPr>
                <w:rFonts w:ascii="Verdana" w:cs="Verdana" w:eastAsia="Verdana" w:hAnsi="Verdana"/>
                <w:sz w:val="14"/>
                <w:szCs w:val="14"/>
                <w:color w:val="auto"/>
              </w:rPr>
              <w:t>—</w:t>
            </w:r>
          </w:p>
        </w:tc>
        <w:tc>
          <w:tcPr>
            <w:tcW w:w="640" w:type="dxa"/>
            <w:vAlign w:val="bottom"/>
            <w:vMerge w:val="restart"/>
          </w:tcPr>
          <w:p>
            <w:pPr>
              <w:jc w:val="right"/>
              <w:ind w:right="72"/>
              <w:spacing w:after="0"/>
              <w:rPr>
                <w:sz w:val="20"/>
                <w:szCs w:val="20"/>
                <w:color w:val="auto"/>
              </w:rPr>
            </w:pPr>
            <w:r>
              <w:rPr>
                <w:rFonts w:ascii="Verdana" w:cs="Verdana" w:eastAsia="Verdana" w:hAnsi="Verdana"/>
                <w:sz w:val="14"/>
                <w:szCs w:val="14"/>
                <w:color w:val="auto"/>
              </w:rPr>
              <w:t>—</w:t>
            </w:r>
          </w:p>
        </w:tc>
        <w:tc>
          <w:tcPr>
            <w:tcW w:w="700" w:type="dxa"/>
            <w:vAlign w:val="bottom"/>
            <w:vMerge w:val="restart"/>
          </w:tcPr>
          <w:p>
            <w:pPr>
              <w:jc w:val="right"/>
              <w:ind w:right="11"/>
              <w:spacing w:after="0"/>
              <w:rPr>
                <w:sz w:val="20"/>
                <w:szCs w:val="20"/>
                <w:color w:val="auto"/>
              </w:rPr>
            </w:pPr>
            <w:r>
              <w:rPr>
                <w:rFonts w:ascii="Verdana" w:cs="Verdana" w:eastAsia="Verdana" w:hAnsi="Verdana"/>
                <w:sz w:val="14"/>
                <w:szCs w:val="14"/>
                <w:color w:val="auto"/>
              </w:rPr>
              <w:t>—</w:t>
            </w:r>
          </w:p>
        </w:tc>
        <w:tc>
          <w:tcPr>
            <w:tcW w:w="1020" w:type="dxa"/>
            <w:vAlign w:val="bottom"/>
            <w:vMerge w:val="restart"/>
          </w:tcPr>
          <w:p>
            <w:pPr>
              <w:jc w:val="right"/>
              <w:ind w:right="52"/>
              <w:spacing w:after="0"/>
              <w:rPr>
                <w:sz w:val="20"/>
                <w:szCs w:val="20"/>
                <w:color w:val="auto"/>
              </w:rPr>
            </w:pPr>
            <w:r>
              <w:rPr>
                <w:rFonts w:ascii="Verdana" w:cs="Verdana" w:eastAsia="Verdana" w:hAnsi="Verdana"/>
                <w:sz w:val="14"/>
                <w:szCs w:val="14"/>
                <w:color w:val="auto"/>
              </w:rPr>
              <w:t>—</w:t>
            </w:r>
          </w:p>
        </w:tc>
        <w:tc>
          <w:tcPr>
            <w:tcW w:w="900" w:type="dxa"/>
            <w:vAlign w:val="bottom"/>
            <w:vMerge w:val="restart"/>
          </w:tcPr>
          <w:p>
            <w:pPr>
              <w:jc w:val="right"/>
              <w:ind w:right="12"/>
              <w:spacing w:after="0"/>
              <w:rPr>
                <w:sz w:val="20"/>
                <w:szCs w:val="20"/>
                <w:color w:val="auto"/>
              </w:rPr>
            </w:pPr>
            <w:r>
              <w:rPr>
                <w:rFonts w:ascii="Verdana" w:cs="Verdana" w:eastAsia="Verdana" w:hAnsi="Verdana"/>
                <w:sz w:val="14"/>
                <w:szCs w:val="14"/>
                <w:color w:val="auto"/>
              </w:rPr>
              <w:t>(78,253)</w:t>
            </w:r>
          </w:p>
        </w:tc>
        <w:tc>
          <w:tcPr>
            <w:tcW w:w="900" w:type="dxa"/>
            <w:vAlign w:val="bottom"/>
            <w:gridSpan w:val="2"/>
            <w:vMerge w:val="restart"/>
          </w:tcPr>
          <w:p>
            <w:pPr>
              <w:jc w:val="right"/>
              <w:spacing w:after="0"/>
              <w:rPr>
                <w:sz w:val="20"/>
                <w:szCs w:val="20"/>
                <w:color w:val="auto"/>
              </w:rPr>
            </w:pPr>
            <w:r>
              <w:rPr>
                <w:rFonts w:ascii="Verdana" w:cs="Verdana" w:eastAsia="Verdana" w:hAnsi="Verdana"/>
                <w:sz w:val="14"/>
                <w:szCs w:val="14"/>
                <w:color w:val="auto"/>
              </w:rPr>
              <w:t>(78,253)</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of less-than-wholly-owned subsidiaries</w:t>
            </w: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640" w:type="dxa"/>
            <w:vAlign w:val="bottom"/>
          </w:tcPr>
          <w:p>
            <w:pPr>
              <w:spacing w:after="0"/>
              <w:rPr>
                <w:sz w:val="19"/>
                <w:szCs w:val="19"/>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Cancellation of treasury stock</w:t>
            </w:r>
          </w:p>
        </w:tc>
        <w:tc>
          <w:tcPr>
            <w:tcW w:w="700" w:type="dxa"/>
            <w:vAlign w:val="bottom"/>
          </w:tcPr>
          <w:p>
            <w:pPr>
              <w:jc w:val="right"/>
              <w:spacing w:after="0"/>
              <w:rPr>
                <w:sz w:val="20"/>
                <w:szCs w:val="20"/>
                <w:color w:val="auto"/>
              </w:rPr>
            </w:pPr>
            <w:r>
              <w:rPr>
                <w:rFonts w:ascii="Verdana" w:cs="Verdana" w:eastAsia="Verdana" w:hAnsi="Verdana"/>
                <w:sz w:val="14"/>
                <w:szCs w:val="14"/>
                <w:color w:val="auto"/>
              </w:rPr>
              <w:t>(131)</w:t>
            </w:r>
          </w:p>
        </w:tc>
        <w:tc>
          <w:tcPr>
            <w:tcW w:w="600" w:type="dxa"/>
            <w:vAlign w:val="bottom"/>
          </w:tcPr>
          <w:p>
            <w:pPr>
              <w:jc w:val="right"/>
              <w:spacing w:after="0"/>
              <w:rPr>
                <w:sz w:val="20"/>
                <w:szCs w:val="20"/>
                <w:color w:val="auto"/>
              </w:rPr>
            </w:pPr>
            <w:r>
              <w:rPr>
                <w:rFonts w:ascii="Verdana" w:cs="Verdana" w:eastAsia="Verdana" w:hAnsi="Verdana"/>
                <w:sz w:val="14"/>
                <w:szCs w:val="14"/>
                <w:color w:val="auto"/>
              </w:rPr>
              <w:t>(2)</w:t>
            </w:r>
          </w:p>
        </w:tc>
        <w:tc>
          <w:tcPr>
            <w:tcW w:w="1000" w:type="dxa"/>
            <w:vAlign w:val="bottom"/>
          </w:tcPr>
          <w:p>
            <w:pPr>
              <w:jc w:val="right"/>
              <w:ind w:right="12"/>
              <w:spacing w:after="0"/>
              <w:rPr>
                <w:sz w:val="20"/>
                <w:szCs w:val="20"/>
                <w:color w:val="auto"/>
              </w:rPr>
            </w:pPr>
            <w:r>
              <w:rPr>
                <w:rFonts w:ascii="Verdana" w:cs="Verdana" w:eastAsia="Verdana" w:hAnsi="Verdana"/>
                <w:sz w:val="14"/>
                <w:szCs w:val="14"/>
                <w:color w:val="auto"/>
              </w:rPr>
              <w:t>(5,074)</w:t>
            </w:r>
          </w:p>
        </w:tc>
        <w:tc>
          <w:tcPr>
            <w:tcW w:w="1040" w:type="dxa"/>
            <w:vAlign w:val="bottom"/>
          </w:tcPr>
          <w:p>
            <w:pPr>
              <w:jc w:val="right"/>
              <w:ind w:right="92"/>
              <w:spacing w:after="0"/>
              <w:rPr>
                <w:sz w:val="20"/>
                <w:szCs w:val="20"/>
                <w:color w:val="auto"/>
              </w:rPr>
            </w:pPr>
            <w:r>
              <w:rPr>
                <w:rFonts w:ascii="Verdana" w:cs="Verdana" w:eastAsia="Verdana" w:hAnsi="Verdana"/>
                <w:sz w:val="14"/>
                <w:szCs w:val="14"/>
                <w:color w:val="auto"/>
              </w:rPr>
              <w:t>—</w:t>
            </w:r>
          </w:p>
        </w:tc>
        <w:tc>
          <w:tcPr>
            <w:tcW w:w="640" w:type="dxa"/>
            <w:vAlign w:val="bottom"/>
          </w:tcPr>
          <w:p>
            <w:pPr>
              <w:jc w:val="right"/>
              <w:ind w:right="12"/>
              <w:spacing w:after="0"/>
              <w:rPr>
                <w:sz w:val="20"/>
                <w:szCs w:val="20"/>
                <w:color w:val="auto"/>
              </w:rPr>
            </w:pPr>
            <w:r>
              <w:rPr>
                <w:rFonts w:ascii="Verdana" w:cs="Verdana" w:eastAsia="Verdana" w:hAnsi="Verdana"/>
                <w:sz w:val="14"/>
                <w:szCs w:val="14"/>
                <w:color w:val="auto"/>
              </w:rPr>
              <w:t>(131)</w:t>
            </w:r>
          </w:p>
        </w:tc>
        <w:tc>
          <w:tcPr>
            <w:tcW w:w="700" w:type="dxa"/>
            <w:vAlign w:val="bottom"/>
          </w:tcPr>
          <w:p>
            <w:pPr>
              <w:jc w:val="right"/>
              <w:ind w:right="11"/>
              <w:spacing w:after="0"/>
              <w:rPr>
                <w:sz w:val="20"/>
                <w:szCs w:val="20"/>
                <w:color w:val="auto"/>
              </w:rPr>
            </w:pPr>
            <w:r>
              <w:rPr>
                <w:rFonts w:ascii="Verdana" w:cs="Verdana" w:eastAsia="Verdana" w:hAnsi="Verdana"/>
                <w:sz w:val="14"/>
                <w:szCs w:val="14"/>
                <w:color w:val="auto"/>
              </w:rPr>
              <w:t>5,076</w:t>
            </w:r>
          </w:p>
        </w:tc>
        <w:tc>
          <w:tcPr>
            <w:tcW w:w="1020" w:type="dxa"/>
            <w:vAlign w:val="bottom"/>
          </w:tcPr>
          <w:p>
            <w:pPr>
              <w:jc w:val="right"/>
              <w:ind w:right="52"/>
              <w:spacing w:after="0"/>
              <w:rPr>
                <w:sz w:val="20"/>
                <w:szCs w:val="20"/>
                <w:color w:val="auto"/>
              </w:rPr>
            </w:pPr>
            <w:r>
              <w:rPr>
                <w:rFonts w:ascii="Verdana" w:cs="Verdana" w:eastAsia="Verdana" w:hAnsi="Verdana"/>
                <w:sz w:val="14"/>
                <w:szCs w:val="14"/>
                <w:color w:val="auto"/>
              </w:rPr>
              <w:t>—</w:t>
            </w:r>
          </w:p>
        </w:tc>
        <w:tc>
          <w:tcPr>
            <w:tcW w:w="900" w:type="dxa"/>
            <w:vAlign w:val="bottom"/>
          </w:tcPr>
          <w:p>
            <w:pPr>
              <w:jc w:val="right"/>
              <w:ind w:right="72"/>
              <w:spacing w:after="0"/>
              <w:rPr>
                <w:sz w:val="20"/>
                <w:szCs w:val="20"/>
                <w:color w:val="auto"/>
              </w:rPr>
            </w:pPr>
            <w:r>
              <w:rPr>
                <w:rFonts w:ascii="Verdana" w:cs="Verdana" w:eastAsia="Verdana" w:hAnsi="Verdana"/>
                <w:sz w:val="14"/>
                <w:szCs w:val="14"/>
                <w:color w:val="auto"/>
              </w:rPr>
              <w:t>—</w:t>
            </w:r>
          </w:p>
        </w:tc>
        <w:tc>
          <w:tcPr>
            <w:tcW w:w="4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Verdana" w:cs="Verdana" w:eastAsia="Verdana" w:hAnsi="Verdana"/>
                <w:sz w:val="14"/>
                <w:szCs w:val="14"/>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3080" w:type="dxa"/>
            <w:vAlign w:val="bottom"/>
            <w:tcBorders>
              <w:bottom w:val="single" w:sz="8" w:color="auto"/>
            </w:tcBorders>
          </w:tcPr>
          <w:p>
            <w:pPr>
              <w:ind w:left="60"/>
              <w:spacing w:after="0"/>
              <w:rPr>
                <w:sz w:val="20"/>
                <w:szCs w:val="20"/>
                <w:color w:val="auto"/>
              </w:rPr>
            </w:pPr>
            <w:r>
              <w:rPr>
                <w:rFonts w:ascii="Verdana" w:cs="Verdana" w:eastAsia="Verdana" w:hAnsi="Verdana"/>
                <w:sz w:val="12"/>
                <w:szCs w:val="12"/>
                <w:color w:val="auto"/>
              </w:rPr>
              <w:t>Current period net income</w:t>
            </w:r>
          </w:p>
        </w:tc>
        <w:tc>
          <w:tcPr>
            <w:tcW w:w="700" w:type="dxa"/>
            <w:vAlign w:val="bottom"/>
            <w:tcBorders>
              <w:bottom w:val="single" w:sz="8" w:color="auto"/>
            </w:tcBorders>
          </w:tcPr>
          <w:p>
            <w:pPr>
              <w:jc w:val="right"/>
              <w:ind w:right="52"/>
              <w:spacing w:after="0"/>
              <w:rPr>
                <w:sz w:val="20"/>
                <w:szCs w:val="20"/>
                <w:color w:val="auto"/>
              </w:rPr>
            </w:pPr>
            <w:r>
              <w:rPr>
                <w:rFonts w:ascii="Verdana" w:cs="Verdana" w:eastAsia="Verdana" w:hAnsi="Verdana"/>
                <w:sz w:val="14"/>
                <w:szCs w:val="14"/>
                <w:color w:val="auto"/>
              </w:rPr>
              <w:t>—</w:t>
            </w:r>
          </w:p>
        </w:tc>
        <w:tc>
          <w:tcPr>
            <w:tcW w:w="60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4"/>
                <w:szCs w:val="14"/>
                <w:color w:val="auto"/>
              </w:rPr>
              <w:t>—</w:t>
            </w:r>
          </w:p>
        </w:tc>
        <w:tc>
          <w:tcPr>
            <w:tcW w:w="1000" w:type="dxa"/>
            <w:vAlign w:val="bottom"/>
            <w:tcBorders>
              <w:bottom w:val="single" w:sz="8" w:color="auto"/>
            </w:tcBorders>
          </w:tcPr>
          <w:p>
            <w:pPr>
              <w:jc w:val="right"/>
              <w:ind w:right="72"/>
              <w:spacing w:after="0"/>
              <w:rPr>
                <w:sz w:val="20"/>
                <w:szCs w:val="20"/>
                <w:color w:val="auto"/>
              </w:rPr>
            </w:pPr>
            <w:r>
              <w:rPr>
                <w:rFonts w:ascii="Verdana" w:cs="Verdana" w:eastAsia="Verdana" w:hAnsi="Verdana"/>
                <w:sz w:val="14"/>
                <w:szCs w:val="14"/>
                <w:color w:val="auto"/>
              </w:rPr>
              <w:t>—</w:t>
            </w:r>
          </w:p>
        </w:tc>
        <w:tc>
          <w:tcPr>
            <w:tcW w:w="1040" w:type="dxa"/>
            <w:vAlign w:val="bottom"/>
            <w:tcBorders>
              <w:bottom w:val="single" w:sz="8" w:color="auto"/>
            </w:tcBorders>
          </w:tcPr>
          <w:p>
            <w:pPr>
              <w:jc w:val="right"/>
              <w:ind w:right="92"/>
              <w:spacing w:after="0"/>
              <w:rPr>
                <w:sz w:val="20"/>
                <w:szCs w:val="20"/>
                <w:color w:val="auto"/>
              </w:rPr>
            </w:pPr>
            <w:r>
              <w:rPr>
                <w:rFonts w:ascii="Verdana" w:cs="Verdana" w:eastAsia="Verdana" w:hAnsi="Verdana"/>
                <w:sz w:val="14"/>
                <w:szCs w:val="14"/>
                <w:color w:val="auto"/>
              </w:rPr>
              <w:t>846,074</w:t>
            </w:r>
          </w:p>
        </w:tc>
        <w:tc>
          <w:tcPr>
            <w:tcW w:w="640" w:type="dxa"/>
            <w:vAlign w:val="bottom"/>
            <w:tcBorders>
              <w:bottom w:val="single" w:sz="8" w:color="auto"/>
            </w:tcBorders>
          </w:tcPr>
          <w:p>
            <w:pPr>
              <w:jc w:val="right"/>
              <w:ind w:right="72"/>
              <w:spacing w:after="0"/>
              <w:rPr>
                <w:sz w:val="20"/>
                <w:szCs w:val="20"/>
                <w:color w:val="auto"/>
              </w:rPr>
            </w:pPr>
            <w:r>
              <w:rPr>
                <w:rFonts w:ascii="Verdana" w:cs="Verdana" w:eastAsia="Verdana" w:hAnsi="Verdana"/>
                <w:sz w:val="14"/>
                <w:szCs w:val="14"/>
                <w:color w:val="auto"/>
              </w:rPr>
              <w:t>—</w:t>
            </w:r>
          </w:p>
        </w:tc>
        <w:tc>
          <w:tcPr>
            <w:tcW w:w="70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4"/>
                <w:szCs w:val="14"/>
                <w:color w:val="auto"/>
              </w:rPr>
              <w:t>—</w:t>
            </w:r>
          </w:p>
        </w:tc>
        <w:tc>
          <w:tcPr>
            <w:tcW w:w="1020" w:type="dxa"/>
            <w:vAlign w:val="bottom"/>
            <w:tcBorders>
              <w:bottom w:val="single" w:sz="8" w:color="auto"/>
            </w:tcBorders>
          </w:tcPr>
          <w:p>
            <w:pPr>
              <w:jc w:val="right"/>
              <w:ind w:right="52"/>
              <w:spacing w:after="0"/>
              <w:rPr>
                <w:sz w:val="20"/>
                <w:szCs w:val="20"/>
                <w:color w:val="auto"/>
              </w:rPr>
            </w:pPr>
            <w:r>
              <w:rPr>
                <w:rFonts w:ascii="Verdana" w:cs="Verdana" w:eastAsia="Verdana" w:hAnsi="Verdana"/>
                <w:sz w:val="14"/>
                <w:szCs w:val="14"/>
                <w:color w:val="auto"/>
              </w:rPr>
              <w:t>846,074</w:t>
            </w:r>
          </w:p>
        </w:tc>
        <w:tc>
          <w:tcPr>
            <w:tcW w:w="900" w:type="dxa"/>
            <w:vAlign w:val="bottom"/>
            <w:tcBorders>
              <w:bottom w:val="single" w:sz="8" w:color="auto"/>
            </w:tcBorders>
          </w:tcPr>
          <w:p>
            <w:pPr>
              <w:jc w:val="right"/>
              <w:ind w:right="72"/>
              <w:spacing w:after="0"/>
              <w:rPr>
                <w:sz w:val="20"/>
                <w:szCs w:val="20"/>
                <w:color w:val="auto"/>
              </w:rPr>
            </w:pPr>
            <w:r>
              <w:rPr>
                <w:rFonts w:ascii="Verdana" w:cs="Verdana" w:eastAsia="Verdana" w:hAnsi="Verdana"/>
                <w:sz w:val="14"/>
                <w:szCs w:val="14"/>
                <w:color w:val="auto"/>
              </w:rPr>
              <w:t>64,285</w:t>
            </w:r>
          </w:p>
        </w:tc>
        <w:tc>
          <w:tcPr>
            <w:tcW w:w="900" w:type="dxa"/>
            <w:vAlign w:val="bottom"/>
            <w:tcBorders>
              <w:bottom w:val="single" w:sz="8" w:color="auto"/>
            </w:tcBorders>
            <w:gridSpan w:val="2"/>
          </w:tcPr>
          <w:p>
            <w:pPr>
              <w:jc w:val="right"/>
              <w:spacing w:after="0"/>
              <w:rPr>
                <w:sz w:val="20"/>
                <w:szCs w:val="20"/>
                <w:color w:val="auto"/>
              </w:rPr>
            </w:pPr>
            <w:r>
              <w:rPr>
                <w:rFonts w:ascii="Verdana" w:cs="Verdana" w:eastAsia="Verdana" w:hAnsi="Verdana"/>
                <w:sz w:val="14"/>
                <w:szCs w:val="14"/>
                <w:color w:val="auto"/>
              </w:rPr>
              <w:t>910,359</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40" w:type="dxa"/>
            <w:vAlign w:val="bottom"/>
          </w:tcPr>
          <w:p>
            <w:pPr>
              <w:spacing w:after="0"/>
              <w:rPr>
                <w:sz w:val="16"/>
                <w:szCs w:val="16"/>
                <w:color w:val="auto"/>
              </w:rPr>
            </w:pPr>
          </w:p>
        </w:tc>
        <w:tc>
          <w:tcPr>
            <w:tcW w:w="3080" w:type="dxa"/>
            <w:vAlign w:val="bottom"/>
          </w:tcPr>
          <w:p>
            <w:pPr>
              <w:ind w:left="60"/>
              <w:spacing w:after="0"/>
              <w:rPr>
                <w:sz w:val="20"/>
                <w:szCs w:val="20"/>
                <w:color w:val="auto"/>
              </w:rPr>
            </w:pPr>
            <w:r>
              <w:rPr>
                <w:rFonts w:ascii="Verdana" w:cs="Verdana" w:eastAsia="Verdana" w:hAnsi="Verdana"/>
                <w:sz w:val="14"/>
                <w:szCs w:val="14"/>
                <w:b w:val="1"/>
                <w:bCs w:val="1"/>
                <w:color w:val="auto"/>
              </w:rPr>
              <w:t>Balance at December 31, 2023</w:t>
            </w:r>
          </w:p>
        </w:tc>
        <w:tc>
          <w:tcPr>
            <w:tcW w:w="700" w:type="dxa"/>
            <w:vAlign w:val="bottom"/>
          </w:tcPr>
          <w:p>
            <w:pPr>
              <w:jc w:val="right"/>
              <w:ind w:right="12"/>
              <w:spacing w:after="0"/>
              <w:rPr>
                <w:sz w:val="20"/>
                <w:szCs w:val="20"/>
                <w:color w:val="auto"/>
              </w:rPr>
            </w:pPr>
            <w:r>
              <w:rPr>
                <w:rFonts w:ascii="Verdana" w:cs="Verdana" w:eastAsia="Verdana" w:hAnsi="Verdana"/>
                <w:sz w:val="14"/>
                <w:szCs w:val="14"/>
                <w:color w:val="auto"/>
              </w:rPr>
              <w:t>119,478</w:t>
            </w:r>
          </w:p>
        </w:tc>
        <w:tc>
          <w:tcPr>
            <w:tcW w:w="600" w:type="dxa"/>
            <w:vAlign w:val="bottom"/>
          </w:tcPr>
          <w:p>
            <w:pPr>
              <w:ind w:left="80"/>
              <w:spacing w:after="0"/>
              <w:rPr>
                <w:sz w:val="20"/>
                <w:szCs w:val="20"/>
                <w:color w:val="auto"/>
              </w:rPr>
            </w:pPr>
            <w:r>
              <w:rPr>
                <w:rFonts w:ascii="Verdana" w:cs="Verdana" w:eastAsia="Verdana" w:hAnsi="Verdana"/>
                <w:sz w:val="14"/>
                <w:szCs w:val="14"/>
                <w:color w:val="auto"/>
              </w:rPr>
              <w:t>$1,194</w:t>
            </w:r>
          </w:p>
        </w:tc>
        <w:tc>
          <w:tcPr>
            <w:tcW w:w="1000" w:type="dxa"/>
            <w:vAlign w:val="bottom"/>
          </w:tcPr>
          <w:p>
            <w:pPr>
              <w:jc w:val="center"/>
              <w:spacing w:after="0"/>
              <w:rPr>
                <w:sz w:val="20"/>
                <w:szCs w:val="20"/>
                <w:color w:val="auto"/>
              </w:rPr>
            </w:pPr>
            <w:r>
              <w:rPr>
                <w:rFonts w:ascii="Verdana" w:cs="Verdana" w:eastAsia="Verdana" w:hAnsi="Verdana"/>
                <w:sz w:val="14"/>
                <w:szCs w:val="14"/>
                <w:color w:val="auto"/>
                <w:w w:val="98"/>
              </w:rPr>
              <w:t>$2,133,172</w:t>
            </w:r>
          </w:p>
        </w:tc>
        <w:tc>
          <w:tcPr>
            <w:tcW w:w="1040" w:type="dxa"/>
            <w:vAlign w:val="bottom"/>
          </w:tcPr>
          <w:p>
            <w:pPr>
              <w:jc w:val="right"/>
              <w:ind w:right="92"/>
              <w:spacing w:after="0"/>
              <w:rPr>
                <w:sz w:val="20"/>
                <w:szCs w:val="20"/>
                <w:color w:val="auto"/>
              </w:rPr>
            </w:pPr>
            <w:r>
              <w:rPr>
                <w:rFonts w:ascii="Verdana" w:cs="Verdana" w:eastAsia="Verdana" w:hAnsi="Verdana"/>
                <w:sz w:val="14"/>
                <w:szCs w:val="14"/>
                <w:color w:val="auto"/>
              </w:rPr>
              <w:t>$1,776,541</w:t>
            </w:r>
          </w:p>
        </w:tc>
        <w:tc>
          <w:tcPr>
            <w:tcW w:w="640" w:type="dxa"/>
            <w:vAlign w:val="bottom"/>
          </w:tcPr>
          <w:p>
            <w:pPr>
              <w:jc w:val="right"/>
              <w:ind w:right="72"/>
              <w:spacing w:after="0"/>
              <w:rPr>
                <w:sz w:val="20"/>
                <w:szCs w:val="20"/>
                <w:color w:val="auto"/>
              </w:rPr>
            </w:pPr>
            <w:r>
              <w:rPr>
                <w:rFonts w:ascii="Verdana" w:cs="Verdana" w:eastAsia="Verdana" w:hAnsi="Verdana"/>
                <w:sz w:val="14"/>
                <w:szCs w:val="14"/>
                <w:color w:val="auto"/>
              </w:rPr>
              <w:t>20</w:t>
            </w:r>
          </w:p>
        </w:tc>
        <w:tc>
          <w:tcPr>
            <w:tcW w:w="700" w:type="dxa"/>
            <w:vAlign w:val="bottom"/>
          </w:tcPr>
          <w:p>
            <w:pPr>
              <w:jc w:val="right"/>
              <w:spacing w:after="0"/>
              <w:rPr>
                <w:sz w:val="20"/>
                <w:szCs w:val="20"/>
                <w:color w:val="auto"/>
              </w:rPr>
            </w:pPr>
            <w:r>
              <w:rPr>
                <w:rFonts w:ascii="Verdana" w:cs="Verdana" w:eastAsia="Verdana" w:hAnsi="Verdana"/>
                <w:sz w:val="14"/>
                <w:szCs w:val="14"/>
                <w:color w:val="auto"/>
              </w:rPr>
              <w:t>$   (45)</w:t>
            </w:r>
          </w:p>
        </w:tc>
        <w:tc>
          <w:tcPr>
            <w:tcW w:w="1020" w:type="dxa"/>
            <w:vAlign w:val="bottom"/>
          </w:tcPr>
          <w:p>
            <w:pPr>
              <w:jc w:val="center"/>
              <w:spacing w:after="0"/>
              <w:rPr>
                <w:sz w:val="20"/>
                <w:szCs w:val="20"/>
                <w:color w:val="auto"/>
              </w:rPr>
            </w:pPr>
            <w:r>
              <w:rPr>
                <w:rFonts w:ascii="Verdana" w:cs="Verdana" w:eastAsia="Verdana" w:hAnsi="Verdana"/>
                <w:sz w:val="14"/>
                <w:szCs w:val="14"/>
                <w:color w:val="auto"/>
                <w:w w:val="98"/>
              </w:rPr>
              <w:t>$3,910,862</w:t>
            </w:r>
          </w:p>
        </w:tc>
        <w:tc>
          <w:tcPr>
            <w:tcW w:w="900" w:type="dxa"/>
            <w:vAlign w:val="bottom"/>
          </w:tcPr>
          <w:p>
            <w:pPr>
              <w:jc w:val="right"/>
              <w:ind w:right="72"/>
              <w:spacing w:after="0"/>
              <w:rPr>
                <w:sz w:val="20"/>
                <w:szCs w:val="20"/>
                <w:color w:val="auto"/>
              </w:rPr>
            </w:pPr>
            <w:r>
              <w:rPr>
                <w:rFonts w:ascii="Verdana" w:cs="Verdana" w:eastAsia="Verdana" w:hAnsi="Verdana"/>
                <w:sz w:val="14"/>
                <w:szCs w:val="14"/>
                <w:color w:val="auto"/>
              </w:rPr>
              <w:t>$ 216,826</w:t>
            </w:r>
          </w:p>
        </w:tc>
        <w:tc>
          <w:tcPr>
            <w:tcW w:w="900" w:type="dxa"/>
            <w:vAlign w:val="bottom"/>
            <w:gridSpan w:val="2"/>
          </w:tcPr>
          <w:p>
            <w:pPr>
              <w:jc w:val="center"/>
              <w:spacing w:after="0"/>
              <w:rPr>
                <w:sz w:val="20"/>
                <w:szCs w:val="20"/>
                <w:color w:val="auto"/>
              </w:rPr>
            </w:pPr>
            <w:r>
              <w:rPr>
                <w:rFonts w:ascii="Verdana" w:cs="Verdana" w:eastAsia="Verdana" w:hAnsi="Verdana"/>
                <w:sz w:val="14"/>
                <w:szCs w:val="14"/>
                <w:color w:val="auto"/>
                <w:w w:val="98"/>
              </w:rPr>
              <w:t>$4,127,688</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40" w:type="dxa"/>
            <w:vAlign w:val="bottom"/>
          </w:tcPr>
          <w:p>
            <w:pPr>
              <w:spacing w:after="0"/>
              <w:rPr>
                <w:sz w:val="19"/>
                <w:szCs w:val="19"/>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Dividends declared ($0.85 per share)</w:t>
            </w:r>
          </w:p>
        </w:tc>
        <w:tc>
          <w:tcPr>
            <w:tcW w:w="700" w:type="dxa"/>
            <w:vAlign w:val="bottom"/>
          </w:tcPr>
          <w:p>
            <w:pPr>
              <w:jc w:val="right"/>
              <w:ind w:right="52"/>
              <w:spacing w:after="0"/>
              <w:rPr>
                <w:sz w:val="20"/>
                <w:szCs w:val="20"/>
                <w:color w:val="auto"/>
              </w:rPr>
            </w:pPr>
            <w:r>
              <w:rPr>
                <w:rFonts w:ascii="Verdana" w:cs="Verdana" w:eastAsia="Verdana" w:hAnsi="Verdana"/>
                <w:sz w:val="14"/>
                <w:szCs w:val="14"/>
                <w:color w:val="auto"/>
              </w:rPr>
              <w:t>—</w:t>
            </w:r>
          </w:p>
        </w:tc>
        <w:tc>
          <w:tcPr>
            <w:tcW w:w="600" w:type="dxa"/>
            <w:vAlign w:val="bottom"/>
          </w:tcPr>
          <w:p>
            <w:pPr>
              <w:jc w:val="right"/>
              <w:ind w:right="11"/>
              <w:spacing w:after="0"/>
              <w:rPr>
                <w:sz w:val="20"/>
                <w:szCs w:val="20"/>
                <w:color w:val="auto"/>
              </w:rPr>
            </w:pPr>
            <w:r>
              <w:rPr>
                <w:rFonts w:ascii="Verdana" w:cs="Verdana" w:eastAsia="Verdana" w:hAnsi="Verdana"/>
                <w:sz w:val="14"/>
                <w:szCs w:val="14"/>
                <w:color w:val="auto"/>
              </w:rPr>
              <w:t>—</w:t>
            </w:r>
          </w:p>
        </w:tc>
        <w:tc>
          <w:tcPr>
            <w:tcW w:w="1000" w:type="dxa"/>
            <w:vAlign w:val="bottom"/>
          </w:tcPr>
          <w:p>
            <w:pPr>
              <w:jc w:val="right"/>
              <w:ind w:right="72"/>
              <w:spacing w:after="0"/>
              <w:rPr>
                <w:sz w:val="20"/>
                <w:szCs w:val="20"/>
                <w:color w:val="auto"/>
              </w:rPr>
            </w:pPr>
            <w:r>
              <w:rPr>
                <w:rFonts w:ascii="Verdana" w:cs="Verdana" w:eastAsia="Verdana" w:hAnsi="Verdana"/>
                <w:sz w:val="14"/>
                <w:szCs w:val="14"/>
                <w:color w:val="auto"/>
              </w:rPr>
              <w:t>—</w:t>
            </w:r>
          </w:p>
        </w:tc>
        <w:tc>
          <w:tcPr>
            <w:tcW w:w="1040" w:type="dxa"/>
            <w:vAlign w:val="bottom"/>
          </w:tcPr>
          <w:p>
            <w:pPr>
              <w:jc w:val="right"/>
              <w:ind w:right="32"/>
              <w:spacing w:after="0"/>
              <w:rPr>
                <w:sz w:val="20"/>
                <w:szCs w:val="20"/>
                <w:color w:val="auto"/>
              </w:rPr>
            </w:pPr>
            <w:r>
              <w:rPr>
                <w:rFonts w:ascii="Verdana" w:cs="Verdana" w:eastAsia="Verdana" w:hAnsi="Verdana"/>
                <w:sz w:val="14"/>
                <w:szCs w:val="14"/>
                <w:color w:val="auto"/>
              </w:rPr>
              <w:t>(104,876)</w:t>
            </w:r>
          </w:p>
        </w:tc>
        <w:tc>
          <w:tcPr>
            <w:tcW w:w="640" w:type="dxa"/>
            <w:vAlign w:val="bottom"/>
          </w:tcPr>
          <w:p>
            <w:pPr>
              <w:jc w:val="right"/>
              <w:ind w:right="72"/>
              <w:spacing w:after="0"/>
              <w:rPr>
                <w:sz w:val="20"/>
                <w:szCs w:val="20"/>
                <w:color w:val="auto"/>
              </w:rPr>
            </w:pPr>
            <w:r>
              <w:rPr>
                <w:rFonts w:ascii="Verdana" w:cs="Verdana" w:eastAsia="Verdana" w:hAnsi="Verdana"/>
                <w:sz w:val="14"/>
                <w:szCs w:val="14"/>
                <w:color w:val="auto"/>
              </w:rPr>
              <w:t>—</w:t>
            </w:r>
          </w:p>
        </w:tc>
        <w:tc>
          <w:tcPr>
            <w:tcW w:w="700" w:type="dxa"/>
            <w:vAlign w:val="bottom"/>
          </w:tcPr>
          <w:p>
            <w:pPr>
              <w:jc w:val="right"/>
              <w:ind w:right="11"/>
              <w:spacing w:after="0"/>
              <w:rPr>
                <w:sz w:val="20"/>
                <w:szCs w:val="20"/>
                <w:color w:val="auto"/>
              </w:rPr>
            </w:pPr>
            <w:r>
              <w:rPr>
                <w:rFonts w:ascii="Verdana" w:cs="Verdana" w:eastAsia="Verdana" w:hAnsi="Verdana"/>
                <w:sz w:val="14"/>
                <w:szCs w:val="14"/>
                <w:color w:val="auto"/>
              </w:rPr>
              <w:t>—</w:t>
            </w:r>
          </w:p>
        </w:tc>
        <w:tc>
          <w:tcPr>
            <w:tcW w:w="1020" w:type="dxa"/>
            <w:vAlign w:val="bottom"/>
          </w:tcPr>
          <w:p>
            <w:pPr>
              <w:jc w:val="right"/>
              <w:spacing w:after="0"/>
              <w:rPr>
                <w:sz w:val="20"/>
                <w:szCs w:val="20"/>
                <w:color w:val="auto"/>
              </w:rPr>
            </w:pPr>
            <w:r>
              <w:rPr>
                <w:rFonts w:ascii="Verdana" w:cs="Verdana" w:eastAsia="Verdana" w:hAnsi="Verdana"/>
                <w:sz w:val="14"/>
                <w:szCs w:val="14"/>
                <w:color w:val="auto"/>
              </w:rPr>
              <w:t>(104,876)</w:t>
            </w:r>
          </w:p>
        </w:tc>
        <w:tc>
          <w:tcPr>
            <w:tcW w:w="900" w:type="dxa"/>
            <w:vAlign w:val="bottom"/>
          </w:tcPr>
          <w:p>
            <w:pPr>
              <w:jc w:val="right"/>
              <w:ind w:right="72"/>
              <w:spacing w:after="0"/>
              <w:rPr>
                <w:sz w:val="20"/>
                <w:szCs w:val="20"/>
                <w:color w:val="auto"/>
              </w:rPr>
            </w:pPr>
            <w:r>
              <w:rPr>
                <w:rFonts w:ascii="Verdana" w:cs="Verdana" w:eastAsia="Verdana" w:hAnsi="Verdana"/>
                <w:sz w:val="14"/>
                <w:szCs w:val="14"/>
                <w:color w:val="auto"/>
              </w:rPr>
              <w:t>—</w:t>
            </w:r>
          </w:p>
        </w:tc>
        <w:tc>
          <w:tcPr>
            <w:tcW w:w="900" w:type="dxa"/>
            <w:vAlign w:val="bottom"/>
            <w:gridSpan w:val="2"/>
          </w:tcPr>
          <w:p>
            <w:pPr>
              <w:jc w:val="right"/>
              <w:spacing w:after="0"/>
              <w:rPr>
                <w:sz w:val="20"/>
                <w:szCs w:val="20"/>
                <w:color w:val="auto"/>
              </w:rPr>
            </w:pPr>
            <w:r>
              <w:rPr>
                <w:rFonts w:ascii="Verdana" w:cs="Verdana" w:eastAsia="Verdana" w:hAnsi="Verdana"/>
                <w:sz w:val="14"/>
                <w:szCs w:val="14"/>
                <w:color w:val="auto"/>
              </w:rPr>
              <w:t>(104,876)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40" w:type="dxa"/>
            <w:vAlign w:val="bottom"/>
          </w:tcPr>
          <w:p>
            <w:pPr>
              <w:spacing w:after="0"/>
              <w:rPr>
                <w:sz w:val="15"/>
                <w:szCs w:val="15"/>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Issuance of stock pursuant to incentive and</w:t>
            </w:r>
          </w:p>
        </w:tc>
        <w:tc>
          <w:tcPr>
            <w:tcW w:w="700" w:type="dxa"/>
            <w:vAlign w:val="bottom"/>
            <w:vMerge w:val="restart"/>
          </w:tcPr>
          <w:p>
            <w:pPr>
              <w:jc w:val="right"/>
              <w:ind w:right="52"/>
              <w:spacing w:after="0"/>
              <w:rPr>
                <w:sz w:val="20"/>
                <w:szCs w:val="20"/>
                <w:color w:val="auto"/>
              </w:rPr>
            </w:pPr>
            <w:r>
              <w:rPr>
                <w:rFonts w:ascii="Verdana" w:cs="Verdana" w:eastAsia="Verdana" w:hAnsi="Verdana"/>
                <w:sz w:val="14"/>
                <w:szCs w:val="14"/>
                <w:color w:val="auto"/>
              </w:rPr>
              <w:t>455</w:t>
            </w:r>
          </w:p>
        </w:tc>
        <w:tc>
          <w:tcPr>
            <w:tcW w:w="600" w:type="dxa"/>
            <w:vAlign w:val="bottom"/>
            <w:vMerge w:val="restart"/>
          </w:tcPr>
          <w:p>
            <w:pPr>
              <w:jc w:val="right"/>
              <w:ind w:right="11"/>
              <w:spacing w:after="0"/>
              <w:rPr>
                <w:sz w:val="20"/>
                <w:szCs w:val="20"/>
                <w:color w:val="auto"/>
              </w:rPr>
            </w:pPr>
            <w:r>
              <w:rPr>
                <w:rFonts w:ascii="Verdana" w:cs="Verdana" w:eastAsia="Verdana" w:hAnsi="Verdana"/>
                <w:sz w:val="14"/>
                <w:szCs w:val="14"/>
                <w:color w:val="auto"/>
              </w:rPr>
              <w:t>4</w:t>
            </w:r>
          </w:p>
        </w:tc>
        <w:tc>
          <w:tcPr>
            <w:tcW w:w="1000" w:type="dxa"/>
            <w:vAlign w:val="bottom"/>
            <w:vMerge w:val="restart"/>
          </w:tcPr>
          <w:p>
            <w:pPr>
              <w:jc w:val="right"/>
              <w:ind w:right="12"/>
              <w:spacing w:after="0"/>
              <w:rPr>
                <w:sz w:val="20"/>
                <w:szCs w:val="20"/>
                <w:color w:val="auto"/>
              </w:rPr>
            </w:pPr>
            <w:r>
              <w:rPr>
                <w:rFonts w:ascii="Verdana" w:cs="Verdana" w:eastAsia="Verdana" w:hAnsi="Verdana"/>
                <w:sz w:val="14"/>
                <w:szCs w:val="14"/>
                <w:color w:val="auto"/>
              </w:rPr>
              <w:t>(9,205)</w:t>
            </w:r>
          </w:p>
        </w:tc>
        <w:tc>
          <w:tcPr>
            <w:tcW w:w="1040" w:type="dxa"/>
            <w:vAlign w:val="bottom"/>
            <w:vMerge w:val="restart"/>
          </w:tcPr>
          <w:p>
            <w:pPr>
              <w:jc w:val="right"/>
              <w:ind w:right="92"/>
              <w:spacing w:after="0"/>
              <w:rPr>
                <w:sz w:val="20"/>
                <w:szCs w:val="20"/>
                <w:color w:val="auto"/>
              </w:rPr>
            </w:pPr>
            <w:r>
              <w:rPr>
                <w:rFonts w:ascii="Verdana" w:cs="Verdana" w:eastAsia="Verdana" w:hAnsi="Verdana"/>
                <w:sz w:val="14"/>
                <w:szCs w:val="14"/>
                <w:color w:val="auto"/>
              </w:rPr>
              <w:t>—</w:t>
            </w:r>
          </w:p>
        </w:tc>
        <w:tc>
          <w:tcPr>
            <w:tcW w:w="640" w:type="dxa"/>
            <w:vAlign w:val="bottom"/>
            <w:vMerge w:val="restart"/>
          </w:tcPr>
          <w:p>
            <w:pPr>
              <w:jc w:val="right"/>
              <w:ind w:right="72"/>
              <w:spacing w:after="0"/>
              <w:rPr>
                <w:sz w:val="20"/>
                <w:szCs w:val="20"/>
                <w:color w:val="auto"/>
              </w:rPr>
            </w:pPr>
            <w:r>
              <w:rPr>
                <w:rFonts w:ascii="Verdana" w:cs="Verdana" w:eastAsia="Verdana" w:hAnsi="Verdana"/>
                <w:sz w:val="14"/>
                <w:szCs w:val="14"/>
                <w:color w:val="auto"/>
              </w:rPr>
              <w:t>115</w:t>
            </w:r>
          </w:p>
        </w:tc>
        <w:tc>
          <w:tcPr>
            <w:tcW w:w="700" w:type="dxa"/>
            <w:vAlign w:val="bottom"/>
            <w:vMerge w:val="restart"/>
          </w:tcPr>
          <w:p>
            <w:pPr>
              <w:jc w:val="right"/>
              <w:spacing w:after="0"/>
              <w:rPr>
                <w:sz w:val="20"/>
                <w:szCs w:val="20"/>
                <w:color w:val="auto"/>
              </w:rPr>
            </w:pPr>
            <w:r>
              <w:rPr>
                <w:rFonts w:ascii="Verdana" w:cs="Verdana" w:eastAsia="Verdana" w:hAnsi="Verdana"/>
                <w:sz w:val="14"/>
                <w:szCs w:val="14"/>
                <w:color w:val="auto"/>
              </w:rPr>
              <w:t>(5,319)</w:t>
            </w:r>
          </w:p>
        </w:tc>
        <w:tc>
          <w:tcPr>
            <w:tcW w:w="1020" w:type="dxa"/>
            <w:vAlign w:val="bottom"/>
            <w:vMerge w:val="restart"/>
          </w:tcPr>
          <w:p>
            <w:pPr>
              <w:jc w:val="right"/>
              <w:spacing w:after="0"/>
              <w:rPr>
                <w:sz w:val="20"/>
                <w:szCs w:val="20"/>
                <w:color w:val="auto"/>
              </w:rPr>
            </w:pPr>
            <w:r>
              <w:rPr>
                <w:rFonts w:ascii="Verdana" w:cs="Verdana" w:eastAsia="Verdana" w:hAnsi="Verdana"/>
                <w:sz w:val="14"/>
                <w:szCs w:val="14"/>
                <w:color w:val="auto"/>
              </w:rPr>
              <w:t>(14,520)</w:t>
            </w:r>
          </w:p>
        </w:tc>
        <w:tc>
          <w:tcPr>
            <w:tcW w:w="900" w:type="dxa"/>
            <w:vAlign w:val="bottom"/>
            <w:vMerge w:val="restart"/>
          </w:tcPr>
          <w:p>
            <w:pPr>
              <w:jc w:val="right"/>
              <w:ind w:right="72"/>
              <w:spacing w:after="0"/>
              <w:rPr>
                <w:sz w:val="20"/>
                <w:szCs w:val="20"/>
                <w:color w:val="auto"/>
              </w:rPr>
            </w:pPr>
            <w:r>
              <w:rPr>
                <w:rFonts w:ascii="Verdana" w:cs="Verdana" w:eastAsia="Verdana" w:hAnsi="Verdana"/>
                <w:sz w:val="14"/>
                <w:szCs w:val="14"/>
                <w:color w:val="auto"/>
              </w:rPr>
              <w:t>—</w:t>
            </w:r>
          </w:p>
        </w:tc>
        <w:tc>
          <w:tcPr>
            <w:tcW w:w="900" w:type="dxa"/>
            <w:vAlign w:val="bottom"/>
            <w:gridSpan w:val="2"/>
            <w:vMerge w:val="restart"/>
          </w:tcPr>
          <w:p>
            <w:pPr>
              <w:jc w:val="right"/>
              <w:spacing w:after="0"/>
              <w:rPr>
                <w:sz w:val="20"/>
                <w:szCs w:val="20"/>
                <w:color w:val="auto"/>
              </w:rPr>
            </w:pPr>
            <w:r>
              <w:rPr>
                <w:rFonts w:ascii="Verdana" w:cs="Verdana" w:eastAsia="Verdana" w:hAnsi="Verdana"/>
                <w:sz w:val="14"/>
                <w:szCs w:val="14"/>
                <w:color w:val="auto"/>
              </w:rPr>
              <w:t>(14,520)</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purchase plans, net of shares withheld for taxes</w:t>
            </w: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40" w:type="dxa"/>
            <w:vAlign w:val="bottom"/>
          </w:tcPr>
          <w:p>
            <w:pPr>
              <w:spacing w:after="0"/>
              <w:rPr>
                <w:sz w:val="15"/>
                <w:szCs w:val="15"/>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Issuance of common stock pursuant to public</w:t>
            </w:r>
          </w:p>
        </w:tc>
        <w:tc>
          <w:tcPr>
            <w:tcW w:w="700" w:type="dxa"/>
            <w:vAlign w:val="bottom"/>
            <w:vMerge w:val="restart"/>
          </w:tcPr>
          <w:p>
            <w:pPr>
              <w:jc w:val="right"/>
              <w:ind w:right="52"/>
              <w:spacing w:after="0"/>
              <w:rPr>
                <w:sz w:val="20"/>
                <w:szCs w:val="20"/>
                <w:color w:val="auto"/>
              </w:rPr>
            </w:pPr>
            <w:r>
              <w:rPr>
                <w:rFonts w:ascii="Verdana" w:cs="Verdana" w:eastAsia="Verdana" w:hAnsi="Verdana"/>
                <w:sz w:val="14"/>
                <w:szCs w:val="14"/>
                <w:color w:val="auto"/>
              </w:rPr>
              <w:t>5,250</w:t>
            </w:r>
          </w:p>
        </w:tc>
        <w:tc>
          <w:tcPr>
            <w:tcW w:w="600" w:type="dxa"/>
            <w:vAlign w:val="bottom"/>
            <w:vMerge w:val="restart"/>
          </w:tcPr>
          <w:p>
            <w:pPr>
              <w:jc w:val="right"/>
              <w:ind w:right="11"/>
              <w:spacing w:after="0"/>
              <w:rPr>
                <w:sz w:val="20"/>
                <w:szCs w:val="20"/>
                <w:color w:val="auto"/>
              </w:rPr>
            </w:pPr>
            <w:r>
              <w:rPr>
                <w:rFonts w:ascii="Verdana" w:cs="Verdana" w:eastAsia="Verdana" w:hAnsi="Verdana"/>
                <w:sz w:val="14"/>
                <w:szCs w:val="14"/>
                <w:color w:val="auto"/>
              </w:rPr>
              <w:t>53</w:t>
            </w:r>
          </w:p>
        </w:tc>
        <w:tc>
          <w:tcPr>
            <w:tcW w:w="1000" w:type="dxa"/>
            <w:vAlign w:val="bottom"/>
            <w:vMerge w:val="restart"/>
          </w:tcPr>
          <w:p>
            <w:pPr>
              <w:jc w:val="right"/>
              <w:ind w:right="72"/>
              <w:spacing w:after="0"/>
              <w:rPr>
                <w:sz w:val="20"/>
                <w:szCs w:val="20"/>
                <w:color w:val="auto"/>
              </w:rPr>
            </w:pPr>
            <w:r>
              <w:rPr>
                <w:rFonts w:ascii="Verdana" w:cs="Verdana" w:eastAsia="Verdana" w:hAnsi="Verdana"/>
                <w:sz w:val="14"/>
                <w:szCs w:val="14"/>
                <w:color w:val="auto"/>
              </w:rPr>
              <w:t>344,610</w:t>
            </w:r>
          </w:p>
        </w:tc>
        <w:tc>
          <w:tcPr>
            <w:tcW w:w="1040" w:type="dxa"/>
            <w:vAlign w:val="bottom"/>
            <w:vMerge w:val="restart"/>
          </w:tcPr>
          <w:p>
            <w:pPr>
              <w:jc w:val="right"/>
              <w:ind w:right="92"/>
              <w:spacing w:after="0"/>
              <w:rPr>
                <w:sz w:val="20"/>
                <w:szCs w:val="20"/>
                <w:color w:val="auto"/>
              </w:rPr>
            </w:pPr>
            <w:r>
              <w:rPr>
                <w:rFonts w:ascii="Verdana" w:cs="Verdana" w:eastAsia="Verdana" w:hAnsi="Verdana"/>
                <w:sz w:val="14"/>
                <w:szCs w:val="14"/>
                <w:color w:val="auto"/>
              </w:rPr>
              <w:t>—</w:t>
            </w:r>
          </w:p>
        </w:tc>
        <w:tc>
          <w:tcPr>
            <w:tcW w:w="640" w:type="dxa"/>
            <w:vAlign w:val="bottom"/>
            <w:vMerge w:val="restart"/>
          </w:tcPr>
          <w:p>
            <w:pPr>
              <w:jc w:val="right"/>
              <w:ind w:right="72"/>
              <w:spacing w:after="0"/>
              <w:rPr>
                <w:sz w:val="20"/>
                <w:szCs w:val="20"/>
                <w:color w:val="auto"/>
              </w:rPr>
            </w:pPr>
            <w:r>
              <w:rPr>
                <w:rFonts w:ascii="Verdana" w:cs="Verdana" w:eastAsia="Verdana" w:hAnsi="Verdana"/>
                <w:sz w:val="14"/>
                <w:szCs w:val="14"/>
                <w:color w:val="auto"/>
              </w:rPr>
              <w:t>—</w:t>
            </w:r>
          </w:p>
        </w:tc>
        <w:tc>
          <w:tcPr>
            <w:tcW w:w="700" w:type="dxa"/>
            <w:vAlign w:val="bottom"/>
            <w:vMerge w:val="restart"/>
          </w:tcPr>
          <w:p>
            <w:pPr>
              <w:jc w:val="right"/>
              <w:ind w:right="11"/>
              <w:spacing w:after="0"/>
              <w:rPr>
                <w:sz w:val="20"/>
                <w:szCs w:val="20"/>
                <w:color w:val="auto"/>
              </w:rPr>
            </w:pPr>
            <w:r>
              <w:rPr>
                <w:rFonts w:ascii="Verdana" w:cs="Verdana" w:eastAsia="Verdana" w:hAnsi="Verdana"/>
                <w:sz w:val="14"/>
                <w:szCs w:val="14"/>
                <w:color w:val="auto"/>
              </w:rPr>
              <w:t>—</w:t>
            </w:r>
          </w:p>
        </w:tc>
        <w:tc>
          <w:tcPr>
            <w:tcW w:w="1020" w:type="dxa"/>
            <w:vAlign w:val="bottom"/>
            <w:vMerge w:val="restart"/>
          </w:tcPr>
          <w:p>
            <w:pPr>
              <w:jc w:val="right"/>
              <w:ind w:right="52"/>
              <w:spacing w:after="0"/>
              <w:rPr>
                <w:sz w:val="20"/>
                <w:szCs w:val="20"/>
                <w:color w:val="auto"/>
              </w:rPr>
            </w:pPr>
            <w:r>
              <w:rPr>
                <w:rFonts w:ascii="Verdana" w:cs="Verdana" w:eastAsia="Verdana" w:hAnsi="Verdana"/>
                <w:sz w:val="14"/>
                <w:szCs w:val="14"/>
                <w:color w:val="auto"/>
              </w:rPr>
              <w:t>344,663</w:t>
            </w:r>
          </w:p>
        </w:tc>
        <w:tc>
          <w:tcPr>
            <w:tcW w:w="900" w:type="dxa"/>
            <w:vAlign w:val="bottom"/>
            <w:vMerge w:val="restart"/>
          </w:tcPr>
          <w:p>
            <w:pPr>
              <w:jc w:val="right"/>
              <w:ind w:right="72"/>
              <w:spacing w:after="0"/>
              <w:rPr>
                <w:sz w:val="20"/>
                <w:szCs w:val="20"/>
                <w:color w:val="auto"/>
              </w:rPr>
            </w:pPr>
            <w:r>
              <w:rPr>
                <w:rFonts w:ascii="Verdana" w:cs="Verdana" w:eastAsia="Verdana" w:hAnsi="Verdana"/>
                <w:sz w:val="14"/>
                <w:szCs w:val="14"/>
                <w:color w:val="auto"/>
              </w:rPr>
              <w:t>—</w:t>
            </w:r>
          </w:p>
        </w:tc>
        <w:tc>
          <w:tcPr>
            <w:tcW w:w="900" w:type="dxa"/>
            <w:vAlign w:val="bottom"/>
            <w:gridSpan w:val="2"/>
            <w:vMerge w:val="restart"/>
          </w:tcPr>
          <w:p>
            <w:pPr>
              <w:jc w:val="right"/>
              <w:spacing w:after="0"/>
              <w:rPr>
                <w:sz w:val="20"/>
                <w:szCs w:val="20"/>
                <w:color w:val="auto"/>
              </w:rPr>
            </w:pPr>
            <w:r>
              <w:rPr>
                <w:rFonts w:ascii="Verdana" w:cs="Verdana" w:eastAsia="Verdana" w:hAnsi="Verdana"/>
                <w:sz w:val="14"/>
                <w:szCs w:val="14"/>
                <w:color w:val="auto"/>
              </w:rPr>
              <w:t>344,663</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offering</w:t>
            </w: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640" w:type="dxa"/>
            <w:vAlign w:val="bottom"/>
          </w:tcPr>
          <w:p>
            <w:pPr>
              <w:spacing w:after="0"/>
              <w:rPr>
                <w:sz w:val="19"/>
                <w:szCs w:val="19"/>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Cost to issue equity</w:t>
            </w:r>
          </w:p>
        </w:tc>
        <w:tc>
          <w:tcPr>
            <w:tcW w:w="700" w:type="dxa"/>
            <w:vAlign w:val="bottom"/>
          </w:tcPr>
          <w:p>
            <w:pPr>
              <w:jc w:val="right"/>
              <w:ind w:right="52"/>
              <w:spacing w:after="0"/>
              <w:rPr>
                <w:sz w:val="20"/>
                <w:szCs w:val="20"/>
                <w:color w:val="auto"/>
              </w:rPr>
            </w:pPr>
            <w:r>
              <w:rPr>
                <w:rFonts w:ascii="Verdana" w:cs="Verdana" w:eastAsia="Verdana" w:hAnsi="Verdana"/>
                <w:sz w:val="14"/>
                <w:szCs w:val="14"/>
                <w:color w:val="auto"/>
              </w:rPr>
              <w:t>—</w:t>
            </w:r>
          </w:p>
        </w:tc>
        <w:tc>
          <w:tcPr>
            <w:tcW w:w="600" w:type="dxa"/>
            <w:vAlign w:val="bottom"/>
          </w:tcPr>
          <w:p>
            <w:pPr>
              <w:jc w:val="right"/>
              <w:ind w:right="11"/>
              <w:spacing w:after="0"/>
              <w:rPr>
                <w:sz w:val="20"/>
                <w:szCs w:val="20"/>
                <w:color w:val="auto"/>
              </w:rPr>
            </w:pPr>
            <w:r>
              <w:rPr>
                <w:rFonts w:ascii="Verdana" w:cs="Verdana" w:eastAsia="Verdana" w:hAnsi="Verdana"/>
                <w:sz w:val="14"/>
                <w:szCs w:val="14"/>
                <w:color w:val="auto"/>
              </w:rPr>
              <w:t>—</w:t>
            </w:r>
          </w:p>
        </w:tc>
        <w:tc>
          <w:tcPr>
            <w:tcW w:w="1000" w:type="dxa"/>
            <w:vAlign w:val="bottom"/>
          </w:tcPr>
          <w:p>
            <w:pPr>
              <w:jc w:val="right"/>
              <w:ind w:right="12"/>
              <w:spacing w:after="0"/>
              <w:rPr>
                <w:sz w:val="20"/>
                <w:szCs w:val="20"/>
                <w:color w:val="auto"/>
              </w:rPr>
            </w:pPr>
            <w:r>
              <w:rPr>
                <w:rFonts w:ascii="Verdana" w:cs="Verdana" w:eastAsia="Verdana" w:hAnsi="Verdana"/>
                <w:sz w:val="14"/>
                <w:szCs w:val="14"/>
                <w:color w:val="auto"/>
              </w:rPr>
              <w:t>(2,566)</w:t>
            </w:r>
          </w:p>
        </w:tc>
        <w:tc>
          <w:tcPr>
            <w:tcW w:w="1040" w:type="dxa"/>
            <w:vAlign w:val="bottom"/>
          </w:tcPr>
          <w:p>
            <w:pPr>
              <w:jc w:val="right"/>
              <w:ind w:right="92"/>
              <w:spacing w:after="0"/>
              <w:rPr>
                <w:sz w:val="20"/>
                <w:szCs w:val="20"/>
                <w:color w:val="auto"/>
              </w:rPr>
            </w:pPr>
            <w:r>
              <w:rPr>
                <w:rFonts w:ascii="Verdana" w:cs="Verdana" w:eastAsia="Verdana" w:hAnsi="Verdana"/>
                <w:sz w:val="14"/>
                <w:szCs w:val="14"/>
                <w:color w:val="auto"/>
              </w:rPr>
              <w:t>—</w:t>
            </w:r>
          </w:p>
        </w:tc>
        <w:tc>
          <w:tcPr>
            <w:tcW w:w="640" w:type="dxa"/>
            <w:vAlign w:val="bottom"/>
          </w:tcPr>
          <w:p>
            <w:pPr>
              <w:jc w:val="right"/>
              <w:ind w:right="72"/>
              <w:spacing w:after="0"/>
              <w:rPr>
                <w:sz w:val="20"/>
                <w:szCs w:val="20"/>
                <w:color w:val="auto"/>
              </w:rPr>
            </w:pPr>
            <w:r>
              <w:rPr>
                <w:rFonts w:ascii="Verdana" w:cs="Verdana" w:eastAsia="Verdana" w:hAnsi="Verdana"/>
                <w:sz w:val="14"/>
                <w:szCs w:val="14"/>
                <w:color w:val="auto"/>
              </w:rPr>
              <w:t>—</w:t>
            </w:r>
          </w:p>
        </w:tc>
        <w:tc>
          <w:tcPr>
            <w:tcW w:w="700" w:type="dxa"/>
            <w:vAlign w:val="bottom"/>
          </w:tcPr>
          <w:p>
            <w:pPr>
              <w:jc w:val="right"/>
              <w:ind w:right="11"/>
              <w:spacing w:after="0"/>
              <w:rPr>
                <w:sz w:val="20"/>
                <w:szCs w:val="20"/>
                <w:color w:val="auto"/>
              </w:rPr>
            </w:pPr>
            <w:r>
              <w:rPr>
                <w:rFonts w:ascii="Verdana" w:cs="Verdana" w:eastAsia="Verdana" w:hAnsi="Verdana"/>
                <w:sz w:val="14"/>
                <w:szCs w:val="14"/>
                <w:color w:val="auto"/>
              </w:rPr>
              <w:t>—</w:t>
            </w:r>
          </w:p>
        </w:tc>
        <w:tc>
          <w:tcPr>
            <w:tcW w:w="1020" w:type="dxa"/>
            <w:vAlign w:val="bottom"/>
          </w:tcPr>
          <w:p>
            <w:pPr>
              <w:jc w:val="right"/>
              <w:spacing w:after="0"/>
              <w:rPr>
                <w:sz w:val="20"/>
                <w:szCs w:val="20"/>
                <w:color w:val="auto"/>
              </w:rPr>
            </w:pPr>
            <w:r>
              <w:rPr>
                <w:rFonts w:ascii="Verdana" w:cs="Verdana" w:eastAsia="Verdana" w:hAnsi="Verdana"/>
                <w:sz w:val="14"/>
                <w:szCs w:val="14"/>
                <w:color w:val="auto"/>
              </w:rPr>
              <w:t>(2,566)</w:t>
            </w:r>
          </w:p>
        </w:tc>
        <w:tc>
          <w:tcPr>
            <w:tcW w:w="900" w:type="dxa"/>
            <w:vAlign w:val="bottom"/>
          </w:tcPr>
          <w:p>
            <w:pPr>
              <w:jc w:val="right"/>
              <w:ind w:right="72"/>
              <w:spacing w:after="0"/>
              <w:rPr>
                <w:sz w:val="20"/>
                <w:szCs w:val="20"/>
                <w:color w:val="auto"/>
              </w:rPr>
            </w:pPr>
            <w:r>
              <w:rPr>
                <w:rFonts w:ascii="Verdana" w:cs="Verdana" w:eastAsia="Verdana" w:hAnsi="Verdana"/>
                <w:sz w:val="14"/>
                <w:szCs w:val="14"/>
                <w:color w:val="auto"/>
              </w:rPr>
              <w:t>—</w:t>
            </w:r>
          </w:p>
        </w:tc>
        <w:tc>
          <w:tcPr>
            <w:tcW w:w="900" w:type="dxa"/>
            <w:vAlign w:val="bottom"/>
            <w:gridSpan w:val="2"/>
          </w:tcPr>
          <w:p>
            <w:pPr>
              <w:jc w:val="right"/>
              <w:spacing w:after="0"/>
              <w:rPr>
                <w:sz w:val="20"/>
                <w:szCs w:val="20"/>
                <w:color w:val="auto"/>
              </w:rPr>
            </w:pPr>
            <w:r>
              <w:rPr>
                <w:rFonts w:ascii="Verdana" w:cs="Verdana" w:eastAsia="Verdana" w:hAnsi="Verdana"/>
                <w:sz w:val="14"/>
                <w:szCs w:val="14"/>
                <w:color w:val="auto"/>
              </w:rPr>
              <w:t>(2,566)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40" w:type="dxa"/>
            <w:vAlign w:val="bottom"/>
          </w:tcPr>
          <w:p>
            <w:pPr>
              <w:spacing w:after="0"/>
              <w:rPr>
                <w:sz w:val="15"/>
                <w:szCs w:val="15"/>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Stock-based compensation expense related to</w:t>
            </w: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3080" w:type="dxa"/>
            <w:vAlign w:val="bottom"/>
          </w:tcPr>
          <w:p>
            <w:pPr>
              <w:ind w:left="60"/>
              <w:spacing w:after="0" w:line="142" w:lineRule="exact"/>
              <w:rPr>
                <w:sz w:val="20"/>
                <w:szCs w:val="20"/>
                <w:color w:val="auto"/>
              </w:rPr>
            </w:pPr>
            <w:r>
              <w:rPr>
                <w:rFonts w:ascii="Verdana" w:cs="Verdana" w:eastAsia="Verdana" w:hAnsi="Verdana"/>
                <w:sz w:val="12"/>
                <w:szCs w:val="12"/>
                <w:color w:val="auto"/>
              </w:rPr>
              <w:t>equity-based awards including amounts</w:t>
            </w:r>
          </w:p>
        </w:tc>
        <w:tc>
          <w:tcPr>
            <w:tcW w:w="700" w:type="dxa"/>
            <w:vAlign w:val="bottom"/>
            <w:vMerge w:val="restart"/>
          </w:tcPr>
          <w:p>
            <w:pPr>
              <w:jc w:val="right"/>
              <w:ind w:right="52"/>
              <w:spacing w:after="0"/>
              <w:rPr>
                <w:sz w:val="20"/>
                <w:szCs w:val="20"/>
                <w:color w:val="auto"/>
              </w:rPr>
            </w:pPr>
            <w:r>
              <w:rPr>
                <w:rFonts w:ascii="Verdana" w:cs="Verdana" w:eastAsia="Verdana" w:hAnsi="Verdana"/>
                <w:sz w:val="14"/>
                <w:szCs w:val="14"/>
                <w:color w:val="auto"/>
              </w:rPr>
              <w:t>—</w:t>
            </w:r>
          </w:p>
        </w:tc>
        <w:tc>
          <w:tcPr>
            <w:tcW w:w="600" w:type="dxa"/>
            <w:vAlign w:val="bottom"/>
            <w:vMerge w:val="restart"/>
          </w:tcPr>
          <w:p>
            <w:pPr>
              <w:jc w:val="right"/>
              <w:ind w:right="11"/>
              <w:spacing w:after="0"/>
              <w:rPr>
                <w:sz w:val="20"/>
                <w:szCs w:val="20"/>
                <w:color w:val="auto"/>
              </w:rPr>
            </w:pPr>
            <w:r>
              <w:rPr>
                <w:rFonts w:ascii="Verdana" w:cs="Verdana" w:eastAsia="Verdana" w:hAnsi="Verdana"/>
                <w:sz w:val="14"/>
                <w:szCs w:val="14"/>
                <w:color w:val="auto"/>
              </w:rPr>
              <w:t>—</w:t>
            </w:r>
          </w:p>
        </w:tc>
        <w:tc>
          <w:tcPr>
            <w:tcW w:w="1000" w:type="dxa"/>
            <w:vAlign w:val="bottom"/>
            <w:vMerge w:val="restart"/>
          </w:tcPr>
          <w:p>
            <w:pPr>
              <w:jc w:val="right"/>
              <w:ind w:right="72"/>
              <w:spacing w:after="0"/>
              <w:rPr>
                <w:sz w:val="20"/>
                <w:szCs w:val="20"/>
                <w:color w:val="auto"/>
              </w:rPr>
            </w:pPr>
            <w:r>
              <w:rPr>
                <w:rFonts w:ascii="Verdana" w:cs="Verdana" w:eastAsia="Verdana" w:hAnsi="Verdana"/>
                <w:sz w:val="14"/>
                <w:szCs w:val="14"/>
                <w:color w:val="auto"/>
              </w:rPr>
              <w:t>23,749</w:t>
            </w:r>
          </w:p>
        </w:tc>
        <w:tc>
          <w:tcPr>
            <w:tcW w:w="1040" w:type="dxa"/>
            <w:vAlign w:val="bottom"/>
            <w:vMerge w:val="restart"/>
          </w:tcPr>
          <w:p>
            <w:pPr>
              <w:jc w:val="right"/>
              <w:ind w:right="92"/>
              <w:spacing w:after="0"/>
              <w:rPr>
                <w:sz w:val="20"/>
                <w:szCs w:val="20"/>
                <w:color w:val="auto"/>
              </w:rPr>
            </w:pPr>
            <w:r>
              <w:rPr>
                <w:rFonts w:ascii="Verdana" w:cs="Verdana" w:eastAsia="Verdana" w:hAnsi="Verdana"/>
                <w:sz w:val="14"/>
                <w:szCs w:val="14"/>
                <w:color w:val="auto"/>
              </w:rPr>
              <w:t>—</w:t>
            </w:r>
          </w:p>
        </w:tc>
        <w:tc>
          <w:tcPr>
            <w:tcW w:w="640" w:type="dxa"/>
            <w:vAlign w:val="bottom"/>
            <w:vMerge w:val="restart"/>
          </w:tcPr>
          <w:p>
            <w:pPr>
              <w:jc w:val="right"/>
              <w:ind w:right="72"/>
              <w:spacing w:after="0"/>
              <w:rPr>
                <w:sz w:val="20"/>
                <w:szCs w:val="20"/>
                <w:color w:val="auto"/>
              </w:rPr>
            </w:pPr>
            <w:r>
              <w:rPr>
                <w:rFonts w:ascii="Verdana" w:cs="Verdana" w:eastAsia="Verdana" w:hAnsi="Verdana"/>
                <w:sz w:val="14"/>
                <w:szCs w:val="14"/>
                <w:color w:val="auto"/>
              </w:rPr>
              <w:t>—</w:t>
            </w:r>
          </w:p>
        </w:tc>
        <w:tc>
          <w:tcPr>
            <w:tcW w:w="700" w:type="dxa"/>
            <w:vAlign w:val="bottom"/>
            <w:vMerge w:val="restart"/>
          </w:tcPr>
          <w:p>
            <w:pPr>
              <w:jc w:val="right"/>
              <w:ind w:right="11"/>
              <w:spacing w:after="0"/>
              <w:rPr>
                <w:sz w:val="20"/>
                <w:szCs w:val="20"/>
                <w:color w:val="auto"/>
              </w:rPr>
            </w:pPr>
            <w:r>
              <w:rPr>
                <w:rFonts w:ascii="Verdana" w:cs="Verdana" w:eastAsia="Verdana" w:hAnsi="Verdana"/>
                <w:sz w:val="14"/>
                <w:szCs w:val="14"/>
                <w:color w:val="auto"/>
              </w:rPr>
              <w:t>—</w:t>
            </w:r>
          </w:p>
        </w:tc>
        <w:tc>
          <w:tcPr>
            <w:tcW w:w="1020" w:type="dxa"/>
            <w:vAlign w:val="bottom"/>
            <w:vMerge w:val="restart"/>
          </w:tcPr>
          <w:p>
            <w:pPr>
              <w:jc w:val="right"/>
              <w:ind w:right="52"/>
              <w:spacing w:after="0"/>
              <w:rPr>
                <w:sz w:val="20"/>
                <w:szCs w:val="20"/>
                <w:color w:val="auto"/>
              </w:rPr>
            </w:pPr>
            <w:r>
              <w:rPr>
                <w:rFonts w:ascii="Verdana" w:cs="Verdana" w:eastAsia="Verdana" w:hAnsi="Verdana"/>
                <w:sz w:val="14"/>
                <w:szCs w:val="14"/>
                <w:color w:val="auto"/>
              </w:rPr>
              <w:t>23,749</w:t>
            </w:r>
          </w:p>
        </w:tc>
        <w:tc>
          <w:tcPr>
            <w:tcW w:w="900" w:type="dxa"/>
            <w:vAlign w:val="bottom"/>
            <w:vMerge w:val="restart"/>
          </w:tcPr>
          <w:p>
            <w:pPr>
              <w:jc w:val="right"/>
              <w:ind w:right="72"/>
              <w:spacing w:after="0"/>
              <w:rPr>
                <w:sz w:val="20"/>
                <w:szCs w:val="20"/>
                <w:color w:val="auto"/>
              </w:rPr>
            </w:pPr>
            <w:r>
              <w:rPr>
                <w:rFonts w:ascii="Verdana" w:cs="Verdana" w:eastAsia="Verdana" w:hAnsi="Verdana"/>
                <w:sz w:val="14"/>
                <w:szCs w:val="14"/>
                <w:color w:val="auto"/>
              </w:rPr>
              <w:t>—</w:t>
            </w:r>
          </w:p>
        </w:tc>
        <w:tc>
          <w:tcPr>
            <w:tcW w:w="900" w:type="dxa"/>
            <w:vAlign w:val="bottom"/>
            <w:gridSpan w:val="2"/>
            <w:vMerge w:val="restart"/>
          </w:tcPr>
          <w:p>
            <w:pPr>
              <w:jc w:val="right"/>
              <w:spacing w:after="0"/>
              <w:rPr>
                <w:sz w:val="20"/>
                <w:szCs w:val="20"/>
                <w:color w:val="auto"/>
              </w:rPr>
            </w:pPr>
            <w:r>
              <w:rPr>
                <w:rFonts w:ascii="Verdana" w:cs="Verdana" w:eastAsia="Verdana" w:hAnsi="Verdana"/>
                <w:sz w:val="14"/>
                <w:szCs w:val="14"/>
                <w:color w:val="auto"/>
              </w:rPr>
              <w:t>23,749</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40" w:type="dxa"/>
            <w:vAlign w:val="bottom"/>
          </w:tcPr>
          <w:p>
            <w:pPr>
              <w:spacing w:after="0"/>
              <w:rPr>
                <w:sz w:val="14"/>
                <w:szCs w:val="14"/>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capitalized</w:t>
            </w: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40" w:type="dxa"/>
            <w:vAlign w:val="bottom"/>
          </w:tcPr>
          <w:p>
            <w:pPr>
              <w:spacing w:after="0"/>
              <w:rPr>
                <w:sz w:val="15"/>
                <w:szCs w:val="15"/>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Contribution of Pronto to San Mateo (See Note</w:t>
            </w:r>
          </w:p>
        </w:tc>
        <w:tc>
          <w:tcPr>
            <w:tcW w:w="700" w:type="dxa"/>
            <w:vAlign w:val="bottom"/>
            <w:vMerge w:val="restart"/>
          </w:tcPr>
          <w:p>
            <w:pPr>
              <w:jc w:val="right"/>
              <w:ind w:right="52"/>
              <w:spacing w:after="0"/>
              <w:rPr>
                <w:sz w:val="20"/>
                <w:szCs w:val="20"/>
                <w:color w:val="auto"/>
              </w:rPr>
            </w:pPr>
            <w:r>
              <w:rPr>
                <w:rFonts w:ascii="Verdana" w:cs="Verdana" w:eastAsia="Verdana" w:hAnsi="Verdana"/>
                <w:sz w:val="14"/>
                <w:szCs w:val="14"/>
                <w:color w:val="auto"/>
              </w:rPr>
              <w:t>—</w:t>
            </w:r>
          </w:p>
        </w:tc>
        <w:tc>
          <w:tcPr>
            <w:tcW w:w="600" w:type="dxa"/>
            <w:vAlign w:val="bottom"/>
            <w:vMerge w:val="restart"/>
          </w:tcPr>
          <w:p>
            <w:pPr>
              <w:jc w:val="right"/>
              <w:ind w:right="11"/>
              <w:spacing w:after="0"/>
              <w:rPr>
                <w:sz w:val="20"/>
                <w:szCs w:val="20"/>
                <w:color w:val="auto"/>
              </w:rPr>
            </w:pPr>
            <w:r>
              <w:rPr>
                <w:rFonts w:ascii="Verdana" w:cs="Verdana" w:eastAsia="Verdana" w:hAnsi="Verdana"/>
                <w:sz w:val="14"/>
                <w:szCs w:val="14"/>
                <w:color w:val="auto"/>
              </w:rPr>
              <w:t>—</w:t>
            </w:r>
          </w:p>
        </w:tc>
        <w:tc>
          <w:tcPr>
            <w:tcW w:w="1000" w:type="dxa"/>
            <w:vAlign w:val="bottom"/>
            <w:vMerge w:val="restart"/>
          </w:tcPr>
          <w:p>
            <w:pPr>
              <w:jc w:val="right"/>
              <w:ind w:right="72"/>
              <w:spacing w:after="0"/>
              <w:rPr>
                <w:sz w:val="20"/>
                <w:szCs w:val="20"/>
                <w:color w:val="auto"/>
              </w:rPr>
            </w:pPr>
            <w:r>
              <w:rPr>
                <w:rFonts w:ascii="Verdana" w:cs="Verdana" w:eastAsia="Verdana" w:hAnsi="Verdana"/>
                <w:sz w:val="14"/>
                <w:szCs w:val="14"/>
                <w:color w:val="auto"/>
              </w:rPr>
              <w:t>27,713</w:t>
            </w:r>
          </w:p>
        </w:tc>
        <w:tc>
          <w:tcPr>
            <w:tcW w:w="1040" w:type="dxa"/>
            <w:vAlign w:val="bottom"/>
            <w:vMerge w:val="restart"/>
          </w:tcPr>
          <w:p>
            <w:pPr>
              <w:jc w:val="right"/>
              <w:ind w:right="92"/>
              <w:spacing w:after="0"/>
              <w:rPr>
                <w:sz w:val="20"/>
                <w:szCs w:val="20"/>
                <w:color w:val="auto"/>
              </w:rPr>
            </w:pPr>
            <w:r>
              <w:rPr>
                <w:rFonts w:ascii="Verdana" w:cs="Verdana" w:eastAsia="Verdana" w:hAnsi="Verdana"/>
                <w:sz w:val="14"/>
                <w:szCs w:val="14"/>
                <w:color w:val="auto"/>
              </w:rPr>
              <w:t>—</w:t>
            </w:r>
          </w:p>
        </w:tc>
        <w:tc>
          <w:tcPr>
            <w:tcW w:w="640" w:type="dxa"/>
            <w:vAlign w:val="bottom"/>
            <w:vMerge w:val="restart"/>
          </w:tcPr>
          <w:p>
            <w:pPr>
              <w:jc w:val="right"/>
              <w:ind w:right="72"/>
              <w:spacing w:after="0"/>
              <w:rPr>
                <w:sz w:val="20"/>
                <w:szCs w:val="20"/>
                <w:color w:val="auto"/>
              </w:rPr>
            </w:pPr>
            <w:r>
              <w:rPr>
                <w:rFonts w:ascii="Verdana" w:cs="Verdana" w:eastAsia="Verdana" w:hAnsi="Verdana"/>
                <w:sz w:val="14"/>
                <w:szCs w:val="14"/>
                <w:color w:val="auto"/>
              </w:rPr>
              <w:t>—</w:t>
            </w:r>
          </w:p>
        </w:tc>
        <w:tc>
          <w:tcPr>
            <w:tcW w:w="700" w:type="dxa"/>
            <w:vAlign w:val="bottom"/>
            <w:vMerge w:val="restart"/>
          </w:tcPr>
          <w:p>
            <w:pPr>
              <w:jc w:val="right"/>
              <w:ind w:right="11"/>
              <w:spacing w:after="0"/>
              <w:rPr>
                <w:sz w:val="20"/>
                <w:szCs w:val="20"/>
                <w:color w:val="auto"/>
              </w:rPr>
            </w:pPr>
            <w:r>
              <w:rPr>
                <w:rFonts w:ascii="Verdana" w:cs="Verdana" w:eastAsia="Verdana" w:hAnsi="Verdana"/>
                <w:sz w:val="14"/>
                <w:szCs w:val="14"/>
                <w:color w:val="auto"/>
              </w:rPr>
              <w:t>—</w:t>
            </w:r>
          </w:p>
        </w:tc>
        <w:tc>
          <w:tcPr>
            <w:tcW w:w="1020" w:type="dxa"/>
            <w:vAlign w:val="bottom"/>
            <w:vMerge w:val="restart"/>
          </w:tcPr>
          <w:p>
            <w:pPr>
              <w:jc w:val="right"/>
              <w:ind w:right="52"/>
              <w:spacing w:after="0"/>
              <w:rPr>
                <w:sz w:val="20"/>
                <w:szCs w:val="20"/>
                <w:color w:val="auto"/>
              </w:rPr>
            </w:pPr>
            <w:r>
              <w:rPr>
                <w:rFonts w:ascii="Verdana" w:cs="Verdana" w:eastAsia="Verdana" w:hAnsi="Verdana"/>
                <w:sz w:val="14"/>
                <w:szCs w:val="14"/>
                <w:color w:val="auto"/>
              </w:rPr>
              <w:t>27,713</w:t>
            </w:r>
          </w:p>
        </w:tc>
        <w:tc>
          <w:tcPr>
            <w:tcW w:w="900" w:type="dxa"/>
            <w:vAlign w:val="bottom"/>
            <w:vMerge w:val="restart"/>
          </w:tcPr>
          <w:p>
            <w:pPr>
              <w:jc w:val="right"/>
              <w:ind w:right="72"/>
              <w:spacing w:after="0"/>
              <w:rPr>
                <w:sz w:val="20"/>
                <w:szCs w:val="20"/>
                <w:color w:val="auto"/>
              </w:rPr>
            </w:pPr>
            <w:r>
              <w:rPr>
                <w:rFonts w:ascii="Verdana" w:cs="Verdana" w:eastAsia="Verdana" w:hAnsi="Verdana"/>
                <w:sz w:val="14"/>
                <w:szCs w:val="14"/>
                <w:color w:val="auto"/>
              </w:rPr>
              <w:t>143,787</w:t>
            </w:r>
          </w:p>
        </w:tc>
        <w:tc>
          <w:tcPr>
            <w:tcW w:w="900" w:type="dxa"/>
            <w:vAlign w:val="bottom"/>
            <w:gridSpan w:val="2"/>
            <w:vMerge w:val="restart"/>
          </w:tcPr>
          <w:p>
            <w:pPr>
              <w:jc w:val="right"/>
              <w:spacing w:after="0"/>
              <w:rPr>
                <w:sz w:val="20"/>
                <w:szCs w:val="20"/>
                <w:color w:val="auto"/>
              </w:rPr>
            </w:pPr>
            <w:r>
              <w:rPr>
                <w:rFonts w:ascii="Verdana" w:cs="Verdana" w:eastAsia="Verdana" w:hAnsi="Verdana"/>
                <w:sz w:val="14"/>
                <w:szCs w:val="14"/>
                <w:color w:val="auto"/>
              </w:rPr>
              <w:t>171,500</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11)</w:t>
            </w: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40" w:type="dxa"/>
            <w:vAlign w:val="bottom"/>
          </w:tcPr>
          <w:p>
            <w:pPr>
              <w:spacing w:after="0"/>
              <w:rPr>
                <w:sz w:val="15"/>
                <w:szCs w:val="15"/>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Contributions related to formation of San Mateo,</w:t>
            </w:r>
          </w:p>
        </w:tc>
        <w:tc>
          <w:tcPr>
            <w:tcW w:w="700" w:type="dxa"/>
            <w:vAlign w:val="bottom"/>
            <w:vMerge w:val="restart"/>
          </w:tcPr>
          <w:p>
            <w:pPr>
              <w:jc w:val="right"/>
              <w:ind w:right="52"/>
              <w:spacing w:after="0"/>
              <w:rPr>
                <w:sz w:val="20"/>
                <w:szCs w:val="20"/>
                <w:color w:val="auto"/>
              </w:rPr>
            </w:pPr>
            <w:r>
              <w:rPr>
                <w:rFonts w:ascii="Verdana" w:cs="Verdana" w:eastAsia="Verdana" w:hAnsi="Verdana"/>
                <w:sz w:val="14"/>
                <w:szCs w:val="14"/>
                <w:color w:val="auto"/>
              </w:rPr>
              <w:t>—</w:t>
            </w:r>
          </w:p>
        </w:tc>
        <w:tc>
          <w:tcPr>
            <w:tcW w:w="600" w:type="dxa"/>
            <w:vAlign w:val="bottom"/>
            <w:vMerge w:val="restart"/>
          </w:tcPr>
          <w:p>
            <w:pPr>
              <w:jc w:val="right"/>
              <w:ind w:right="11"/>
              <w:spacing w:after="0"/>
              <w:rPr>
                <w:sz w:val="20"/>
                <w:szCs w:val="20"/>
                <w:color w:val="auto"/>
              </w:rPr>
            </w:pPr>
            <w:r>
              <w:rPr>
                <w:rFonts w:ascii="Verdana" w:cs="Verdana" w:eastAsia="Verdana" w:hAnsi="Verdana"/>
                <w:sz w:val="14"/>
                <w:szCs w:val="14"/>
                <w:color w:val="auto"/>
              </w:rPr>
              <w:t>—</w:t>
            </w:r>
          </w:p>
        </w:tc>
        <w:tc>
          <w:tcPr>
            <w:tcW w:w="1000" w:type="dxa"/>
            <w:vAlign w:val="bottom"/>
            <w:vMerge w:val="restart"/>
          </w:tcPr>
          <w:p>
            <w:pPr>
              <w:jc w:val="right"/>
              <w:ind w:right="72"/>
              <w:spacing w:after="0"/>
              <w:rPr>
                <w:sz w:val="20"/>
                <w:szCs w:val="20"/>
                <w:color w:val="auto"/>
              </w:rPr>
            </w:pPr>
            <w:r>
              <w:rPr>
                <w:rFonts w:ascii="Verdana" w:cs="Verdana" w:eastAsia="Verdana" w:hAnsi="Verdana"/>
                <w:sz w:val="14"/>
                <w:szCs w:val="14"/>
                <w:color w:val="auto"/>
              </w:rPr>
              <w:t>18,802</w:t>
            </w:r>
          </w:p>
        </w:tc>
        <w:tc>
          <w:tcPr>
            <w:tcW w:w="1040" w:type="dxa"/>
            <w:vAlign w:val="bottom"/>
            <w:vMerge w:val="restart"/>
          </w:tcPr>
          <w:p>
            <w:pPr>
              <w:jc w:val="right"/>
              <w:ind w:right="92"/>
              <w:spacing w:after="0"/>
              <w:rPr>
                <w:sz w:val="20"/>
                <w:szCs w:val="20"/>
                <w:color w:val="auto"/>
              </w:rPr>
            </w:pPr>
            <w:r>
              <w:rPr>
                <w:rFonts w:ascii="Verdana" w:cs="Verdana" w:eastAsia="Verdana" w:hAnsi="Verdana"/>
                <w:sz w:val="14"/>
                <w:szCs w:val="14"/>
                <w:color w:val="auto"/>
              </w:rPr>
              <w:t>—</w:t>
            </w:r>
          </w:p>
        </w:tc>
        <w:tc>
          <w:tcPr>
            <w:tcW w:w="640" w:type="dxa"/>
            <w:vAlign w:val="bottom"/>
            <w:vMerge w:val="restart"/>
          </w:tcPr>
          <w:p>
            <w:pPr>
              <w:jc w:val="right"/>
              <w:ind w:right="72"/>
              <w:spacing w:after="0"/>
              <w:rPr>
                <w:sz w:val="20"/>
                <w:szCs w:val="20"/>
                <w:color w:val="auto"/>
              </w:rPr>
            </w:pPr>
            <w:r>
              <w:rPr>
                <w:rFonts w:ascii="Verdana" w:cs="Verdana" w:eastAsia="Verdana" w:hAnsi="Verdana"/>
                <w:sz w:val="14"/>
                <w:szCs w:val="14"/>
                <w:color w:val="auto"/>
              </w:rPr>
              <w:t>—</w:t>
            </w:r>
          </w:p>
        </w:tc>
        <w:tc>
          <w:tcPr>
            <w:tcW w:w="700" w:type="dxa"/>
            <w:vAlign w:val="bottom"/>
            <w:vMerge w:val="restart"/>
          </w:tcPr>
          <w:p>
            <w:pPr>
              <w:jc w:val="right"/>
              <w:ind w:right="11"/>
              <w:spacing w:after="0"/>
              <w:rPr>
                <w:sz w:val="20"/>
                <w:szCs w:val="20"/>
                <w:color w:val="auto"/>
              </w:rPr>
            </w:pPr>
            <w:r>
              <w:rPr>
                <w:rFonts w:ascii="Verdana" w:cs="Verdana" w:eastAsia="Verdana" w:hAnsi="Verdana"/>
                <w:sz w:val="14"/>
                <w:szCs w:val="14"/>
                <w:color w:val="auto"/>
              </w:rPr>
              <w:t>—</w:t>
            </w:r>
          </w:p>
        </w:tc>
        <w:tc>
          <w:tcPr>
            <w:tcW w:w="1020" w:type="dxa"/>
            <w:vAlign w:val="bottom"/>
            <w:vMerge w:val="restart"/>
          </w:tcPr>
          <w:p>
            <w:pPr>
              <w:jc w:val="right"/>
              <w:ind w:right="52"/>
              <w:spacing w:after="0"/>
              <w:rPr>
                <w:sz w:val="20"/>
                <w:szCs w:val="20"/>
                <w:color w:val="auto"/>
              </w:rPr>
            </w:pPr>
            <w:r>
              <w:rPr>
                <w:rFonts w:ascii="Verdana" w:cs="Verdana" w:eastAsia="Verdana" w:hAnsi="Verdana"/>
                <w:sz w:val="14"/>
                <w:szCs w:val="14"/>
                <w:color w:val="auto"/>
              </w:rPr>
              <w:t>18,802</w:t>
            </w:r>
          </w:p>
        </w:tc>
        <w:tc>
          <w:tcPr>
            <w:tcW w:w="900" w:type="dxa"/>
            <w:vAlign w:val="bottom"/>
            <w:vMerge w:val="restart"/>
          </w:tcPr>
          <w:p>
            <w:pPr>
              <w:jc w:val="right"/>
              <w:ind w:right="72"/>
              <w:spacing w:after="0"/>
              <w:rPr>
                <w:sz w:val="20"/>
                <w:szCs w:val="20"/>
                <w:color w:val="auto"/>
              </w:rPr>
            </w:pPr>
            <w:r>
              <w:rPr>
                <w:rFonts w:ascii="Verdana" w:cs="Verdana" w:eastAsia="Verdana" w:hAnsi="Verdana"/>
                <w:sz w:val="14"/>
                <w:szCs w:val="14"/>
                <w:color w:val="auto"/>
              </w:rPr>
              <w:t>—</w:t>
            </w:r>
          </w:p>
        </w:tc>
        <w:tc>
          <w:tcPr>
            <w:tcW w:w="900" w:type="dxa"/>
            <w:vAlign w:val="bottom"/>
            <w:gridSpan w:val="2"/>
            <w:vMerge w:val="restart"/>
          </w:tcPr>
          <w:p>
            <w:pPr>
              <w:jc w:val="right"/>
              <w:spacing w:after="0"/>
              <w:rPr>
                <w:sz w:val="20"/>
                <w:szCs w:val="20"/>
                <w:color w:val="auto"/>
              </w:rPr>
            </w:pPr>
            <w:r>
              <w:rPr>
                <w:rFonts w:ascii="Verdana" w:cs="Verdana" w:eastAsia="Verdana" w:hAnsi="Verdana"/>
                <w:sz w:val="14"/>
                <w:szCs w:val="14"/>
                <w:color w:val="auto"/>
              </w:rPr>
              <w:t>18,802</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net of tax of $5.0 million (See Note 11)</w:t>
            </w: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40" w:type="dxa"/>
            <w:vAlign w:val="bottom"/>
          </w:tcPr>
          <w:p>
            <w:pPr>
              <w:spacing w:after="0"/>
              <w:rPr>
                <w:sz w:val="15"/>
                <w:szCs w:val="15"/>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Contributions from non-controlling interest</w:t>
            </w:r>
          </w:p>
        </w:tc>
        <w:tc>
          <w:tcPr>
            <w:tcW w:w="700" w:type="dxa"/>
            <w:vAlign w:val="bottom"/>
            <w:vMerge w:val="restart"/>
          </w:tcPr>
          <w:p>
            <w:pPr>
              <w:jc w:val="right"/>
              <w:ind w:right="52"/>
              <w:spacing w:after="0"/>
              <w:rPr>
                <w:sz w:val="20"/>
                <w:szCs w:val="20"/>
                <w:color w:val="auto"/>
              </w:rPr>
            </w:pPr>
            <w:r>
              <w:rPr>
                <w:rFonts w:ascii="Verdana" w:cs="Verdana" w:eastAsia="Verdana" w:hAnsi="Verdana"/>
                <w:sz w:val="14"/>
                <w:szCs w:val="14"/>
                <w:color w:val="auto"/>
              </w:rPr>
              <w:t>—</w:t>
            </w:r>
          </w:p>
        </w:tc>
        <w:tc>
          <w:tcPr>
            <w:tcW w:w="600" w:type="dxa"/>
            <w:vAlign w:val="bottom"/>
            <w:vMerge w:val="restart"/>
          </w:tcPr>
          <w:p>
            <w:pPr>
              <w:jc w:val="right"/>
              <w:ind w:right="11"/>
              <w:spacing w:after="0"/>
              <w:rPr>
                <w:sz w:val="20"/>
                <w:szCs w:val="20"/>
                <w:color w:val="auto"/>
              </w:rPr>
            </w:pPr>
            <w:r>
              <w:rPr>
                <w:rFonts w:ascii="Verdana" w:cs="Verdana" w:eastAsia="Verdana" w:hAnsi="Verdana"/>
                <w:sz w:val="14"/>
                <w:szCs w:val="14"/>
                <w:color w:val="auto"/>
              </w:rPr>
              <w:t>—</w:t>
            </w:r>
          </w:p>
        </w:tc>
        <w:tc>
          <w:tcPr>
            <w:tcW w:w="1000" w:type="dxa"/>
            <w:vAlign w:val="bottom"/>
            <w:vMerge w:val="restart"/>
          </w:tcPr>
          <w:p>
            <w:pPr>
              <w:jc w:val="right"/>
              <w:ind w:right="72"/>
              <w:spacing w:after="0"/>
              <w:rPr>
                <w:sz w:val="20"/>
                <w:szCs w:val="20"/>
                <w:color w:val="auto"/>
              </w:rPr>
            </w:pPr>
            <w:r>
              <w:rPr>
                <w:rFonts w:ascii="Verdana" w:cs="Verdana" w:eastAsia="Verdana" w:hAnsi="Verdana"/>
                <w:sz w:val="14"/>
                <w:szCs w:val="14"/>
                <w:color w:val="auto"/>
              </w:rPr>
              <w:t>—</w:t>
            </w:r>
          </w:p>
        </w:tc>
        <w:tc>
          <w:tcPr>
            <w:tcW w:w="1040" w:type="dxa"/>
            <w:vAlign w:val="bottom"/>
            <w:vMerge w:val="restart"/>
          </w:tcPr>
          <w:p>
            <w:pPr>
              <w:jc w:val="right"/>
              <w:ind w:right="92"/>
              <w:spacing w:after="0"/>
              <w:rPr>
                <w:sz w:val="20"/>
                <w:szCs w:val="20"/>
                <w:color w:val="auto"/>
              </w:rPr>
            </w:pPr>
            <w:r>
              <w:rPr>
                <w:rFonts w:ascii="Verdana" w:cs="Verdana" w:eastAsia="Verdana" w:hAnsi="Verdana"/>
                <w:sz w:val="14"/>
                <w:szCs w:val="14"/>
                <w:color w:val="auto"/>
              </w:rPr>
              <w:t>—</w:t>
            </w:r>
          </w:p>
        </w:tc>
        <w:tc>
          <w:tcPr>
            <w:tcW w:w="640" w:type="dxa"/>
            <w:vAlign w:val="bottom"/>
            <w:vMerge w:val="restart"/>
          </w:tcPr>
          <w:p>
            <w:pPr>
              <w:jc w:val="right"/>
              <w:ind w:right="72"/>
              <w:spacing w:after="0"/>
              <w:rPr>
                <w:sz w:val="20"/>
                <w:szCs w:val="20"/>
                <w:color w:val="auto"/>
              </w:rPr>
            </w:pPr>
            <w:r>
              <w:rPr>
                <w:rFonts w:ascii="Verdana" w:cs="Verdana" w:eastAsia="Verdana" w:hAnsi="Verdana"/>
                <w:sz w:val="14"/>
                <w:szCs w:val="14"/>
                <w:color w:val="auto"/>
              </w:rPr>
              <w:t>—</w:t>
            </w:r>
          </w:p>
        </w:tc>
        <w:tc>
          <w:tcPr>
            <w:tcW w:w="700" w:type="dxa"/>
            <w:vAlign w:val="bottom"/>
            <w:vMerge w:val="restart"/>
          </w:tcPr>
          <w:p>
            <w:pPr>
              <w:jc w:val="right"/>
              <w:ind w:right="11"/>
              <w:spacing w:after="0"/>
              <w:rPr>
                <w:sz w:val="20"/>
                <w:szCs w:val="20"/>
                <w:color w:val="auto"/>
              </w:rPr>
            </w:pPr>
            <w:r>
              <w:rPr>
                <w:rFonts w:ascii="Verdana" w:cs="Verdana" w:eastAsia="Verdana" w:hAnsi="Verdana"/>
                <w:sz w:val="14"/>
                <w:szCs w:val="14"/>
                <w:color w:val="auto"/>
              </w:rPr>
              <w:t>—</w:t>
            </w:r>
          </w:p>
        </w:tc>
        <w:tc>
          <w:tcPr>
            <w:tcW w:w="1020" w:type="dxa"/>
            <w:vAlign w:val="bottom"/>
            <w:vMerge w:val="restart"/>
          </w:tcPr>
          <w:p>
            <w:pPr>
              <w:jc w:val="right"/>
              <w:ind w:right="52"/>
              <w:spacing w:after="0"/>
              <w:rPr>
                <w:sz w:val="20"/>
                <w:szCs w:val="20"/>
                <w:color w:val="auto"/>
              </w:rPr>
            </w:pPr>
            <w:r>
              <w:rPr>
                <w:rFonts w:ascii="Verdana" w:cs="Verdana" w:eastAsia="Verdana" w:hAnsi="Verdana"/>
                <w:sz w:val="14"/>
                <w:szCs w:val="14"/>
                <w:color w:val="auto"/>
              </w:rPr>
              <w:t>—</w:t>
            </w:r>
          </w:p>
        </w:tc>
        <w:tc>
          <w:tcPr>
            <w:tcW w:w="900" w:type="dxa"/>
            <w:vAlign w:val="bottom"/>
            <w:vMerge w:val="restart"/>
          </w:tcPr>
          <w:p>
            <w:pPr>
              <w:jc w:val="right"/>
              <w:ind w:right="72"/>
              <w:spacing w:after="0"/>
              <w:rPr>
                <w:sz w:val="20"/>
                <w:szCs w:val="20"/>
                <w:color w:val="auto"/>
              </w:rPr>
            </w:pPr>
            <w:r>
              <w:rPr>
                <w:rFonts w:ascii="Verdana" w:cs="Verdana" w:eastAsia="Verdana" w:hAnsi="Verdana"/>
                <w:sz w:val="14"/>
                <w:szCs w:val="14"/>
                <w:color w:val="auto"/>
              </w:rPr>
              <w:t>19,110</w:t>
            </w:r>
          </w:p>
        </w:tc>
        <w:tc>
          <w:tcPr>
            <w:tcW w:w="900" w:type="dxa"/>
            <w:vAlign w:val="bottom"/>
            <w:gridSpan w:val="2"/>
            <w:vMerge w:val="restart"/>
          </w:tcPr>
          <w:p>
            <w:pPr>
              <w:jc w:val="right"/>
              <w:spacing w:after="0"/>
              <w:rPr>
                <w:sz w:val="20"/>
                <w:szCs w:val="20"/>
                <w:color w:val="auto"/>
              </w:rPr>
            </w:pPr>
            <w:r>
              <w:rPr>
                <w:rFonts w:ascii="Verdana" w:cs="Verdana" w:eastAsia="Verdana" w:hAnsi="Verdana"/>
                <w:sz w:val="14"/>
                <w:szCs w:val="14"/>
                <w:color w:val="auto"/>
              </w:rPr>
              <w:t>19,110</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owners of less-than-wholly-owned subsidiaries</w:t>
            </w: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40" w:type="dxa"/>
            <w:vAlign w:val="bottom"/>
          </w:tcPr>
          <w:p>
            <w:pPr>
              <w:spacing w:after="0"/>
              <w:rPr>
                <w:sz w:val="15"/>
                <w:szCs w:val="15"/>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Distributions to non-controlling interest owners</w:t>
            </w:r>
          </w:p>
        </w:tc>
        <w:tc>
          <w:tcPr>
            <w:tcW w:w="700" w:type="dxa"/>
            <w:vAlign w:val="bottom"/>
            <w:vMerge w:val="restart"/>
          </w:tcPr>
          <w:p>
            <w:pPr>
              <w:jc w:val="right"/>
              <w:ind w:right="52"/>
              <w:spacing w:after="0"/>
              <w:rPr>
                <w:sz w:val="20"/>
                <w:szCs w:val="20"/>
                <w:color w:val="auto"/>
              </w:rPr>
            </w:pPr>
            <w:r>
              <w:rPr>
                <w:rFonts w:ascii="Verdana" w:cs="Verdana" w:eastAsia="Verdana" w:hAnsi="Verdana"/>
                <w:sz w:val="14"/>
                <w:szCs w:val="14"/>
                <w:color w:val="auto"/>
              </w:rPr>
              <w:t>—</w:t>
            </w:r>
          </w:p>
        </w:tc>
        <w:tc>
          <w:tcPr>
            <w:tcW w:w="600" w:type="dxa"/>
            <w:vAlign w:val="bottom"/>
            <w:vMerge w:val="restart"/>
          </w:tcPr>
          <w:p>
            <w:pPr>
              <w:jc w:val="right"/>
              <w:ind w:right="11"/>
              <w:spacing w:after="0"/>
              <w:rPr>
                <w:sz w:val="20"/>
                <w:szCs w:val="20"/>
                <w:color w:val="auto"/>
              </w:rPr>
            </w:pPr>
            <w:r>
              <w:rPr>
                <w:rFonts w:ascii="Verdana" w:cs="Verdana" w:eastAsia="Verdana" w:hAnsi="Verdana"/>
                <w:sz w:val="14"/>
                <w:szCs w:val="14"/>
                <w:color w:val="auto"/>
              </w:rPr>
              <w:t>—</w:t>
            </w:r>
          </w:p>
        </w:tc>
        <w:tc>
          <w:tcPr>
            <w:tcW w:w="1000" w:type="dxa"/>
            <w:vAlign w:val="bottom"/>
            <w:vMerge w:val="restart"/>
          </w:tcPr>
          <w:p>
            <w:pPr>
              <w:jc w:val="right"/>
              <w:ind w:right="72"/>
              <w:spacing w:after="0"/>
              <w:rPr>
                <w:sz w:val="20"/>
                <w:szCs w:val="20"/>
                <w:color w:val="auto"/>
              </w:rPr>
            </w:pPr>
            <w:r>
              <w:rPr>
                <w:rFonts w:ascii="Verdana" w:cs="Verdana" w:eastAsia="Verdana" w:hAnsi="Verdana"/>
                <w:sz w:val="14"/>
                <w:szCs w:val="14"/>
                <w:color w:val="auto"/>
              </w:rPr>
              <w:t>—</w:t>
            </w:r>
          </w:p>
        </w:tc>
        <w:tc>
          <w:tcPr>
            <w:tcW w:w="1040" w:type="dxa"/>
            <w:vAlign w:val="bottom"/>
            <w:vMerge w:val="restart"/>
          </w:tcPr>
          <w:p>
            <w:pPr>
              <w:jc w:val="right"/>
              <w:ind w:right="92"/>
              <w:spacing w:after="0"/>
              <w:rPr>
                <w:sz w:val="20"/>
                <w:szCs w:val="20"/>
                <w:color w:val="auto"/>
              </w:rPr>
            </w:pPr>
            <w:r>
              <w:rPr>
                <w:rFonts w:ascii="Verdana" w:cs="Verdana" w:eastAsia="Verdana" w:hAnsi="Verdana"/>
                <w:sz w:val="14"/>
                <w:szCs w:val="14"/>
                <w:color w:val="auto"/>
              </w:rPr>
              <w:t>—</w:t>
            </w:r>
          </w:p>
        </w:tc>
        <w:tc>
          <w:tcPr>
            <w:tcW w:w="640" w:type="dxa"/>
            <w:vAlign w:val="bottom"/>
            <w:vMerge w:val="restart"/>
          </w:tcPr>
          <w:p>
            <w:pPr>
              <w:jc w:val="right"/>
              <w:ind w:right="72"/>
              <w:spacing w:after="0"/>
              <w:rPr>
                <w:sz w:val="20"/>
                <w:szCs w:val="20"/>
                <w:color w:val="auto"/>
              </w:rPr>
            </w:pPr>
            <w:r>
              <w:rPr>
                <w:rFonts w:ascii="Verdana" w:cs="Verdana" w:eastAsia="Verdana" w:hAnsi="Verdana"/>
                <w:sz w:val="14"/>
                <w:szCs w:val="14"/>
                <w:color w:val="auto"/>
              </w:rPr>
              <w:t>—</w:t>
            </w:r>
          </w:p>
        </w:tc>
        <w:tc>
          <w:tcPr>
            <w:tcW w:w="700" w:type="dxa"/>
            <w:vAlign w:val="bottom"/>
            <w:vMerge w:val="restart"/>
          </w:tcPr>
          <w:p>
            <w:pPr>
              <w:jc w:val="right"/>
              <w:ind w:right="11"/>
              <w:spacing w:after="0"/>
              <w:rPr>
                <w:sz w:val="20"/>
                <w:szCs w:val="20"/>
                <w:color w:val="auto"/>
              </w:rPr>
            </w:pPr>
            <w:r>
              <w:rPr>
                <w:rFonts w:ascii="Verdana" w:cs="Verdana" w:eastAsia="Verdana" w:hAnsi="Verdana"/>
                <w:sz w:val="14"/>
                <w:szCs w:val="14"/>
                <w:color w:val="auto"/>
              </w:rPr>
              <w:t>—</w:t>
            </w:r>
          </w:p>
        </w:tc>
        <w:tc>
          <w:tcPr>
            <w:tcW w:w="1020" w:type="dxa"/>
            <w:vAlign w:val="bottom"/>
            <w:vMerge w:val="restart"/>
          </w:tcPr>
          <w:p>
            <w:pPr>
              <w:jc w:val="right"/>
              <w:ind w:right="52"/>
              <w:spacing w:after="0"/>
              <w:rPr>
                <w:sz w:val="20"/>
                <w:szCs w:val="20"/>
                <w:color w:val="auto"/>
              </w:rPr>
            </w:pPr>
            <w:r>
              <w:rPr>
                <w:rFonts w:ascii="Verdana" w:cs="Verdana" w:eastAsia="Verdana" w:hAnsi="Verdana"/>
                <w:sz w:val="14"/>
                <w:szCs w:val="14"/>
                <w:color w:val="auto"/>
              </w:rPr>
              <w:t>—</w:t>
            </w:r>
          </w:p>
        </w:tc>
        <w:tc>
          <w:tcPr>
            <w:tcW w:w="900" w:type="dxa"/>
            <w:vAlign w:val="bottom"/>
            <w:vMerge w:val="restart"/>
          </w:tcPr>
          <w:p>
            <w:pPr>
              <w:jc w:val="right"/>
              <w:ind w:right="12"/>
              <w:spacing w:after="0"/>
              <w:rPr>
                <w:sz w:val="20"/>
                <w:szCs w:val="20"/>
                <w:color w:val="auto"/>
              </w:rPr>
            </w:pPr>
            <w:r>
              <w:rPr>
                <w:rFonts w:ascii="Verdana" w:cs="Verdana" w:eastAsia="Verdana" w:hAnsi="Verdana"/>
                <w:sz w:val="14"/>
                <w:szCs w:val="14"/>
                <w:color w:val="auto"/>
              </w:rPr>
              <w:t>(97,461)</w:t>
            </w:r>
          </w:p>
        </w:tc>
        <w:tc>
          <w:tcPr>
            <w:tcW w:w="900" w:type="dxa"/>
            <w:vAlign w:val="bottom"/>
            <w:gridSpan w:val="2"/>
            <w:vMerge w:val="restart"/>
          </w:tcPr>
          <w:p>
            <w:pPr>
              <w:jc w:val="right"/>
              <w:spacing w:after="0"/>
              <w:rPr>
                <w:sz w:val="20"/>
                <w:szCs w:val="20"/>
                <w:color w:val="auto"/>
              </w:rPr>
            </w:pPr>
            <w:r>
              <w:rPr>
                <w:rFonts w:ascii="Verdana" w:cs="Verdana" w:eastAsia="Verdana" w:hAnsi="Verdana"/>
                <w:sz w:val="14"/>
                <w:szCs w:val="14"/>
                <w:color w:val="auto"/>
              </w:rPr>
              <w:t>(97,461)</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of less-than-wholly-owned subsidiaries</w:t>
            </w: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640" w:type="dxa"/>
            <w:vAlign w:val="bottom"/>
          </w:tcPr>
          <w:p>
            <w:pPr>
              <w:spacing w:after="0"/>
              <w:rPr>
                <w:sz w:val="19"/>
                <w:szCs w:val="19"/>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Cancellation of treasury stock</w:t>
            </w:r>
          </w:p>
        </w:tc>
        <w:tc>
          <w:tcPr>
            <w:tcW w:w="700" w:type="dxa"/>
            <w:vAlign w:val="bottom"/>
          </w:tcPr>
          <w:p>
            <w:pPr>
              <w:jc w:val="right"/>
              <w:spacing w:after="0"/>
              <w:rPr>
                <w:sz w:val="20"/>
                <w:szCs w:val="20"/>
                <w:color w:val="auto"/>
              </w:rPr>
            </w:pPr>
            <w:r>
              <w:rPr>
                <w:rFonts w:ascii="Verdana" w:cs="Verdana" w:eastAsia="Verdana" w:hAnsi="Verdana"/>
                <w:sz w:val="14"/>
                <w:szCs w:val="14"/>
                <w:color w:val="auto"/>
              </w:rPr>
              <w:t>(82)</w:t>
            </w:r>
          </w:p>
        </w:tc>
        <w:tc>
          <w:tcPr>
            <w:tcW w:w="600" w:type="dxa"/>
            <w:vAlign w:val="bottom"/>
          </w:tcPr>
          <w:p>
            <w:pPr>
              <w:jc w:val="right"/>
              <w:ind w:right="11"/>
              <w:spacing w:after="0"/>
              <w:rPr>
                <w:sz w:val="20"/>
                <w:szCs w:val="20"/>
                <w:color w:val="auto"/>
              </w:rPr>
            </w:pPr>
            <w:r>
              <w:rPr>
                <w:rFonts w:ascii="Verdana" w:cs="Verdana" w:eastAsia="Verdana" w:hAnsi="Verdana"/>
                <w:sz w:val="14"/>
                <w:szCs w:val="14"/>
                <w:color w:val="auto"/>
              </w:rPr>
              <w:t>—</w:t>
            </w:r>
          </w:p>
        </w:tc>
        <w:tc>
          <w:tcPr>
            <w:tcW w:w="1000" w:type="dxa"/>
            <w:vAlign w:val="bottom"/>
          </w:tcPr>
          <w:p>
            <w:pPr>
              <w:jc w:val="right"/>
              <w:ind w:right="12"/>
              <w:spacing w:after="0"/>
              <w:rPr>
                <w:sz w:val="20"/>
                <w:szCs w:val="20"/>
                <w:color w:val="auto"/>
              </w:rPr>
            </w:pPr>
            <w:r>
              <w:rPr>
                <w:rFonts w:ascii="Verdana" w:cs="Verdana" w:eastAsia="Verdana" w:hAnsi="Verdana"/>
                <w:sz w:val="14"/>
                <w:szCs w:val="14"/>
                <w:color w:val="auto"/>
              </w:rPr>
              <w:t>(3,028)</w:t>
            </w:r>
          </w:p>
        </w:tc>
        <w:tc>
          <w:tcPr>
            <w:tcW w:w="1040" w:type="dxa"/>
            <w:vAlign w:val="bottom"/>
          </w:tcPr>
          <w:p>
            <w:pPr>
              <w:jc w:val="right"/>
              <w:ind w:right="92"/>
              <w:spacing w:after="0"/>
              <w:rPr>
                <w:sz w:val="20"/>
                <w:szCs w:val="20"/>
                <w:color w:val="auto"/>
              </w:rPr>
            </w:pPr>
            <w:r>
              <w:rPr>
                <w:rFonts w:ascii="Verdana" w:cs="Verdana" w:eastAsia="Verdana" w:hAnsi="Verdana"/>
                <w:sz w:val="14"/>
                <w:szCs w:val="14"/>
                <w:color w:val="auto"/>
              </w:rPr>
              <w:t>—</w:t>
            </w:r>
          </w:p>
        </w:tc>
        <w:tc>
          <w:tcPr>
            <w:tcW w:w="640" w:type="dxa"/>
            <w:vAlign w:val="bottom"/>
          </w:tcPr>
          <w:p>
            <w:pPr>
              <w:jc w:val="right"/>
              <w:ind w:right="12"/>
              <w:spacing w:after="0"/>
              <w:rPr>
                <w:sz w:val="20"/>
                <w:szCs w:val="20"/>
                <w:color w:val="auto"/>
              </w:rPr>
            </w:pPr>
            <w:r>
              <w:rPr>
                <w:rFonts w:ascii="Verdana" w:cs="Verdana" w:eastAsia="Verdana" w:hAnsi="Verdana"/>
                <w:sz w:val="14"/>
                <w:szCs w:val="14"/>
                <w:color w:val="auto"/>
              </w:rPr>
              <w:t>(82)</w:t>
            </w:r>
          </w:p>
        </w:tc>
        <w:tc>
          <w:tcPr>
            <w:tcW w:w="700" w:type="dxa"/>
            <w:vAlign w:val="bottom"/>
          </w:tcPr>
          <w:p>
            <w:pPr>
              <w:jc w:val="right"/>
              <w:ind w:right="11"/>
              <w:spacing w:after="0"/>
              <w:rPr>
                <w:sz w:val="20"/>
                <w:szCs w:val="20"/>
                <w:color w:val="auto"/>
              </w:rPr>
            </w:pPr>
            <w:r>
              <w:rPr>
                <w:rFonts w:ascii="Verdana" w:cs="Verdana" w:eastAsia="Verdana" w:hAnsi="Verdana"/>
                <w:sz w:val="14"/>
                <w:szCs w:val="14"/>
                <w:color w:val="auto"/>
              </w:rPr>
              <w:t>3,028</w:t>
            </w:r>
          </w:p>
        </w:tc>
        <w:tc>
          <w:tcPr>
            <w:tcW w:w="1020" w:type="dxa"/>
            <w:vAlign w:val="bottom"/>
          </w:tcPr>
          <w:p>
            <w:pPr>
              <w:jc w:val="right"/>
              <w:ind w:right="52"/>
              <w:spacing w:after="0"/>
              <w:rPr>
                <w:sz w:val="20"/>
                <w:szCs w:val="20"/>
                <w:color w:val="auto"/>
              </w:rPr>
            </w:pPr>
            <w:r>
              <w:rPr>
                <w:rFonts w:ascii="Verdana" w:cs="Verdana" w:eastAsia="Verdana" w:hAnsi="Verdana"/>
                <w:sz w:val="14"/>
                <w:szCs w:val="14"/>
                <w:color w:val="auto"/>
              </w:rPr>
              <w:t>—</w:t>
            </w:r>
          </w:p>
        </w:tc>
        <w:tc>
          <w:tcPr>
            <w:tcW w:w="900" w:type="dxa"/>
            <w:vAlign w:val="bottom"/>
          </w:tcPr>
          <w:p>
            <w:pPr>
              <w:jc w:val="right"/>
              <w:ind w:right="72"/>
              <w:spacing w:after="0"/>
              <w:rPr>
                <w:sz w:val="20"/>
                <w:szCs w:val="20"/>
                <w:color w:val="auto"/>
              </w:rPr>
            </w:pPr>
            <w:r>
              <w:rPr>
                <w:rFonts w:ascii="Verdana" w:cs="Verdana" w:eastAsia="Verdana" w:hAnsi="Verdana"/>
                <w:sz w:val="14"/>
                <w:szCs w:val="14"/>
                <w:color w:val="auto"/>
              </w:rPr>
              <w:t>—</w:t>
            </w:r>
          </w:p>
        </w:tc>
        <w:tc>
          <w:tcPr>
            <w:tcW w:w="4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Verdana" w:cs="Verdana" w:eastAsia="Verdana" w:hAnsi="Verdana"/>
                <w:sz w:val="14"/>
                <w:szCs w:val="14"/>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3080" w:type="dxa"/>
            <w:vAlign w:val="bottom"/>
            <w:tcBorders>
              <w:bottom w:val="single" w:sz="8" w:color="auto"/>
            </w:tcBorders>
          </w:tcPr>
          <w:p>
            <w:pPr>
              <w:ind w:left="60"/>
              <w:spacing w:after="0"/>
              <w:rPr>
                <w:sz w:val="20"/>
                <w:szCs w:val="20"/>
                <w:color w:val="auto"/>
              </w:rPr>
            </w:pPr>
            <w:r>
              <w:rPr>
                <w:rFonts w:ascii="Verdana" w:cs="Verdana" w:eastAsia="Verdana" w:hAnsi="Verdana"/>
                <w:sz w:val="12"/>
                <w:szCs w:val="12"/>
                <w:color w:val="auto"/>
              </w:rPr>
              <w:t>Current period net income</w:t>
            </w:r>
          </w:p>
        </w:tc>
        <w:tc>
          <w:tcPr>
            <w:tcW w:w="700" w:type="dxa"/>
            <w:vAlign w:val="bottom"/>
            <w:tcBorders>
              <w:bottom w:val="single" w:sz="8" w:color="auto"/>
            </w:tcBorders>
          </w:tcPr>
          <w:p>
            <w:pPr>
              <w:jc w:val="right"/>
              <w:ind w:right="52"/>
              <w:spacing w:after="0"/>
              <w:rPr>
                <w:sz w:val="20"/>
                <w:szCs w:val="20"/>
                <w:color w:val="auto"/>
              </w:rPr>
            </w:pPr>
            <w:r>
              <w:rPr>
                <w:rFonts w:ascii="Verdana" w:cs="Verdana" w:eastAsia="Verdana" w:hAnsi="Verdana"/>
                <w:sz w:val="14"/>
                <w:szCs w:val="14"/>
                <w:color w:val="auto"/>
              </w:rPr>
              <w:t>—</w:t>
            </w:r>
          </w:p>
        </w:tc>
        <w:tc>
          <w:tcPr>
            <w:tcW w:w="60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4"/>
                <w:szCs w:val="14"/>
                <w:color w:val="auto"/>
              </w:rPr>
              <w:t>—</w:t>
            </w:r>
          </w:p>
        </w:tc>
        <w:tc>
          <w:tcPr>
            <w:tcW w:w="1000" w:type="dxa"/>
            <w:vAlign w:val="bottom"/>
            <w:tcBorders>
              <w:bottom w:val="single" w:sz="8" w:color="auto"/>
            </w:tcBorders>
          </w:tcPr>
          <w:p>
            <w:pPr>
              <w:jc w:val="right"/>
              <w:ind w:right="72"/>
              <w:spacing w:after="0"/>
              <w:rPr>
                <w:sz w:val="20"/>
                <w:szCs w:val="20"/>
                <w:color w:val="auto"/>
              </w:rPr>
            </w:pPr>
            <w:r>
              <w:rPr>
                <w:rFonts w:ascii="Verdana" w:cs="Verdana" w:eastAsia="Verdana" w:hAnsi="Verdana"/>
                <w:sz w:val="14"/>
                <w:szCs w:val="14"/>
                <w:color w:val="auto"/>
              </w:rPr>
              <w:t>—</w:t>
            </w:r>
          </w:p>
        </w:tc>
        <w:tc>
          <w:tcPr>
            <w:tcW w:w="1040" w:type="dxa"/>
            <w:vAlign w:val="bottom"/>
            <w:tcBorders>
              <w:bottom w:val="single" w:sz="8" w:color="auto"/>
            </w:tcBorders>
          </w:tcPr>
          <w:p>
            <w:pPr>
              <w:jc w:val="right"/>
              <w:ind w:right="92"/>
              <w:spacing w:after="0"/>
              <w:rPr>
                <w:sz w:val="20"/>
                <w:szCs w:val="20"/>
                <w:color w:val="auto"/>
              </w:rPr>
            </w:pPr>
            <w:r>
              <w:rPr>
                <w:rFonts w:ascii="Verdana" w:cs="Verdana" w:eastAsia="Verdana" w:hAnsi="Verdana"/>
                <w:sz w:val="14"/>
                <w:szCs w:val="14"/>
                <w:color w:val="auto"/>
              </w:rPr>
              <w:t>885,322</w:t>
            </w:r>
          </w:p>
        </w:tc>
        <w:tc>
          <w:tcPr>
            <w:tcW w:w="640" w:type="dxa"/>
            <w:vAlign w:val="bottom"/>
            <w:tcBorders>
              <w:bottom w:val="single" w:sz="8" w:color="auto"/>
            </w:tcBorders>
          </w:tcPr>
          <w:p>
            <w:pPr>
              <w:jc w:val="right"/>
              <w:ind w:right="72"/>
              <w:spacing w:after="0"/>
              <w:rPr>
                <w:sz w:val="20"/>
                <w:szCs w:val="20"/>
                <w:color w:val="auto"/>
              </w:rPr>
            </w:pPr>
            <w:r>
              <w:rPr>
                <w:rFonts w:ascii="Verdana" w:cs="Verdana" w:eastAsia="Verdana" w:hAnsi="Verdana"/>
                <w:sz w:val="14"/>
                <w:szCs w:val="14"/>
                <w:color w:val="auto"/>
              </w:rPr>
              <w:t>—</w:t>
            </w:r>
          </w:p>
        </w:tc>
        <w:tc>
          <w:tcPr>
            <w:tcW w:w="70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4"/>
                <w:szCs w:val="14"/>
                <w:color w:val="auto"/>
              </w:rPr>
              <w:t>—</w:t>
            </w:r>
          </w:p>
        </w:tc>
        <w:tc>
          <w:tcPr>
            <w:tcW w:w="1020" w:type="dxa"/>
            <w:vAlign w:val="bottom"/>
            <w:tcBorders>
              <w:bottom w:val="single" w:sz="8" w:color="auto"/>
            </w:tcBorders>
          </w:tcPr>
          <w:p>
            <w:pPr>
              <w:jc w:val="right"/>
              <w:ind w:right="52"/>
              <w:spacing w:after="0"/>
              <w:rPr>
                <w:sz w:val="20"/>
                <w:szCs w:val="20"/>
                <w:color w:val="auto"/>
              </w:rPr>
            </w:pPr>
            <w:r>
              <w:rPr>
                <w:rFonts w:ascii="Verdana" w:cs="Verdana" w:eastAsia="Verdana" w:hAnsi="Verdana"/>
                <w:sz w:val="14"/>
                <w:szCs w:val="14"/>
                <w:color w:val="auto"/>
              </w:rPr>
              <w:t>885,322</w:t>
            </w:r>
          </w:p>
        </w:tc>
        <w:tc>
          <w:tcPr>
            <w:tcW w:w="900" w:type="dxa"/>
            <w:vAlign w:val="bottom"/>
            <w:tcBorders>
              <w:bottom w:val="single" w:sz="8" w:color="auto"/>
            </w:tcBorders>
          </w:tcPr>
          <w:p>
            <w:pPr>
              <w:jc w:val="right"/>
              <w:ind w:right="72"/>
              <w:spacing w:after="0"/>
              <w:rPr>
                <w:sz w:val="20"/>
                <w:szCs w:val="20"/>
                <w:color w:val="auto"/>
              </w:rPr>
            </w:pPr>
            <w:r>
              <w:rPr>
                <w:rFonts w:ascii="Verdana" w:cs="Verdana" w:eastAsia="Verdana" w:hAnsi="Verdana"/>
                <w:sz w:val="14"/>
                <w:szCs w:val="14"/>
                <w:color w:val="auto"/>
              </w:rPr>
              <w:t>86,021</w:t>
            </w:r>
          </w:p>
        </w:tc>
        <w:tc>
          <w:tcPr>
            <w:tcW w:w="900" w:type="dxa"/>
            <w:vAlign w:val="bottom"/>
            <w:tcBorders>
              <w:bottom w:val="single" w:sz="8" w:color="auto"/>
            </w:tcBorders>
            <w:gridSpan w:val="2"/>
          </w:tcPr>
          <w:p>
            <w:pPr>
              <w:jc w:val="right"/>
              <w:spacing w:after="0"/>
              <w:rPr>
                <w:sz w:val="20"/>
                <w:szCs w:val="20"/>
                <w:color w:val="auto"/>
              </w:rPr>
            </w:pPr>
            <w:r>
              <w:rPr>
                <w:rFonts w:ascii="Verdana" w:cs="Verdana" w:eastAsia="Verdana" w:hAnsi="Verdana"/>
                <w:sz w:val="14"/>
                <w:szCs w:val="14"/>
                <w:color w:val="auto"/>
              </w:rPr>
              <w:t>971,343</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40" w:type="dxa"/>
            <w:vAlign w:val="bottom"/>
          </w:tcPr>
          <w:p>
            <w:pPr>
              <w:spacing w:after="0"/>
              <w:rPr>
                <w:sz w:val="16"/>
                <w:szCs w:val="16"/>
                <w:color w:val="auto"/>
              </w:rPr>
            </w:pPr>
          </w:p>
        </w:tc>
        <w:tc>
          <w:tcPr>
            <w:tcW w:w="3080" w:type="dxa"/>
            <w:vAlign w:val="bottom"/>
          </w:tcPr>
          <w:p>
            <w:pPr>
              <w:ind w:left="60"/>
              <w:spacing w:after="0"/>
              <w:rPr>
                <w:sz w:val="20"/>
                <w:szCs w:val="20"/>
                <w:color w:val="auto"/>
              </w:rPr>
            </w:pPr>
            <w:r>
              <w:rPr>
                <w:rFonts w:ascii="Verdana" w:cs="Verdana" w:eastAsia="Verdana" w:hAnsi="Verdana"/>
                <w:sz w:val="14"/>
                <w:szCs w:val="14"/>
                <w:b w:val="1"/>
                <w:bCs w:val="1"/>
                <w:color w:val="auto"/>
              </w:rPr>
              <w:t>Balance at December 31, 2024</w:t>
            </w:r>
          </w:p>
        </w:tc>
        <w:tc>
          <w:tcPr>
            <w:tcW w:w="700" w:type="dxa"/>
            <w:vAlign w:val="bottom"/>
          </w:tcPr>
          <w:p>
            <w:pPr>
              <w:jc w:val="right"/>
              <w:ind w:right="12"/>
              <w:spacing w:after="0"/>
              <w:rPr>
                <w:sz w:val="20"/>
                <w:szCs w:val="20"/>
                <w:color w:val="auto"/>
              </w:rPr>
            </w:pPr>
            <w:r>
              <w:rPr>
                <w:rFonts w:ascii="Verdana" w:cs="Verdana" w:eastAsia="Verdana" w:hAnsi="Verdana"/>
                <w:sz w:val="14"/>
                <w:szCs w:val="14"/>
                <w:color w:val="auto"/>
              </w:rPr>
              <w:t>125,101</w:t>
            </w:r>
          </w:p>
        </w:tc>
        <w:tc>
          <w:tcPr>
            <w:tcW w:w="600" w:type="dxa"/>
            <w:vAlign w:val="bottom"/>
          </w:tcPr>
          <w:p>
            <w:pPr>
              <w:ind w:left="80"/>
              <w:spacing w:after="0"/>
              <w:rPr>
                <w:sz w:val="20"/>
                <w:szCs w:val="20"/>
                <w:color w:val="auto"/>
              </w:rPr>
            </w:pPr>
            <w:r>
              <w:rPr>
                <w:rFonts w:ascii="Verdana" w:cs="Verdana" w:eastAsia="Verdana" w:hAnsi="Verdana"/>
                <w:sz w:val="14"/>
                <w:szCs w:val="14"/>
                <w:color w:val="auto"/>
              </w:rPr>
              <w:t>$1,251</w:t>
            </w:r>
          </w:p>
        </w:tc>
        <w:tc>
          <w:tcPr>
            <w:tcW w:w="1000" w:type="dxa"/>
            <w:vAlign w:val="bottom"/>
          </w:tcPr>
          <w:p>
            <w:pPr>
              <w:jc w:val="center"/>
              <w:spacing w:after="0"/>
              <w:rPr>
                <w:sz w:val="20"/>
                <w:szCs w:val="20"/>
                <w:color w:val="auto"/>
              </w:rPr>
            </w:pPr>
            <w:r>
              <w:rPr>
                <w:rFonts w:ascii="Verdana" w:cs="Verdana" w:eastAsia="Verdana" w:hAnsi="Verdana"/>
                <w:sz w:val="14"/>
                <w:szCs w:val="14"/>
                <w:color w:val="auto"/>
                <w:w w:val="98"/>
              </w:rPr>
              <w:t>$2,533,247</w:t>
            </w:r>
          </w:p>
        </w:tc>
        <w:tc>
          <w:tcPr>
            <w:tcW w:w="1040" w:type="dxa"/>
            <w:vAlign w:val="bottom"/>
          </w:tcPr>
          <w:p>
            <w:pPr>
              <w:jc w:val="right"/>
              <w:ind w:right="92"/>
              <w:spacing w:after="0"/>
              <w:rPr>
                <w:sz w:val="20"/>
                <w:szCs w:val="20"/>
                <w:color w:val="auto"/>
              </w:rPr>
            </w:pPr>
            <w:r>
              <w:rPr>
                <w:rFonts w:ascii="Verdana" w:cs="Verdana" w:eastAsia="Verdana" w:hAnsi="Verdana"/>
                <w:sz w:val="14"/>
                <w:szCs w:val="14"/>
                <w:color w:val="auto"/>
              </w:rPr>
              <w:t>$2,556,987</w:t>
            </w:r>
          </w:p>
        </w:tc>
        <w:tc>
          <w:tcPr>
            <w:tcW w:w="640" w:type="dxa"/>
            <w:vAlign w:val="bottom"/>
          </w:tcPr>
          <w:p>
            <w:pPr>
              <w:jc w:val="right"/>
              <w:ind w:right="72"/>
              <w:spacing w:after="0"/>
              <w:rPr>
                <w:sz w:val="20"/>
                <w:szCs w:val="20"/>
                <w:color w:val="auto"/>
              </w:rPr>
            </w:pPr>
            <w:r>
              <w:rPr>
                <w:rFonts w:ascii="Verdana" w:cs="Verdana" w:eastAsia="Verdana" w:hAnsi="Verdana"/>
                <w:sz w:val="14"/>
                <w:szCs w:val="14"/>
                <w:color w:val="auto"/>
              </w:rPr>
              <w:t>53</w:t>
            </w:r>
          </w:p>
        </w:tc>
        <w:tc>
          <w:tcPr>
            <w:tcW w:w="700" w:type="dxa"/>
            <w:vAlign w:val="bottom"/>
          </w:tcPr>
          <w:p>
            <w:pPr>
              <w:jc w:val="right"/>
              <w:spacing w:after="0"/>
              <w:rPr>
                <w:sz w:val="20"/>
                <w:szCs w:val="20"/>
                <w:color w:val="auto"/>
              </w:rPr>
            </w:pPr>
            <w:r>
              <w:rPr>
                <w:rFonts w:ascii="Verdana" w:cs="Verdana" w:eastAsia="Verdana" w:hAnsi="Verdana"/>
                <w:sz w:val="14"/>
                <w:szCs w:val="14"/>
                <w:color w:val="auto"/>
              </w:rPr>
              <w:t>$(2,336)</w:t>
            </w:r>
          </w:p>
        </w:tc>
        <w:tc>
          <w:tcPr>
            <w:tcW w:w="1020" w:type="dxa"/>
            <w:vAlign w:val="bottom"/>
          </w:tcPr>
          <w:p>
            <w:pPr>
              <w:jc w:val="center"/>
              <w:spacing w:after="0"/>
              <w:rPr>
                <w:sz w:val="20"/>
                <w:szCs w:val="20"/>
                <w:color w:val="auto"/>
              </w:rPr>
            </w:pPr>
            <w:r>
              <w:rPr>
                <w:rFonts w:ascii="Verdana" w:cs="Verdana" w:eastAsia="Verdana" w:hAnsi="Verdana"/>
                <w:sz w:val="14"/>
                <w:szCs w:val="14"/>
                <w:color w:val="auto"/>
                <w:w w:val="98"/>
              </w:rPr>
              <w:t>$5,089,149</w:t>
            </w:r>
          </w:p>
        </w:tc>
        <w:tc>
          <w:tcPr>
            <w:tcW w:w="900" w:type="dxa"/>
            <w:vAlign w:val="bottom"/>
          </w:tcPr>
          <w:p>
            <w:pPr>
              <w:jc w:val="right"/>
              <w:ind w:right="72"/>
              <w:spacing w:after="0"/>
              <w:rPr>
                <w:sz w:val="20"/>
                <w:szCs w:val="20"/>
                <w:color w:val="auto"/>
              </w:rPr>
            </w:pPr>
            <w:r>
              <w:rPr>
                <w:rFonts w:ascii="Verdana" w:cs="Verdana" w:eastAsia="Verdana" w:hAnsi="Verdana"/>
                <w:sz w:val="14"/>
                <w:szCs w:val="14"/>
                <w:color w:val="auto"/>
              </w:rPr>
              <w:t>$ 368,283</w:t>
            </w:r>
          </w:p>
        </w:tc>
        <w:tc>
          <w:tcPr>
            <w:tcW w:w="900" w:type="dxa"/>
            <w:vAlign w:val="bottom"/>
            <w:gridSpan w:val="2"/>
          </w:tcPr>
          <w:p>
            <w:pPr>
              <w:jc w:val="center"/>
              <w:spacing w:after="0"/>
              <w:rPr>
                <w:sz w:val="20"/>
                <w:szCs w:val="20"/>
                <w:color w:val="auto"/>
              </w:rPr>
            </w:pPr>
            <w:r>
              <w:rPr>
                <w:rFonts w:ascii="Verdana" w:cs="Verdana" w:eastAsia="Verdana" w:hAnsi="Verdana"/>
                <w:sz w:val="14"/>
                <w:szCs w:val="14"/>
                <w:color w:val="auto"/>
                <w:w w:val="98"/>
              </w:rPr>
              <w:t>$5,457,432</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40" w:type="dxa"/>
            <w:vAlign w:val="bottom"/>
          </w:tcPr>
          <w:p>
            <w:pPr>
              <w:spacing w:after="0"/>
              <w:rPr>
                <w:sz w:val="19"/>
                <w:szCs w:val="19"/>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Dividends declared ($1.3125 per share)</w:t>
            </w:r>
          </w:p>
        </w:tc>
        <w:tc>
          <w:tcPr>
            <w:tcW w:w="700" w:type="dxa"/>
            <w:vAlign w:val="bottom"/>
          </w:tcPr>
          <w:p>
            <w:pPr>
              <w:jc w:val="right"/>
              <w:ind w:right="52"/>
              <w:spacing w:after="0"/>
              <w:rPr>
                <w:sz w:val="20"/>
                <w:szCs w:val="20"/>
                <w:color w:val="auto"/>
              </w:rPr>
            </w:pPr>
            <w:r>
              <w:rPr>
                <w:rFonts w:ascii="Verdana" w:cs="Verdana" w:eastAsia="Verdana" w:hAnsi="Verdana"/>
                <w:sz w:val="14"/>
                <w:szCs w:val="14"/>
                <w:color w:val="214E93"/>
              </w:rPr>
              <w:t>—</w:t>
            </w:r>
          </w:p>
        </w:tc>
        <w:tc>
          <w:tcPr>
            <w:tcW w:w="600" w:type="dxa"/>
            <w:vAlign w:val="bottom"/>
          </w:tcPr>
          <w:p>
            <w:pPr>
              <w:jc w:val="right"/>
              <w:ind w:right="11"/>
              <w:spacing w:after="0"/>
              <w:rPr>
                <w:sz w:val="20"/>
                <w:szCs w:val="20"/>
                <w:color w:val="auto"/>
              </w:rPr>
            </w:pPr>
            <w:r>
              <w:rPr>
                <w:rFonts w:ascii="Verdana" w:cs="Verdana" w:eastAsia="Verdana" w:hAnsi="Verdana"/>
                <w:sz w:val="14"/>
                <w:szCs w:val="14"/>
                <w:color w:val="214E93"/>
              </w:rPr>
              <w:t>—</w:t>
            </w:r>
          </w:p>
        </w:tc>
        <w:tc>
          <w:tcPr>
            <w:tcW w:w="1000" w:type="dxa"/>
            <w:vAlign w:val="bottom"/>
          </w:tcPr>
          <w:p>
            <w:pPr>
              <w:jc w:val="right"/>
              <w:ind w:right="72"/>
              <w:spacing w:after="0"/>
              <w:rPr>
                <w:sz w:val="20"/>
                <w:szCs w:val="20"/>
                <w:color w:val="auto"/>
              </w:rPr>
            </w:pPr>
            <w:r>
              <w:rPr>
                <w:rFonts w:ascii="Verdana" w:cs="Verdana" w:eastAsia="Verdana" w:hAnsi="Verdana"/>
                <w:sz w:val="14"/>
                <w:szCs w:val="14"/>
                <w:color w:val="214E93"/>
              </w:rPr>
              <w:t>—</w:t>
            </w:r>
          </w:p>
        </w:tc>
        <w:tc>
          <w:tcPr>
            <w:tcW w:w="1040" w:type="dxa"/>
            <w:vAlign w:val="bottom"/>
          </w:tcPr>
          <w:p>
            <w:pPr>
              <w:jc w:val="right"/>
              <w:ind w:right="32"/>
              <w:spacing w:after="0"/>
              <w:rPr>
                <w:sz w:val="20"/>
                <w:szCs w:val="20"/>
                <w:color w:val="auto"/>
              </w:rPr>
            </w:pPr>
            <w:r>
              <w:rPr>
                <w:rFonts w:ascii="Verdana" w:cs="Verdana" w:eastAsia="Verdana" w:hAnsi="Verdana"/>
                <w:sz w:val="14"/>
                <w:szCs w:val="14"/>
                <w:color w:val="214E93"/>
              </w:rPr>
              <w:t>(163,096)</w:t>
            </w:r>
          </w:p>
        </w:tc>
        <w:tc>
          <w:tcPr>
            <w:tcW w:w="640" w:type="dxa"/>
            <w:vAlign w:val="bottom"/>
          </w:tcPr>
          <w:p>
            <w:pPr>
              <w:jc w:val="right"/>
              <w:ind w:right="72"/>
              <w:spacing w:after="0"/>
              <w:rPr>
                <w:sz w:val="20"/>
                <w:szCs w:val="20"/>
                <w:color w:val="auto"/>
              </w:rPr>
            </w:pPr>
            <w:r>
              <w:rPr>
                <w:rFonts w:ascii="Verdana" w:cs="Verdana" w:eastAsia="Verdana" w:hAnsi="Verdana"/>
                <w:sz w:val="14"/>
                <w:szCs w:val="14"/>
                <w:color w:val="214E93"/>
              </w:rPr>
              <w:t>—</w:t>
            </w:r>
          </w:p>
        </w:tc>
        <w:tc>
          <w:tcPr>
            <w:tcW w:w="700" w:type="dxa"/>
            <w:vAlign w:val="bottom"/>
          </w:tcPr>
          <w:p>
            <w:pPr>
              <w:jc w:val="right"/>
              <w:ind w:right="11"/>
              <w:spacing w:after="0"/>
              <w:rPr>
                <w:sz w:val="20"/>
                <w:szCs w:val="20"/>
                <w:color w:val="auto"/>
              </w:rPr>
            </w:pPr>
            <w:r>
              <w:rPr>
                <w:rFonts w:ascii="Verdana" w:cs="Verdana" w:eastAsia="Verdana" w:hAnsi="Verdana"/>
                <w:sz w:val="14"/>
                <w:szCs w:val="14"/>
                <w:color w:val="214E93"/>
              </w:rPr>
              <w:t>—</w:t>
            </w:r>
          </w:p>
        </w:tc>
        <w:tc>
          <w:tcPr>
            <w:tcW w:w="1020" w:type="dxa"/>
            <w:vAlign w:val="bottom"/>
          </w:tcPr>
          <w:p>
            <w:pPr>
              <w:jc w:val="right"/>
              <w:spacing w:after="0"/>
              <w:rPr>
                <w:sz w:val="20"/>
                <w:szCs w:val="20"/>
                <w:color w:val="auto"/>
              </w:rPr>
            </w:pPr>
            <w:r>
              <w:rPr>
                <w:rFonts w:ascii="Verdana" w:cs="Verdana" w:eastAsia="Verdana" w:hAnsi="Verdana"/>
                <w:sz w:val="14"/>
                <w:szCs w:val="14"/>
                <w:color w:val="214E93"/>
              </w:rPr>
              <w:t>(163,096)</w:t>
            </w:r>
          </w:p>
        </w:tc>
        <w:tc>
          <w:tcPr>
            <w:tcW w:w="900" w:type="dxa"/>
            <w:vAlign w:val="bottom"/>
          </w:tcPr>
          <w:p>
            <w:pPr>
              <w:jc w:val="right"/>
              <w:ind w:right="72"/>
              <w:spacing w:after="0"/>
              <w:rPr>
                <w:sz w:val="20"/>
                <w:szCs w:val="20"/>
                <w:color w:val="auto"/>
              </w:rPr>
            </w:pPr>
            <w:r>
              <w:rPr>
                <w:rFonts w:ascii="Verdana" w:cs="Verdana" w:eastAsia="Verdana" w:hAnsi="Verdana"/>
                <w:sz w:val="14"/>
                <w:szCs w:val="14"/>
                <w:color w:val="214E93"/>
              </w:rPr>
              <w:t>—</w:t>
            </w:r>
          </w:p>
        </w:tc>
        <w:tc>
          <w:tcPr>
            <w:tcW w:w="900" w:type="dxa"/>
            <w:vAlign w:val="bottom"/>
            <w:gridSpan w:val="2"/>
          </w:tcPr>
          <w:p>
            <w:pPr>
              <w:jc w:val="right"/>
              <w:spacing w:after="0"/>
              <w:rPr>
                <w:sz w:val="20"/>
                <w:szCs w:val="20"/>
                <w:color w:val="auto"/>
              </w:rPr>
            </w:pPr>
            <w:r>
              <w:rPr>
                <w:rFonts w:ascii="Verdana" w:cs="Verdana" w:eastAsia="Verdana" w:hAnsi="Verdana"/>
                <w:sz w:val="14"/>
                <w:szCs w:val="14"/>
                <w:color w:val="214E93"/>
              </w:rPr>
              <w:t>(163,096)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40" w:type="dxa"/>
            <w:vAlign w:val="bottom"/>
          </w:tcPr>
          <w:p>
            <w:pPr>
              <w:spacing w:after="0"/>
              <w:rPr>
                <w:sz w:val="15"/>
                <w:szCs w:val="15"/>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Issuance of stock pursuant to incentive and</w:t>
            </w:r>
          </w:p>
        </w:tc>
        <w:tc>
          <w:tcPr>
            <w:tcW w:w="700" w:type="dxa"/>
            <w:vAlign w:val="bottom"/>
            <w:vMerge w:val="restart"/>
          </w:tcPr>
          <w:p>
            <w:pPr>
              <w:jc w:val="right"/>
              <w:ind w:right="52"/>
              <w:spacing w:after="0"/>
              <w:rPr>
                <w:sz w:val="20"/>
                <w:szCs w:val="20"/>
                <w:color w:val="auto"/>
              </w:rPr>
            </w:pPr>
            <w:r>
              <w:rPr>
                <w:rFonts w:ascii="Verdana" w:cs="Verdana" w:eastAsia="Verdana" w:hAnsi="Verdana"/>
                <w:sz w:val="14"/>
                <w:szCs w:val="14"/>
                <w:color w:val="214E93"/>
              </w:rPr>
              <w:t>693</w:t>
            </w:r>
          </w:p>
        </w:tc>
        <w:tc>
          <w:tcPr>
            <w:tcW w:w="600" w:type="dxa"/>
            <w:vAlign w:val="bottom"/>
            <w:vMerge w:val="restart"/>
          </w:tcPr>
          <w:p>
            <w:pPr>
              <w:jc w:val="right"/>
              <w:ind w:right="11"/>
              <w:spacing w:after="0"/>
              <w:rPr>
                <w:sz w:val="20"/>
                <w:szCs w:val="20"/>
                <w:color w:val="auto"/>
              </w:rPr>
            </w:pPr>
            <w:r>
              <w:rPr>
                <w:rFonts w:ascii="Verdana" w:cs="Verdana" w:eastAsia="Verdana" w:hAnsi="Verdana"/>
                <w:sz w:val="14"/>
                <w:szCs w:val="14"/>
                <w:color w:val="214E93"/>
              </w:rPr>
              <w:t>7</w:t>
            </w:r>
          </w:p>
        </w:tc>
        <w:tc>
          <w:tcPr>
            <w:tcW w:w="1000" w:type="dxa"/>
            <w:vAlign w:val="bottom"/>
            <w:vMerge w:val="restart"/>
          </w:tcPr>
          <w:p>
            <w:pPr>
              <w:jc w:val="right"/>
              <w:ind w:right="12"/>
              <w:spacing w:after="0"/>
              <w:rPr>
                <w:sz w:val="20"/>
                <w:szCs w:val="20"/>
                <w:color w:val="auto"/>
              </w:rPr>
            </w:pPr>
            <w:r>
              <w:rPr>
                <w:rFonts w:ascii="Verdana" w:cs="Verdana" w:eastAsia="Verdana" w:hAnsi="Verdana"/>
                <w:sz w:val="14"/>
                <w:szCs w:val="14"/>
                <w:color w:val="214E93"/>
              </w:rPr>
              <w:t>(5,364)</w:t>
            </w:r>
          </w:p>
        </w:tc>
        <w:tc>
          <w:tcPr>
            <w:tcW w:w="1040" w:type="dxa"/>
            <w:vAlign w:val="bottom"/>
            <w:vMerge w:val="restart"/>
          </w:tcPr>
          <w:p>
            <w:pPr>
              <w:jc w:val="right"/>
              <w:ind w:right="92"/>
              <w:spacing w:after="0"/>
              <w:rPr>
                <w:sz w:val="20"/>
                <w:szCs w:val="20"/>
                <w:color w:val="auto"/>
              </w:rPr>
            </w:pPr>
            <w:r>
              <w:rPr>
                <w:rFonts w:ascii="Verdana" w:cs="Verdana" w:eastAsia="Verdana" w:hAnsi="Verdana"/>
                <w:sz w:val="14"/>
                <w:szCs w:val="14"/>
                <w:color w:val="214E93"/>
              </w:rPr>
              <w:t>—</w:t>
            </w:r>
          </w:p>
        </w:tc>
        <w:tc>
          <w:tcPr>
            <w:tcW w:w="640" w:type="dxa"/>
            <w:vAlign w:val="bottom"/>
            <w:vMerge w:val="restart"/>
          </w:tcPr>
          <w:p>
            <w:pPr>
              <w:jc w:val="right"/>
              <w:ind w:right="72"/>
              <w:spacing w:after="0"/>
              <w:rPr>
                <w:sz w:val="20"/>
                <w:szCs w:val="20"/>
                <w:color w:val="auto"/>
              </w:rPr>
            </w:pPr>
            <w:r>
              <w:rPr>
                <w:rFonts w:ascii="Verdana" w:cs="Verdana" w:eastAsia="Verdana" w:hAnsi="Verdana"/>
                <w:sz w:val="14"/>
                <w:szCs w:val="14"/>
                <w:color w:val="214E93"/>
              </w:rPr>
              <w:t>127</w:t>
            </w:r>
          </w:p>
        </w:tc>
        <w:tc>
          <w:tcPr>
            <w:tcW w:w="700" w:type="dxa"/>
            <w:vAlign w:val="bottom"/>
            <w:vMerge w:val="restart"/>
          </w:tcPr>
          <w:p>
            <w:pPr>
              <w:jc w:val="right"/>
              <w:spacing w:after="0"/>
              <w:rPr>
                <w:sz w:val="20"/>
                <w:szCs w:val="20"/>
                <w:color w:val="auto"/>
              </w:rPr>
            </w:pPr>
            <w:r>
              <w:rPr>
                <w:rFonts w:ascii="Verdana" w:cs="Verdana" w:eastAsia="Verdana" w:hAnsi="Verdana"/>
                <w:sz w:val="14"/>
                <w:szCs w:val="14"/>
                <w:color w:val="214E93"/>
              </w:rPr>
              <w:t>(3,970)</w:t>
            </w:r>
          </w:p>
        </w:tc>
        <w:tc>
          <w:tcPr>
            <w:tcW w:w="1020" w:type="dxa"/>
            <w:vAlign w:val="bottom"/>
            <w:vMerge w:val="restart"/>
          </w:tcPr>
          <w:p>
            <w:pPr>
              <w:jc w:val="right"/>
              <w:spacing w:after="0"/>
              <w:rPr>
                <w:sz w:val="20"/>
                <w:szCs w:val="20"/>
                <w:color w:val="auto"/>
              </w:rPr>
            </w:pPr>
            <w:r>
              <w:rPr>
                <w:rFonts w:ascii="Verdana" w:cs="Verdana" w:eastAsia="Verdana" w:hAnsi="Verdana"/>
                <w:sz w:val="14"/>
                <w:szCs w:val="14"/>
                <w:color w:val="214E93"/>
              </w:rPr>
              <w:t>(9,327)</w:t>
            </w:r>
          </w:p>
        </w:tc>
        <w:tc>
          <w:tcPr>
            <w:tcW w:w="900" w:type="dxa"/>
            <w:vAlign w:val="bottom"/>
            <w:vMerge w:val="restart"/>
          </w:tcPr>
          <w:p>
            <w:pPr>
              <w:jc w:val="right"/>
              <w:ind w:right="72"/>
              <w:spacing w:after="0"/>
              <w:rPr>
                <w:sz w:val="20"/>
                <w:szCs w:val="20"/>
                <w:color w:val="auto"/>
              </w:rPr>
            </w:pPr>
            <w:r>
              <w:rPr>
                <w:rFonts w:ascii="Verdana" w:cs="Verdana" w:eastAsia="Verdana" w:hAnsi="Verdana"/>
                <w:sz w:val="14"/>
                <w:szCs w:val="14"/>
                <w:color w:val="214E93"/>
              </w:rPr>
              <w:t>—</w:t>
            </w:r>
          </w:p>
        </w:tc>
        <w:tc>
          <w:tcPr>
            <w:tcW w:w="900" w:type="dxa"/>
            <w:vAlign w:val="bottom"/>
            <w:gridSpan w:val="2"/>
            <w:vMerge w:val="restart"/>
          </w:tcPr>
          <w:p>
            <w:pPr>
              <w:jc w:val="right"/>
              <w:spacing w:after="0"/>
              <w:rPr>
                <w:sz w:val="20"/>
                <w:szCs w:val="20"/>
                <w:color w:val="auto"/>
              </w:rPr>
            </w:pPr>
            <w:r>
              <w:rPr>
                <w:rFonts w:ascii="Verdana" w:cs="Verdana" w:eastAsia="Verdana" w:hAnsi="Verdana"/>
                <w:sz w:val="14"/>
                <w:szCs w:val="14"/>
                <w:color w:val="214E93"/>
              </w:rPr>
              <w:t>(9,327)</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purchase plans, net of shares withheld for taxes</w:t>
            </w: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40" w:type="dxa"/>
            <w:vAlign w:val="bottom"/>
          </w:tcPr>
          <w:p>
            <w:pPr>
              <w:spacing w:after="0"/>
              <w:rPr>
                <w:sz w:val="15"/>
                <w:szCs w:val="15"/>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Stock-based compensation expense related to</w:t>
            </w: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3080" w:type="dxa"/>
            <w:vAlign w:val="bottom"/>
          </w:tcPr>
          <w:p>
            <w:pPr>
              <w:ind w:left="60"/>
              <w:spacing w:after="0" w:line="142" w:lineRule="exact"/>
              <w:rPr>
                <w:sz w:val="20"/>
                <w:szCs w:val="20"/>
                <w:color w:val="auto"/>
              </w:rPr>
            </w:pPr>
            <w:r>
              <w:rPr>
                <w:rFonts w:ascii="Verdana" w:cs="Verdana" w:eastAsia="Verdana" w:hAnsi="Verdana"/>
                <w:sz w:val="12"/>
                <w:szCs w:val="12"/>
                <w:color w:val="auto"/>
              </w:rPr>
              <w:t>equity-based awards including amounts</w:t>
            </w:r>
          </w:p>
        </w:tc>
        <w:tc>
          <w:tcPr>
            <w:tcW w:w="700" w:type="dxa"/>
            <w:vAlign w:val="bottom"/>
            <w:vMerge w:val="restart"/>
          </w:tcPr>
          <w:p>
            <w:pPr>
              <w:jc w:val="right"/>
              <w:ind w:right="52"/>
              <w:spacing w:after="0"/>
              <w:rPr>
                <w:sz w:val="20"/>
                <w:szCs w:val="20"/>
                <w:color w:val="auto"/>
              </w:rPr>
            </w:pPr>
            <w:r>
              <w:rPr>
                <w:rFonts w:ascii="Verdana" w:cs="Verdana" w:eastAsia="Verdana" w:hAnsi="Verdana"/>
                <w:sz w:val="14"/>
                <w:szCs w:val="14"/>
                <w:color w:val="214E93"/>
              </w:rPr>
              <w:t>—</w:t>
            </w:r>
          </w:p>
        </w:tc>
        <w:tc>
          <w:tcPr>
            <w:tcW w:w="600" w:type="dxa"/>
            <w:vAlign w:val="bottom"/>
            <w:vMerge w:val="restart"/>
          </w:tcPr>
          <w:p>
            <w:pPr>
              <w:jc w:val="right"/>
              <w:ind w:right="11"/>
              <w:spacing w:after="0"/>
              <w:rPr>
                <w:sz w:val="20"/>
                <w:szCs w:val="20"/>
                <w:color w:val="auto"/>
              </w:rPr>
            </w:pPr>
            <w:r>
              <w:rPr>
                <w:rFonts w:ascii="Verdana" w:cs="Verdana" w:eastAsia="Verdana" w:hAnsi="Verdana"/>
                <w:sz w:val="14"/>
                <w:szCs w:val="14"/>
                <w:color w:val="214E93"/>
              </w:rPr>
              <w:t>—</w:t>
            </w:r>
          </w:p>
        </w:tc>
        <w:tc>
          <w:tcPr>
            <w:tcW w:w="1000" w:type="dxa"/>
            <w:vAlign w:val="bottom"/>
            <w:vMerge w:val="restart"/>
          </w:tcPr>
          <w:p>
            <w:pPr>
              <w:jc w:val="right"/>
              <w:ind w:right="72"/>
              <w:spacing w:after="0"/>
              <w:rPr>
                <w:sz w:val="20"/>
                <w:szCs w:val="20"/>
                <w:color w:val="auto"/>
              </w:rPr>
            </w:pPr>
            <w:r>
              <w:rPr>
                <w:rFonts w:ascii="Verdana" w:cs="Verdana" w:eastAsia="Verdana" w:hAnsi="Verdana"/>
                <w:sz w:val="14"/>
                <w:szCs w:val="14"/>
                <w:color w:val="214E93"/>
              </w:rPr>
              <w:t>28,332</w:t>
            </w:r>
          </w:p>
        </w:tc>
        <w:tc>
          <w:tcPr>
            <w:tcW w:w="1040" w:type="dxa"/>
            <w:vAlign w:val="bottom"/>
            <w:vMerge w:val="restart"/>
          </w:tcPr>
          <w:p>
            <w:pPr>
              <w:jc w:val="right"/>
              <w:ind w:right="92"/>
              <w:spacing w:after="0"/>
              <w:rPr>
                <w:sz w:val="20"/>
                <w:szCs w:val="20"/>
                <w:color w:val="auto"/>
              </w:rPr>
            </w:pPr>
            <w:r>
              <w:rPr>
                <w:rFonts w:ascii="Verdana" w:cs="Verdana" w:eastAsia="Verdana" w:hAnsi="Verdana"/>
                <w:sz w:val="14"/>
                <w:szCs w:val="14"/>
                <w:color w:val="214E93"/>
              </w:rPr>
              <w:t>—</w:t>
            </w:r>
          </w:p>
        </w:tc>
        <w:tc>
          <w:tcPr>
            <w:tcW w:w="640" w:type="dxa"/>
            <w:vAlign w:val="bottom"/>
            <w:vMerge w:val="restart"/>
          </w:tcPr>
          <w:p>
            <w:pPr>
              <w:jc w:val="right"/>
              <w:ind w:right="72"/>
              <w:spacing w:after="0"/>
              <w:rPr>
                <w:sz w:val="20"/>
                <w:szCs w:val="20"/>
                <w:color w:val="auto"/>
              </w:rPr>
            </w:pPr>
            <w:r>
              <w:rPr>
                <w:rFonts w:ascii="Verdana" w:cs="Verdana" w:eastAsia="Verdana" w:hAnsi="Verdana"/>
                <w:sz w:val="14"/>
                <w:szCs w:val="14"/>
                <w:color w:val="214E93"/>
              </w:rPr>
              <w:t>—</w:t>
            </w:r>
          </w:p>
        </w:tc>
        <w:tc>
          <w:tcPr>
            <w:tcW w:w="700" w:type="dxa"/>
            <w:vAlign w:val="bottom"/>
            <w:vMerge w:val="restart"/>
          </w:tcPr>
          <w:p>
            <w:pPr>
              <w:jc w:val="right"/>
              <w:ind w:right="11"/>
              <w:spacing w:after="0"/>
              <w:rPr>
                <w:sz w:val="20"/>
                <w:szCs w:val="20"/>
                <w:color w:val="auto"/>
              </w:rPr>
            </w:pPr>
            <w:r>
              <w:rPr>
                <w:rFonts w:ascii="Verdana" w:cs="Verdana" w:eastAsia="Verdana" w:hAnsi="Verdana"/>
                <w:sz w:val="14"/>
                <w:szCs w:val="14"/>
                <w:color w:val="214E93"/>
              </w:rPr>
              <w:t>—</w:t>
            </w:r>
          </w:p>
        </w:tc>
        <w:tc>
          <w:tcPr>
            <w:tcW w:w="1020" w:type="dxa"/>
            <w:vAlign w:val="bottom"/>
            <w:vMerge w:val="restart"/>
          </w:tcPr>
          <w:p>
            <w:pPr>
              <w:jc w:val="right"/>
              <w:ind w:right="52"/>
              <w:spacing w:after="0"/>
              <w:rPr>
                <w:sz w:val="20"/>
                <w:szCs w:val="20"/>
                <w:color w:val="auto"/>
              </w:rPr>
            </w:pPr>
            <w:r>
              <w:rPr>
                <w:rFonts w:ascii="Verdana" w:cs="Verdana" w:eastAsia="Verdana" w:hAnsi="Verdana"/>
                <w:sz w:val="14"/>
                <w:szCs w:val="14"/>
                <w:color w:val="214E93"/>
              </w:rPr>
              <w:t>28,332</w:t>
            </w:r>
          </w:p>
        </w:tc>
        <w:tc>
          <w:tcPr>
            <w:tcW w:w="900" w:type="dxa"/>
            <w:vAlign w:val="bottom"/>
            <w:vMerge w:val="restart"/>
          </w:tcPr>
          <w:p>
            <w:pPr>
              <w:jc w:val="right"/>
              <w:ind w:right="72"/>
              <w:spacing w:after="0"/>
              <w:rPr>
                <w:sz w:val="20"/>
                <w:szCs w:val="20"/>
                <w:color w:val="auto"/>
              </w:rPr>
            </w:pPr>
            <w:r>
              <w:rPr>
                <w:rFonts w:ascii="Verdana" w:cs="Verdana" w:eastAsia="Verdana" w:hAnsi="Verdana"/>
                <w:sz w:val="14"/>
                <w:szCs w:val="14"/>
                <w:color w:val="214E93"/>
              </w:rPr>
              <w:t>—</w:t>
            </w:r>
          </w:p>
        </w:tc>
        <w:tc>
          <w:tcPr>
            <w:tcW w:w="900" w:type="dxa"/>
            <w:vAlign w:val="bottom"/>
            <w:gridSpan w:val="2"/>
            <w:vMerge w:val="restart"/>
          </w:tcPr>
          <w:p>
            <w:pPr>
              <w:jc w:val="right"/>
              <w:spacing w:after="0"/>
              <w:rPr>
                <w:sz w:val="20"/>
                <w:szCs w:val="20"/>
                <w:color w:val="auto"/>
              </w:rPr>
            </w:pPr>
            <w:r>
              <w:rPr>
                <w:rFonts w:ascii="Verdana" w:cs="Verdana" w:eastAsia="Verdana" w:hAnsi="Verdana"/>
                <w:sz w:val="14"/>
                <w:szCs w:val="14"/>
                <w:color w:val="214E93"/>
              </w:rPr>
              <w:t>28,332</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40" w:type="dxa"/>
            <w:vAlign w:val="bottom"/>
          </w:tcPr>
          <w:p>
            <w:pPr>
              <w:spacing w:after="0"/>
              <w:rPr>
                <w:sz w:val="14"/>
                <w:szCs w:val="14"/>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capitalized</w:t>
            </w: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40" w:type="dxa"/>
            <w:vAlign w:val="bottom"/>
          </w:tcPr>
          <w:p>
            <w:pPr>
              <w:spacing w:after="0"/>
              <w:rPr>
                <w:sz w:val="15"/>
                <w:szCs w:val="15"/>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Contributions related to formation of San Mateo,</w:t>
            </w:r>
          </w:p>
        </w:tc>
        <w:tc>
          <w:tcPr>
            <w:tcW w:w="700" w:type="dxa"/>
            <w:vAlign w:val="bottom"/>
            <w:vMerge w:val="restart"/>
          </w:tcPr>
          <w:p>
            <w:pPr>
              <w:jc w:val="right"/>
              <w:ind w:right="52"/>
              <w:spacing w:after="0"/>
              <w:rPr>
                <w:sz w:val="20"/>
                <w:szCs w:val="20"/>
                <w:color w:val="auto"/>
              </w:rPr>
            </w:pPr>
            <w:r>
              <w:rPr>
                <w:rFonts w:ascii="Verdana" w:cs="Verdana" w:eastAsia="Verdana" w:hAnsi="Verdana"/>
                <w:sz w:val="14"/>
                <w:szCs w:val="14"/>
                <w:color w:val="214E93"/>
              </w:rPr>
              <w:t>—</w:t>
            </w:r>
          </w:p>
        </w:tc>
        <w:tc>
          <w:tcPr>
            <w:tcW w:w="600" w:type="dxa"/>
            <w:vAlign w:val="bottom"/>
            <w:vMerge w:val="restart"/>
          </w:tcPr>
          <w:p>
            <w:pPr>
              <w:jc w:val="right"/>
              <w:ind w:right="11"/>
              <w:spacing w:after="0"/>
              <w:rPr>
                <w:sz w:val="20"/>
                <w:szCs w:val="20"/>
                <w:color w:val="auto"/>
              </w:rPr>
            </w:pPr>
            <w:r>
              <w:rPr>
                <w:rFonts w:ascii="Verdana" w:cs="Verdana" w:eastAsia="Verdana" w:hAnsi="Verdana"/>
                <w:sz w:val="14"/>
                <w:szCs w:val="14"/>
                <w:color w:val="214E93"/>
              </w:rPr>
              <w:t>—</w:t>
            </w:r>
          </w:p>
        </w:tc>
        <w:tc>
          <w:tcPr>
            <w:tcW w:w="1000" w:type="dxa"/>
            <w:vAlign w:val="bottom"/>
            <w:vMerge w:val="restart"/>
          </w:tcPr>
          <w:p>
            <w:pPr>
              <w:jc w:val="right"/>
              <w:ind w:right="72"/>
              <w:spacing w:after="0"/>
              <w:rPr>
                <w:sz w:val="20"/>
                <w:szCs w:val="20"/>
                <w:color w:val="auto"/>
              </w:rPr>
            </w:pPr>
            <w:r>
              <w:rPr>
                <w:rFonts w:ascii="Verdana" w:cs="Verdana" w:eastAsia="Verdana" w:hAnsi="Verdana"/>
                <w:sz w:val="14"/>
                <w:szCs w:val="14"/>
                <w:color w:val="214E93"/>
              </w:rPr>
              <w:t>10,270</w:t>
            </w:r>
          </w:p>
        </w:tc>
        <w:tc>
          <w:tcPr>
            <w:tcW w:w="1040" w:type="dxa"/>
            <w:vAlign w:val="bottom"/>
            <w:vMerge w:val="restart"/>
          </w:tcPr>
          <w:p>
            <w:pPr>
              <w:jc w:val="right"/>
              <w:ind w:right="92"/>
              <w:spacing w:after="0"/>
              <w:rPr>
                <w:sz w:val="20"/>
                <w:szCs w:val="20"/>
                <w:color w:val="auto"/>
              </w:rPr>
            </w:pPr>
            <w:r>
              <w:rPr>
                <w:rFonts w:ascii="Verdana" w:cs="Verdana" w:eastAsia="Verdana" w:hAnsi="Verdana"/>
                <w:sz w:val="14"/>
                <w:szCs w:val="14"/>
                <w:color w:val="214E93"/>
              </w:rPr>
              <w:t>—</w:t>
            </w:r>
          </w:p>
        </w:tc>
        <w:tc>
          <w:tcPr>
            <w:tcW w:w="640" w:type="dxa"/>
            <w:vAlign w:val="bottom"/>
            <w:vMerge w:val="restart"/>
          </w:tcPr>
          <w:p>
            <w:pPr>
              <w:jc w:val="right"/>
              <w:ind w:right="72"/>
              <w:spacing w:after="0"/>
              <w:rPr>
                <w:sz w:val="20"/>
                <w:szCs w:val="20"/>
                <w:color w:val="auto"/>
              </w:rPr>
            </w:pPr>
            <w:r>
              <w:rPr>
                <w:rFonts w:ascii="Verdana" w:cs="Verdana" w:eastAsia="Verdana" w:hAnsi="Verdana"/>
                <w:sz w:val="14"/>
                <w:szCs w:val="14"/>
                <w:color w:val="214E93"/>
              </w:rPr>
              <w:t>—</w:t>
            </w:r>
          </w:p>
        </w:tc>
        <w:tc>
          <w:tcPr>
            <w:tcW w:w="700" w:type="dxa"/>
            <w:vAlign w:val="bottom"/>
            <w:vMerge w:val="restart"/>
          </w:tcPr>
          <w:p>
            <w:pPr>
              <w:jc w:val="right"/>
              <w:ind w:right="11"/>
              <w:spacing w:after="0"/>
              <w:rPr>
                <w:sz w:val="20"/>
                <w:szCs w:val="20"/>
                <w:color w:val="auto"/>
              </w:rPr>
            </w:pPr>
            <w:r>
              <w:rPr>
                <w:rFonts w:ascii="Verdana" w:cs="Verdana" w:eastAsia="Verdana" w:hAnsi="Verdana"/>
                <w:sz w:val="14"/>
                <w:szCs w:val="14"/>
                <w:color w:val="214E93"/>
              </w:rPr>
              <w:t>—</w:t>
            </w:r>
          </w:p>
        </w:tc>
        <w:tc>
          <w:tcPr>
            <w:tcW w:w="1020" w:type="dxa"/>
            <w:vAlign w:val="bottom"/>
            <w:vMerge w:val="restart"/>
          </w:tcPr>
          <w:p>
            <w:pPr>
              <w:jc w:val="right"/>
              <w:ind w:right="52"/>
              <w:spacing w:after="0"/>
              <w:rPr>
                <w:sz w:val="20"/>
                <w:szCs w:val="20"/>
                <w:color w:val="auto"/>
              </w:rPr>
            </w:pPr>
            <w:r>
              <w:rPr>
                <w:rFonts w:ascii="Verdana" w:cs="Verdana" w:eastAsia="Verdana" w:hAnsi="Verdana"/>
                <w:sz w:val="14"/>
                <w:szCs w:val="14"/>
                <w:color w:val="214E93"/>
              </w:rPr>
              <w:t>10,270</w:t>
            </w:r>
          </w:p>
        </w:tc>
        <w:tc>
          <w:tcPr>
            <w:tcW w:w="900" w:type="dxa"/>
            <w:vAlign w:val="bottom"/>
            <w:vMerge w:val="restart"/>
          </w:tcPr>
          <w:p>
            <w:pPr>
              <w:jc w:val="right"/>
              <w:ind w:right="72"/>
              <w:spacing w:after="0"/>
              <w:rPr>
                <w:sz w:val="20"/>
                <w:szCs w:val="20"/>
                <w:color w:val="auto"/>
              </w:rPr>
            </w:pPr>
            <w:r>
              <w:rPr>
                <w:rFonts w:ascii="Verdana" w:cs="Verdana" w:eastAsia="Verdana" w:hAnsi="Verdana"/>
                <w:sz w:val="14"/>
                <w:szCs w:val="14"/>
                <w:color w:val="214E93"/>
              </w:rPr>
              <w:t>—</w:t>
            </w:r>
          </w:p>
        </w:tc>
        <w:tc>
          <w:tcPr>
            <w:tcW w:w="900" w:type="dxa"/>
            <w:vAlign w:val="bottom"/>
            <w:gridSpan w:val="2"/>
            <w:vMerge w:val="restart"/>
          </w:tcPr>
          <w:p>
            <w:pPr>
              <w:jc w:val="right"/>
              <w:spacing w:after="0"/>
              <w:rPr>
                <w:sz w:val="20"/>
                <w:szCs w:val="20"/>
                <w:color w:val="auto"/>
              </w:rPr>
            </w:pPr>
            <w:r>
              <w:rPr>
                <w:rFonts w:ascii="Verdana" w:cs="Verdana" w:eastAsia="Verdana" w:hAnsi="Verdana"/>
                <w:sz w:val="14"/>
                <w:szCs w:val="14"/>
                <w:color w:val="214E93"/>
              </w:rPr>
              <w:t>10,270</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net of tax of $2.7 million (See Note 11)</w:t>
            </w: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40" w:type="dxa"/>
            <w:vAlign w:val="bottom"/>
          </w:tcPr>
          <w:p>
            <w:pPr>
              <w:spacing w:after="0"/>
              <w:rPr>
                <w:sz w:val="15"/>
                <w:szCs w:val="15"/>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Distributions to non-controlling interest owners</w:t>
            </w:r>
          </w:p>
        </w:tc>
        <w:tc>
          <w:tcPr>
            <w:tcW w:w="700" w:type="dxa"/>
            <w:vAlign w:val="bottom"/>
            <w:vMerge w:val="restart"/>
          </w:tcPr>
          <w:p>
            <w:pPr>
              <w:jc w:val="right"/>
              <w:ind w:right="52"/>
              <w:spacing w:after="0"/>
              <w:rPr>
                <w:sz w:val="20"/>
                <w:szCs w:val="20"/>
                <w:color w:val="auto"/>
              </w:rPr>
            </w:pPr>
            <w:r>
              <w:rPr>
                <w:rFonts w:ascii="Verdana" w:cs="Verdana" w:eastAsia="Verdana" w:hAnsi="Verdana"/>
                <w:sz w:val="14"/>
                <w:szCs w:val="14"/>
                <w:color w:val="214E93"/>
              </w:rPr>
              <w:t>—</w:t>
            </w:r>
          </w:p>
        </w:tc>
        <w:tc>
          <w:tcPr>
            <w:tcW w:w="600" w:type="dxa"/>
            <w:vAlign w:val="bottom"/>
            <w:vMerge w:val="restart"/>
          </w:tcPr>
          <w:p>
            <w:pPr>
              <w:jc w:val="right"/>
              <w:ind w:right="11"/>
              <w:spacing w:after="0"/>
              <w:rPr>
                <w:sz w:val="20"/>
                <w:szCs w:val="20"/>
                <w:color w:val="auto"/>
              </w:rPr>
            </w:pPr>
            <w:r>
              <w:rPr>
                <w:rFonts w:ascii="Verdana" w:cs="Verdana" w:eastAsia="Verdana" w:hAnsi="Verdana"/>
                <w:sz w:val="14"/>
                <w:szCs w:val="14"/>
                <w:color w:val="214E93"/>
              </w:rPr>
              <w:t>—</w:t>
            </w:r>
          </w:p>
        </w:tc>
        <w:tc>
          <w:tcPr>
            <w:tcW w:w="1000" w:type="dxa"/>
            <w:vAlign w:val="bottom"/>
            <w:vMerge w:val="restart"/>
          </w:tcPr>
          <w:p>
            <w:pPr>
              <w:jc w:val="right"/>
              <w:ind w:right="72"/>
              <w:spacing w:after="0"/>
              <w:rPr>
                <w:sz w:val="20"/>
                <w:szCs w:val="20"/>
                <w:color w:val="auto"/>
              </w:rPr>
            </w:pPr>
            <w:r>
              <w:rPr>
                <w:rFonts w:ascii="Verdana" w:cs="Verdana" w:eastAsia="Verdana" w:hAnsi="Verdana"/>
                <w:sz w:val="14"/>
                <w:szCs w:val="14"/>
                <w:color w:val="214E93"/>
              </w:rPr>
              <w:t>—</w:t>
            </w:r>
          </w:p>
        </w:tc>
        <w:tc>
          <w:tcPr>
            <w:tcW w:w="1040" w:type="dxa"/>
            <w:vAlign w:val="bottom"/>
            <w:vMerge w:val="restart"/>
          </w:tcPr>
          <w:p>
            <w:pPr>
              <w:jc w:val="right"/>
              <w:ind w:right="92"/>
              <w:spacing w:after="0"/>
              <w:rPr>
                <w:sz w:val="20"/>
                <w:szCs w:val="20"/>
                <w:color w:val="auto"/>
              </w:rPr>
            </w:pPr>
            <w:r>
              <w:rPr>
                <w:rFonts w:ascii="Verdana" w:cs="Verdana" w:eastAsia="Verdana" w:hAnsi="Verdana"/>
                <w:sz w:val="14"/>
                <w:szCs w:val="14"/>
                <w:color w:val="214E93"/>
              </w:rPr>
              <w:t>—</w:t>
            </w:r>
          </w:p>
        </w:tc>
        <w:tc>
          <w:tcPr>
            <w:tcW w:w="640" w:type="dxa"/>
            <w:vAlign w:val="bottom"/>
            <w:vMerge w:val="restart"/>
          </w:tcPr>
          <w:p>
            <w:pPr>
              <w:jc w:val="right"/>
              <w:ind w:right="72"/>
              <w:spacing w:after="0"/>
              <w:rPr>
                <w:sz w:val="20"/>
                <w:szCs w:val="20"/>
                <w:color w:val="auto"/>
              </w:rPr>
            </w:pPr>
            <w:r>
              <w:rPr>
                <w:rFonts w:ascii="Verdana" w:cs="Verdana" w:eastAsia="Verdana" w:hAnsi="Verdana"/>
                <w:sz w:val="14"/>
                <w:szCs w:val="14"/>
                <w:color w:val="214E93"/>
              </w:rPr>
              <w:t>—</w:t>
            </w:r>
          </w:p>
        </w:tc>
        <w:tc>
          <w:tcPr>
            <w:tcW w:w="700" w:type="dxa"/>
            <w:vAlign w:val="bottom"/>
            <w:vMerge w:val="restart"/>
          </w:tcPr>
          <w:p>
            <w:pPr>
              <w:jc w:val="right"/>
              <w:ind w:right="11"/>
              <w:spacing w:after="0"/>
              <w:rPr>
                <w:sz w:val="20"/>
                <w:szCs w:val="20"/>
                <w:color w:val="auto"/>
              </w:rPr>
            </w:pPr>
            <w:r>
              <w:rPr>
                <w:rFonts w:ascii="Verdana" w:cs="Verdana" w:eastAsia="Verdana" w:hAnsi="Verdana"/>
                <w:sz w:val="14"/>
                <w:szCs w:val="14"/>
                <w:color w:val="214E93"/>
              </w:rPr>
              <w:t>—</w:t>
            </w:r>
          </w:p>
        </w:tc>
        <w:tc>
          <w:tcPr>
            <w:tcW w:w="1020" w:type="dxa"/>
            <w:vAlign w:val="bottom"/>
            <w:vMerge w:val="restart"/>
          </w:tcPr>
          <w:p>
            <w:pPr>
              <w:jc w:val="right"/>
              <w:ind w:right="52"/>
              <w:spacing w:after="0"/>
              <w:rPr>
                <w:sz w:val="20"/>
                <w:szCs w:val="20"/>
                <w:color w:val="auto"/>
              </w:rPr>
            </w:pPr>
            <w:r>
              <w:rPr>
                <w:rFonts w:ascii="Verdana" w:cs="Verdana" w:eastAsia="Verdana" w:hAnsi="Verdana"/>
                <w:sz w:val="14"/>
                <w:szCs w:val="14"/>
                <w:color w:val="214E93"/>
              </w:rPr>
              <w:t>—</w:t>
            </w:r>
          </w:p>
        </w:tc>
        <w:tc>
          <w:tcPr>
            <w:tcW w:w="900" w:type="dxa"/>
            <w:vAlign w:val="bottom"/>
            <w:vMerge w:val="restart"/>
          </w:tcPr>
          <w:p>
            <w:pPr>
              <w:jc w:val="right"/>
              <w:ind w:right="12"/>
              <w:spacing w:after="0"/>
              <w:rPr>
                <w:sz w:val="20"/>
                <w:szCs w:val="20"/>
                <w:color w:val="auto"/>
              </w:rPr>
            </w:pPr>
            <w:r>
              <w:rPr>
                <w:rFonts w:ascii="Verdana" w:cs="Verdana" w:eastAsia="Verdana" w:hAnsi="Verdana"/>
                <w:sz w:val="14"/>
                <w:szCs w:val="14"/>
                <w:color w:val="214E93"/>
              </w:rPr>
              <w:t>(131,320)</w:t>
            </w:r>
          </w:p>
        </w:tc>
        <w:tc>
          <w:tcPr>
            <w:tcW w:w="900" w:type="dxa"/>
            <w:vAlign w:val="bottom"/>
            <w:gridSpan w:val="2"/>
            <w:vMerge w:val="restart"/>
          </w:tcPr>
          <w:p>
            <w:pPr>
              <w:jc w:val="right"/>
              <w:spacing w:after="0"/>
              <w:rPr>
                <w:sz w:val="20"/>
                <w:szCs w:val="20"/>
                <w:color w:val="auto"/>
              </w:rPr>
            </w:pPr>
            <w:r>
              <w:rPr>
                <w:rFonts w:ascii="Verdana" w:cs="Verdana" w:eastAsia="Verdana" w:hAnsi="Verdana"/>
                <w:sz w:val="14"/>
                <w:szCs w:val="14"/>
                <w:color w:val="214E93"/>
              </w:rPr>
              <w:t>(131,320)</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of less-than-wholly-owned subsidiaries</w:t>
            </w: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640" w:type="dxa"/>
            <w:vAlign w:val="bottom"/>
          </w:tcPr>
          <w:p>
            <w:pPr>
              <w:spacing w:after="0"/>
              <w:rPr>
                <w:sz w:val="19"/>
                <w:szCs w:val="19"/>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Cancellation of treasury stock</w:t>
            </w:r>
          </w:p>
        </w:tc>
        <w:tc>
          <w:tcPr>
            <w:tcW w:w="700" w:type="dxa"/>
            <w:vAlign w:val="bottom"/>
          </w:tcPr>
          <w:p>
            <w:pPr>
              <w:jc w:val="right"/>
              <w:spacing w:after="0"/>
              <w:rPr>
                <w:sz w:val="20"/>
                <w:szCs w:val="20"/>
                <w:color w:val="auto"/>
              </w:rPr>
            </w:pPr>
            <w:r>
              <w:rPr>
                <w:rFonts w:ascii="Verdana" w:cs="Verdana" w:eastAsia="Verdana" w:hAnsi="Verdana"/>
                <w:sz w:val="14"/>
                <w:szCs w:val="14"/>
                <w:color w:val="214E93"/>
              </w:rPr>
              <w:t>(1,384)</w:t>
            </w:r>
          </w:p>
        </w:tc>
        <w:tc>
          <w:tcPr>
            <w:tcW w:w="600" w:type="dxa"/>
            <w:vAlign w:val="bottom"/>
          </w:tcPr>
          <w:p>
            <w:pPr>
              <w:jc w:val="right"/>
              <w:spacing w:after="0"/>
              <w:rPr>
                <w:sz w:val="20"/>
                <w:szCs w:val="20"/>
                <w:color w:val="auto"/>
              </w:rPr>
            </w:pPr>
            <w:r>
              <w:rPr>
                <w:rFonts w:ascii="Verdana" w:cs="Verdana" w:eastAsia="Verdana" w:hAnsi="Verdana"/>
                <w:sz w:val="14"/>
                <w:szCs w:val="14"/>
                <w:color w:val="214E93"/>
              </w:rPr>
              <w:t>(14)</w:t>
            </w:r>
          </w:p>
        </w:tc>
        <w:tc>
          <w:tcPr>
            <w:tcW w:w="1000" w:type="dxa"/>
            <w:vAlign w:val="bottom"/>
          </w:tcPr>
          <w:p>
            <w:pPr>
              <w:jc w:val="right"/>
              <w:ind w:right="12"/>
              <w:spacing w:after="0"/>
              <w:rPr>
                <w:sz w:val="20"/>
                <w:szCs w:val="20"/>
                <w:color w:val="auto"/>
              </w:rPr>
            </w:pPr>
            <w:r>
              <w:rPr>
                <w:rFonts w:ascii="Verdana" w:cs="Verdana" w:eastAsia="Verdana" w:hAnsi="Verdana"/>
                <w:sz w:val="14"/>
                <w:szCs w:val="14"/>
                <w:color w:val="214E93"/>
              </w:rPr>
              <w:t>(57,367)</w:t>
            </w:r>
          </w:p>
        </w:tc>
        <w:tc>
          <w:tcPr>
            <w:tcW w:w="1040" w:type="dxa"/>
            <w:vAlign w:val="bottom"/>
          </w:tcPr>
          <w:p>
            <w:pPr>
              <w:jc w:val="right"/>
              <w:ind w:right="92"/>
              <w:spacing w:after="0"/>
              <w:rPr>
                <w:sz w:val="20"/>
                <w:szCs w:val="20"/>
                <w:color w:val="auto"/>
              </w:rPr>
            </w:pPr>
            <w:r>
              <w:rPr>
                <w:rFonts w:ascii="Verdana" w:cs="Verdana" w:eastAsia="Verdana" w:hAnsi="Verdana"/>
                <w:sz w:val="14"/>
                <w:szCs w:val="14"/>
                <w:color w:val="214E93"/>
              </w:rPr>
              <w:t>—</w:t>
            </w:r>
          </w:p>
        </w:tc>
        <w:tc>
          <w:tcPr>
            <w:tcW w:w="640" w:type="dxa"/>
            <w:vAlign w:val="bottom"/>
          </w:tcPr>
          <w:p>
            <w:pPr>
              <w:jc w:val="right"/>
              <w:spacing w:after="0"/>
              <w:rPr>
                <w:sz w:val="20"/>
                <w:szCs w:val="20"/>
                <w:color w:val="auto"/>
              </w:rPr>
            </w:pPr>
            <w:r>
              <w:rPr>
                <w:rFonts w:ascii="Verdana" w:cs="Verdana" w:eastAsia="Verdana" w:hAnsi="Verdana"/>
                <w:sz w:val="14"/>
                <w:szCs w:val="14"/>
                <w:color w:val="214E93"/>
              </w:rPr>
              <w:t>(1,384)</w:t>
            </w:r>
          </w:p>
        </w:tc>
        <w:tc>
          <w:tcPr>
            <w:tcW w:w="700" w:type="dxa"/>
            <w:vAlign w:val="bottom"/>
          </w:tcPr>
          <w:p>
            <w:pPr>
              <w:jc w:val="right"/>
              <w:ind w:right="11"/>
              <w:spacing w:after="0"/>
              <w:rPr>
                <w:sz w:val="20"/>
                <w:szCs w:val="20"/>
                <w:color w:val="auto"/>
              </w:rPr>
            </w:pPr>
            <w:r>
              <w:rPr>
                <w:rFonts w:ascii="Verdana" w:cs="Verdana" w:eastAsia="Verdana" w:hAnsi="Verdana"/>
                <w:sz w:val="14"/>
                <w:szCs w:val="14"/>
                <w:color w:val="214E93"/>
              </w:rPr>
              <w:t>57,381</w:t>
            </w:r>
          </w:p>
        </w:tc>
        <w:tc>
          <w:tcPr>
            <w:tcW w:w="1020" w:type="dxa"/>
            <w:vAlign w:val="bottom"/>
          </w:tcPr>
          <w:p>
            <w:pPr>
              <w:jc w:val="right"/>
              <w:ind w:right="52"/>
              <w:spacing w:after="0"/>
              <w:rPr>
                <w:sz w:val="20"/>
                <w:szCs w:val="20"/>
                <w:color w:val="auto"/>
              </w:rPr>
            </w:pPr>
            <w:r>
              <w:rPr>
                <w:rFonts w:ascii="Verdana" w:cs="Verdana" w:eastAsia="Verdana" w:hAnsi="Verdana"/>
                <w:sz w:val="14"/>
                <w:szCs w:val="14"/>
                <w:color w:val="214E93"/>
              </w:rPr>
              <w:t>—</w:t>
            </w:r>
          </w:p>
        </w:tc>
        <w:tc>
          <w:tcPr>
            <w:tcW w:w="900" w:type="dxa"/>
            <w:vAlign w:val="bottom"/>
          </w:tcPr>
          <w:p>
            <w:pPr>
              <w:jc w:val="right"/>
              <w:ind w:right="72"/>
              <w:spacing w:after="0"/>
              <w:rPr>
                <w:sz w:val="20"/>
                <w:szCs w:val="20"/>
                <w:color w:val="auto"/>
              </w:rPr>
            </w:pPr>
            <w:r>
              <w:rPr>
                <w:rFonts w:ascii="Verdana" w:cs="Verdana" w:eastAsia="Verdana" w:hAnsi="Verdana"/>
                <w:sz w:val="14"/>
                <w:szCs w:val="14"/>
                <w:color w:val="214E93"/>
              </w:rPr>
              <w:t>—</w:t>
            </w:r>
          </w:p>
        </w:tc>
        <w:tc>
          <w:tcPr>
            <w:tcW w:w="4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Verdana" w:cs="Verdana" w:eastAsia="Verdana" w:hAnsi="Verdana"/>
                <w:sz w:val="14"/>
                <w:szCs w:val="14"/>
                <w:color w:val="214E93"/>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40" w:type="dxa"/>
            <w:vAlign w:val="bottom"/>
          </w:tcPr>
          <w:p>
            <w:pPr>
              <w:spacing w:after="0"/>
              <w:rPr>
                <w:sz w:val="19"/>
                <w:szCs w:val="19"/>
                <w:color w:val="auto"/>
              </w:rPr>
            </w:pPr>
          </w:p>
        </w:tc>
        <w:tc>
          <w:tcPr>
            <w:tcW w:w="3080" w:type="dxa"/>
            <w:vAlign w:val="bottom"/>
          </w:tcPr>
          <w:p>
            <w:pPr>
              <w:ind w:left="60"/>
              <w:spacing w:after="0"/>
              <w:rPr>
                <w:sz w:val="20"/>
                <w:szCs w:val="20"/>
                <w:color w:val="auto"/>
              </w:rPr>
            </w:pPr>
            <w:r>
              <w:rPr>
                <w:rFonts w:ascii="Verdana" w:cs="Verdana" w:eastAsia="Verdana" w:hAnsi="Verdana"/>
                <w:sz w:val="12"/>
                <w:szCs w:val="12"/>
                <w:color w:val="auto"/>
              </w:rPr>
              <w:t>Repurchases of common stock</w:t>
            </w:r>
          </w:p>
        </w:tc>
        <w:tc>
          <w:tcPr>
            <w:tcW w:w="700" w:type="dxa"/>
            <w:vAlign w:val="bottom"/>
          </w:tcPr>
          <w:p>
            <w:pPr>
              <w:jc w:val="right"/>
              <w:ind w:right="52"/>
              <w:spacing w:after="0"/>
              <w:rPr>
                <w:sz w:val="20"/>
                <w:szCs w:val="20"/>
                <w:color w:val="auto"/>
              </w:rPr>
            </w:pPr>
            <w:r>
              <w:rPr>
                <w:rFonts w:ascii="Verdana" w:cs="Verdana" w:eastAsia="Verdana" w:hAnsi="Verdana"/>
                <w:sz w:val="14"/>
                <w:szCs w:val="14"/>
                <w:color w:val="214E93"/>
              </w:rPr>
              <w:t>—</w:t>
            </w:r>
          </w:p>
        </w:tc>
        <w:tc>
          <w:tcPr>
            <w:tcW w:w="600" w:type="dxa"/>
            <w:vAlign w:val="bottom"/>
          </w:tcPr>
          <w:p>
            <w:pPr>
              <w:jc w:val="right"/>
              <w:ind w:right="11"/>
              <w:spacing w:after="0"/>
              <w:rPr>
                <w:sz w:val="20"/>
                <w:szCs w:val="20"/>
                <w:color w:val="auto"/>
              </w:rPr>
            </w:pPr>
            <w:r>
              <w:rPr>
                <w:rFonts w:ascii="Verdana" w:cs="Verdana" w:eastAsia="Verdana" w:hAnsi="Verdana"/>
                <w:sz w:val="14"/>
                <w:szCs w:val="14"/>
                <w:color w:val="214E93"/>
              </w:rPr>
              <w:t>—</w:t>
            </w:r>
          </w:p>
        </w:tc>
        <w:tc>
          <w:tcPr>
            <w:tcW w:w="1000" w:type="dxa"/>
            <w:vAlign w:val="bottom"/>
          </w:tcPr>
          <w:p>
            <w:pPr>
              <w:jc w:val="right"/>
              <w:ind w:right="72"/>
              <w:spacing w:after="0"/>
              <w:rPr>
                <w:sz w:val="20"/>
                <w:szCs w:val="20"/>
                <w:color w:val="auto"/>
              </w:rPr>
            </w:pPr>
            <w:r>
              <w:rPr>
                <w:rFonts w:ascii="Verdana" w:cs="Verdana" w:eastAsia="Verdana" w:hAnsi="Verdana"/>
                <w:sz w:val="14"/>
                <w:szCs w:val="14"/>
                <w:color w:val="214E93"/>
              </w:rPr>
              <w:t>—</w:t>
            </w:r>
          </w:p>
        </w:tc>
        <w:tc>
          <w:tcPr>
            <w:tcW w:w="1040" w:type="dxa"/>
            <w:vAlign w:val="bottom"/>
          </w:tcPr>
          <w:p>
            <w:pPr>
              <w:jc w:val="right"/>
              <w:ind w:right="92"/>
              <w:spacing w:after="0"/>
              <w:rPr>
                <w:sz w:val="20"/>
                <w:szCs w:val="20"/>
                <w:color w:val="auto"/>
              </w:rPr>
            </w:pPr>
            <w:r>
              <w:rPr>
                <w:rFonts w:ascii="Verdana" w:cs="Verdana" w:eastAsia="Verdana" w:hAnsi="Verdana"/>
                <w:sz w:val="14"/>
                <w:szCs w:val="14"/>
                <w:color w:val="214E93"/>
              </w:rPr>
              <w:t>—</w:t>
            </w:r>
          </w:p>
        </w:tc>
        <w:tc>
          <w:tcPr>
            <w:tcW w:w="640" w:type="dxa"/>
            <w:vAlign w:val="bottom"/>
          </w:tcPr>
          <w:p>
            <w:pPr>
              <w:jc w:val="right"/>
              <w:ind w:right="72"/>
              <w:spacing w:after="0"/>
              <w:rPr>
                <w:sz w:val="20"/>
                <w:szCs w:val="20"/>
                <w:color w:val="auto"/>
              </w:rPr>
            </w:pPr>
            <w:r>
              <w:rPr>
                <w:rFonts w:ascii="Verdana" w:cs="Verdana" w:eastAsia="Verdana" w:hAnsi="Verdana"/>
                <w:sz w:val="14"/>
                <w:szCs w:val="14"/>
                <w:color w:val="214E93"/>
              </w:rPr>
              <w:t>1,351</w:t>
            </w:r>
          </w:p>
        </w:tc>
        <w:tc>
          <w:tcPr>
            <w:tcW w:w="700" w:type="dxa"/>
            <w:vAlign w:val="bottom"/>
          </w:tcPr>
          <w:p>
            <w:pPr>
              <w:jc w:val="right"/>
              <w:spacing w:after="0"/>
              <w:rPr>
                <w:sz w:val="20"/>
                <w:szCs w:val="20"/>
                <w:color w:val="auto"/>
              </w:rPr>
            </w:pPr>
            <w:r>
              <w:rPr>
                <w:rFonts w:ascii="Verdana" w:cs="Verdana" w:eastAsia="Verdana" w:hAnsi="Verdana"/>
                <w:sz w:val="14"/>
                <w:szCs w:val="14"/>
                <w:color w:val="214E93"/>
              </w:rPr>
              <w:t>(56,408)</w:t>
            </w:r>
          </w:p>
        </w:tc>
        <w:tc>
          <w:tcPr>
            <w:tcW w:w="1020" w:type="dxa"/>
            <w:vAlign w:val="bottom"/>
          </w:tcPr>
          <w:p>
            <w:pPr>
              <w:jc w:val="right"/>
              <w:spacing w:after="0"/>
              <w:rPr>
                <w:sz w:val="20"/>
                <w:szCs w:val="20"/>
                <w:color w:val="auto"/>
              </w:rPr>
            </w:pPr>
            <w:r>
              <w:rPr>
                <w:rFonts w:ascii="Verdana" w:cs="Verdana" w:eastAsia="Verdana" w:hAnsi="Verdana"/>
                <w:sz w:val="14"/>
                <w:szCs w:val="14"/>
                <w:color w:val="214E93"/>
              </w:rPr>
              <w:t>(56,408)</w:t>
            </w:r>
          </w:p>
        </w:tc>
        <w:tc>
          <w:tcPr>
            <w:tcW w:w="900" w:type="dxa"/>
            <w:vAlign w:val="bottom"/>
          </w:tcPr>
          <w:p>
            <w:pPr>
              <w:jc w:val="right"/>
              <w:ind w:right="72"/>
              <w:spacing w:after="0"/>
              <w:rPr>
                <w:sz w:val="20"/>
                <w:szCs w:val="20"/>
                <w:color w:val="auto"/>
              </w:rPr>
            </w:pPr>
            <w:r>
              <w:rPr>
                <w:rFonts w:ascii="Verdana" w:cs="Verdana" w:eastAsia="Verdana" w:hAnsi="Verdana"/>
                <w:sz w:val="14"/>
                <w:szCs w:val="14"/>
                <w:color w:val="214E93"/>
              </w:rPr>
              <w:t>—</w:t>
            </w:r>
          </w:p>
        </w:tc>
        <w:tc>
          <w:tcPr>
            <w:tcW w:w="900" w:type="dxa"/>
            <w:vAlign w:val="bottom"/>
            <w:gridSpan w:val="2"/>
          </w:tcPr>
          <w:p>
            <w:pPr>
              <w:jc w:val="right"/>
              <w:spacing w:after="0"/>
              <w:rPr>
                <w:sz w:val="20"/>
                <w:szCs w:val="20"/>
                <w:color w:val="auto"/>
              </w:rPr>
            </w:pPr>
            <w:r>
              <w:rPr>
                <w:rFonts w:ascii="Verdana" w:cs="Verdana" w:eastAsia="Verdana" w:hAnsi="Verdana"/>
                <w:sz w:val="14"/>
                <w:szCs w:val="14"/>
                <w:color w:val="214E93"/>
              </w:rPr>
              <w:t>(56,408)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3080" w:type="dxa"/>
            <w:vAlign w:val="bottom"/>
            <w:tcBorders>
              <w:bottom w:val="single" w:sz="8" w:color="auto"/>
            </w:tcBorders>
          </w:tcPr>
          <w:p>
            <w:pPr>
              <w:ind w:left="60"/>
              <w:spacing w:after="0"/>
              <w:rPr>
                <w:sz w:val="20"/>
                <w:szCs w:val="20"/>
                <w:color w:val="auto"/>
              </w:rPr>
            </w:pPr>
            <w:r>
              <w:rPr>
                <w:rFonts w:ascii="Verdana" w:cs="Verdana" w:eastAsia="Verdana" w:hAnsi="Verdana"/>
                <w:sz w:val="12"/>
                <w:szCs w:val="12"/>
                <w:color w:val="auto"/>
              </w:rPr>
              <w:t>Current period net income</w:t>
            </w:r>
          </w:p>
        </w:tc>
        <w:tc>
          <w:tcPr>
            <w:tcW w:w="700" w:type="dxa"/>
            <w:vAlign w:val="bottom"/>
            <w:tcBorders>
              <w:bottom w:val="single" w:sz="8" w:color="auto"/>
            </w:tcBorders>
          </w:tcPr>
          <w:p>
            <w:pPr>
              <w:jc w:val="right"/>
              <w:ind w:right="52"/>
              <w:spacing w:after="0"/>
              <w:rPr>
                <w:sz w:val="20"/>
                <w:szCs w:val="20"/>
                <w:color w:val="auto"/>
              </w:rPr>
            </w:pPr>
            <w:r>
              <w:rPr>
                <w:rFonts w:ascii="Verdana" w:cs="Verdana" w:eastAsia="Verdana" w:hAnsi="Verdana"/>
                <w:sz w:val="14"/>
                <w:szCs w:val="14"/>
                <w:color w:val="214E93"/>
              </w:rPr>
              <w:t>—</w:t>
            </w:r>
          </w:p>
        </w:tc>
        <w:tc>
          <w:tcPr>
            <w:tcW w:w="60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4"/>
                <w:szCs w:val="14"/>
                <w:color w:val="214E93"/>
              </w:rPr>
              <w:t>—</w:t>
            </w:r>
          </w:p>
        </w:tc>
        <w:tc>
          <w:tcPr>
            <w:tcW w:w="1000" w:type="dxa"/>
            <w:vAlign w:val="bottom"/>
            <w:tcBorders>
              <w:bottom w:val="single" w:sz="8" w:color="auto"/>
            </w:tcBorders>
          </w:tcPr>
          <w:p>
            <w:pPr>
              <w:jc w:val="right"/>
              <w:ind w:right="72"/>
              <w:spacing w:after="0"/>
              <w:rPr>
                <w:sz w:val="20"/>
                <w:szCs w:val="20"/>
                <w:color w:val="auto"/>
              </w:rPr>
            </w:pPr>
            <w:r>
              <w:rPr>
                <w:rFonts w:ascii="Verdana" w:cs="Verdana" w:eastAsia="Verdana" w:hAnsi="Verdana"/>
                <w:sz w:val="14"/>
                <w:szCs w:val="14"/>
                <w:color w:val="214E93"/>
              </w:rPr>
              <w:t>—</w:t>
            </w:r>
          </w:p>
        </w:tc>
        <w:tc>
          <w:tcPr>
            <w:tcW w:w="1040" w:type="dxa"/>
            <w:vAlign w:val="bottom"/>
            <w:tcBorders>
              <w:bottom w:val="single" w:sz="8" w:color="auto"/>
            </w:tcBorders>
          </w:tcPr>
          <w:p>
            <w:pPr>
              <w:jc w:val="right"/>
              <w:ind w:right="92"/>
              <w:spacing w:after="0"/>
              <w:rPr>
                <w:sz w:val="20"/>
                <w:szCs w:val="20"/>
                <w:color w:val="auto"/>
              </w:rPr>
            </w:pPr>
            <w:r>
              <w:rPr>
                <w:rFonts w:ascii="Verdana" w:cs="Verdana" w:eastAsia="Verdana" w:hAnsi="Verdana"/>
                <w:sz w:val="14"/>
                <w:szCs w:val="14"/>
                <w:color w:val="214E93"/>
              </w:rPr>
              <w:t>759,221</w:t>
            </w:r>
          </w:p>
        </w:tc>
        <w:tc>
          <w:tcPr>
            <w:tcW w:w="640" w:type="dxa"/>
            <w:vAlign w:val="bottom"/>
            <w:tcBorders>
              <w:bottom w:val="single" w:sz="8" w:color="auto"/>
            </w:tcBorders>
          </w:tcPr>
          <w:p>
            <w:pPr>
              <w:jc w:val="right"/>
              <w:ind w:right="72"/>
              <w:spacing w:after="0"/>
              <w:rPr>
                <w:sz w:val="20"/>
                <w:szCs w:val="20"/>
                <w:color w:val="auto"/>
              </w:rPr>
            </w:pPr>
            <w:r>
              <w:rPr>
                <w:rFonts w:ascii="Verdana" w:cs="Verdana" w:eastAsia="Verdana" w:hAnsi="Verdana"/>
                <w:sz w:val="14"/>
                <w:szCs w:val="14"/>
                <w:color w:val="214E93"/>
              </w:rPr>
              <w:t>—</w:t>
            </w:r>
          </w:p>
        </w:tc>
        <w:tc>
          <w:tcPr>
            <w:tcW w:w="70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4"/>
                <w:szCs w:val="14"/>
                <w:color w:val="214E93"/>
              </w:rPr>
              <w:t>—</w:t>
            </w:r>
          </w:p>
        </w:tc>
        <w:tc>
          <w:tcPr>
            <w:tcW w:w="1020" w:type="dxa"/>
            <w:vAlign w:val="bottom"/>
            <w:tcBorders>
              <w:bottom w:val="single" w:sz="8" w:color="auto"/>
            </w:tcBorders>
          </w:tcPr>
          <w:p>
            <w:pPr>
              <w:jc w:val="right"/>
              <w:ind w:right="52"/>
              <w:spacing w:after="0"/>
              <w:rPr>
                <w:sz w:val="20"/>
                <w:szCs w:val="20"/>
                <w:color w:val="auto"/>
              </w:rPr>
            </w:pPr>
            <w:r>
              <w:rPr>
                <w:rFonts w:ascii="Verdana" w:cs="Verdana" w:eastAsia="Verdana" w:hAnsi="Verdana"/>
                <w:sz w:val="14"/>
                <w:szCs w:val="14"/>
                <w:color w:val="214E93"/>
              </w:rPr>
              <w:t>759,221</w:t>
            </w:r>
          </w:p>
        </w:tc>
        <w:tc>
          <w:tcPr>
            <w:tcW w:w="900" w:type="dxa"/>
            <w:vAlign w:val="bottom"/>
            <w:tcBorders>
              <w:bottom w:val="single" w:sz="8" w:color="auto"/>
            </w:tcBorders>
          </w:tcPr>
          <w:p>
            <w:pPr>
              <w:jc w:val="right"/>
              <w:ind w:right="72"/>
              <w:spacing w:after="0"/>
              <w:rPr>
                <w:sz w:val="20"/>
                <w:szCs w:val="20"/>
                <w:color w:val="auto"/>
              </w:rPr>
            </w:pPr>
            <w:r>
              <w:rPr>
                <w:rFonts w:ascii="Verdana" w:cs="Verdana" w:eastAsia="Verdana" w:hAnsi="Verdana"/>
                <w:sz w:val="14"/>
                <w:szCs w:val="14"/>
                <w:color w:val="214E93"/>
              </w:rPr>
              <w:t>101,548</w:t>
            </w:r>
          </w:p>
        </w:tc>
        <w:tc>
          <w:tcPr>
            <w:tcW w:w="900" w:type="dxa"/>
            <w:vAlign w:val="bottom"/>
            <w:tcBorders>
              <w:bottom w:val="single" w:sz="8" w:color="auto"/>
            </w:tcBorders>
            <w:gridSpan w:val="2"/>
          </w:tcPr>
          <w:p>
            <w:pPr>
              <w:jc w:val="right"/>
              <w:spacing w:after="0"/>
              <w:rPr>
                <w:sz w:val="20"/>
                <w:szCs w:val="20"/>
                <w:color w:val="auto"/>
              </w:rPr>
            </w:pPr>
            <w:r>
              <w:rPr>
                <w:rFonts w:ascii="Verdana" w:cs="Verdana" w:eastAsia="Verdana" w:hAnsi="Verdana"/>
                <w:sz w:val="14"/>
                <w:szCs w:val="14"/>
                <w:color w:val="214E93"/>
              </w:rPr>
              <w:t>860,769</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3080" w:type="dxa"/>
            <w:vAlign w:val="bottom"/>
            <w:tcBorders>
              <w:bottom w:val="single" w:sz="8" w:color="214E93"/>
            </w:tcBorders>
          </w:tcPr>
          <w:p>
            <w:pPr>
              <w:ind w:left="60"/>
              <w:spacing w:after="0"/>
              <w:rPr>
                <w:sz w:val="20"/>
                <w:szCs w:val="20"/>
                <w:color w:val="auto"/>
              </w:rPr>
            </w:pPr>
            <w:r>
              <w:rPr>
                <w:rFonts w:ascii="Verdana" w:cs="Verdana" w:eastAsia="Verdana" w:hAnsi="Verdana"/>
                <w:sz w:val="14"/>
                <w:szCs w:val="14"/>
                <w:b w:val="1"/>
                <w:bCs w:val="1"/>
                <w:color w:val="214E93"/>
              </w:rPr>
              <w:t>Balance at December 31, 2025</w:t>
            </w:r>
          </w:p>
        </w:tc>
        <w:tc>
          <w:tcPr>
            <w:tcW w:w="700" w:type="dxa"/>
            <w:vAlign w:val="bottom"/>
            <w:tcBorders>
              <w:bottom w:val="single" w:sz="8" w:color="214E93"/>
            </w:tcBorders>
          </w:tcPr>
          <w:p>
            <w:pPr>
              <w:jc w:val="right"/>
              <w:ind w:right="12"/>
              <w:spacing w:after="0"/>
              <w:rPr>
                <w:sz w:val="20"/>
                <w:szCs w:val="20"/>
                <w:color w:val="auto"/>
              </w:rPr>
            </w:pPr>
            <w:r>
              <w:rPr>
                <w:rFonts w:ascii="Verdana" w:cs="Verdana" w:eastAsia="Verdana" w:hAnsi="Verdana"/>
                <w:sz w:val="14"/>
                <w:szCs w:val="14"/>
                <w:color w:val="214E93"/>
              </w:rPr>
              <w:t>124,410</w:t>
            </w:r>
          </w:p>
        </w:tc>
        <w:tc>
          <w:tcPr>
            <w:tcW w:w="600" w:type="dxa"/>
            <w:vAlign w:val="bottom"/>
            <w:tcBorders>
              <w:bottom w:val="single" w:sz="8" w:color="214E93"/>
            </w:tcBorders>
          </w:tcPr>
          <w:p>
            <w:pPr>
              <w:ind w:left="80"/>
              <w:spacing w:after="0"/>
              <w:rPr>
                <w:sz w:val="20"/>
                <w:szCs w:val="20"/>
                <w:color w:val="auto"/>
              </w:rPr>
            </w:pPr>
            <w:r>
              <w:rPr>
                <w:rFonts w:ascii="Verdana" w:cs="Verdana" w:eastAsia="Verdana" w:hAnsi="Verdana"/>
                <w:sz w:val="14"/>
                <w:szCs w:val="14"/>
                <w:color w:val="214E93"/>
              </w:rPr>
              <w:t>$1,244</w:t>
            </w:r>
          </w:p>
        </w:tc>
        <w:tc>
          <w:tcPr>
            <w:tcW w:w="100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214E93"/>
                <w:w w:val="98"/>
              </w:rPr>
              <w:t>$2,509,118</w:t>
            </w:r>
          </w:p>
        </w:tc>
        <w:tc>
          <w:tcPr>
            <w:tcW w:w="1040" w:type="dxa"/>
            <w:vAlign w:val="bottom"/>
            <w:tcBorders>
              <w:bottom w:val="single" w:sz="8" w:color="214E93"/>
            </w:tcBorders>
          </w:tcPr>
          <w:p>
            <w:pPr>
              <w:jc w:val="right"/>
              <w:ind w:right="92"/>
              <w:spacing w:after="0"/>
              <w:rPr>
                <w:sz w:val="20"/>
                <w:szCs w:val="20"/>
                <w:color w:val="auto"/>
              </w:rPr>
            </w:pPr>
            <w:r>
              <w:rPr>
                <w:rFonts w:ascii="Verdana" w:cs="Verdana" w:eastAsia="Verdana" w:hAnsi="Verdana"/>
                <w:sz w:val="14"/>
                <w:szCs w:val="14"/>
                <w:color w:val="214E93"/>
              </w:rPr>
              <w:t>$3,153,112</w:t>
            </w:r>
          </w:p>
        </w:tc>
        <w:tc>
          <w:tcPr>
            <w:tcW w:w="640" w:type="dxa"/>
            <w:vAlign w:val="bottom"/>
            <w:tcBorders>
              <w:bottom w:val="single" w:sz="8" w:color="214E93"/>
            </w:tcBorders>
          </w:tcPr>
          <w:p>
            <w:pPr>
              <w:jc w:val="right"/>
              <w:ind w:right="72"/>
              <w:spacing w:after="0"/>
              <w:rPr>
                <w:sz w:val="20"/>
                <w:szCs w:val="20"/>
                <w:color w:val="auto"/>
              </w:rPr>
            </w:pPr>
            <w:r>
              <w:rPr>
                <w:rFonts w:ascii="Verdana" w:cs="Verdana" w:eastAsia="Verdana" w:hAnsi="Verdana"/>
                <w:sz w:val="14"/>
                <w:szCs w:val="14"/>
                <w:color w:val="214E93"/>
              </w:rPr>
              <w:t>147</w:t>
            </w:r>
          </w:p>
        </w:tc>
        <w:tc>
          <w:tcPr>
            <w:tcW w:w="700" w:type="dxa"/>
            <w:vAlign w:val="bottom"/>
            <w:tcBorders>
              <w:bottom w:val="single" w:sz="8" w:color="214E93"/>
            </w:tcBorders>
          </w:tcPr>
          <w:p>
            <w:pPr>
              <w:jc w:val="right"/>
              <w:spacing w:after="0"/>
              <w:rPr>
                <w:sz w:val="20"/>
                <w:szCs w:val="20"/>
                <w:color w:val="auto"/>
              </w:rPr>
            </w:pPr>
            <w:r>
              <w:rPr>
                <w:rFonts w:ascii="Verdana" w:cs="Verdana" w:eastAsia="Verdana" w:hAnsi="Verdana"/>
                <w:sz w:val="14"/>
                <w:szCs w:val="14"/>
                <w:color w:val="214E93"/>
              </w:rPr>
              <w:t>$(5,333)</w:t>
            </w:r>
          </w:p>
        </w:tc>
        <w:tc>
          <w:tcPr>
            <w:tcW w:w="102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214E93"/>
                <w:w w:val="98"/>
              </w:rPr>
              <w:t>$5,658,141</w:t>
            </w:r>
          </w:p>
        </w:tc>
        <w:tc>
          <w:tcPr>
            <w:tcW w:w="900" w:type="dxa"/>
            <w:vAlign w:val="bottom"/>
            <w:tcBorders>
              <w:bottom w:val="single" w:sz="8" w:color="214E93"/>
            </w:tcBorders>
          </w:tcPr>
          <w:p>
            <w:pPr>
              <w:jc w:val="right"/>
              <w:ind w:right="72"/>
              <w:spacing w:after="0"/>
              <w:rPr>
                <w:sz w:val="20"/>
                <w:szCs w:val="20"/>
                <w:color w:val="auto"/>
              </w:rPr>
            </w:pPr>
            <w:r>
              <w:rPr>
                <w:rFonts w:ascii="Verdana" w:cs="Verdana" w:eastAsia="Verdana" w:hAnsi="Verdana"/>
                <w:sz w:val="14"/>
                <w:szCs w:val="14"/>
                <w:color w:val="214E93"/>
              </w:rPr>
              <w:t>$ 338,511</w:t>
            </w:r>
          </w:p>
        </w:tc>
        <w:tc>
          <w:tcPr>
            <w:tcW w:w="900" w:type="dxa"/>
            <w:vAlign w:val="bottom"/>
            <w:tcBorders>
              <w:bottom w:val="single" w:sz="8" w:color="214E93"/>
            </w:tcBorders>
            <w:gridSpan w:val="2"/>
          </w:tcPr>
          <w:p>
            <w:pPr>
              <w:jc w:val="center"/>
              <w:spacing w:after="0"/>
              <w:rPr>
                <w:sz w:val="20"/>
                <w:szCs w:val="20"/>
                <w:color w:val="auto"/>
              </w:rPr>
            </w:pPr>
            <w:r>
              <w:rPr>
                <w:rFonts w:ascii="Verdana" w:cs="Verdana" w:eastAsia="Verdana" w:hAnsi="Verdana"/>
                <w:sz w:val="14"/>
                <w:szCs w:val="14"/>
                <w:color w:val="214E93"/>
                <w:w w:val="98"/>
              </w:rPr>
              <w:t>$5,996,652</w:t>
            </w:r>
          </w:p>
        </w:tc>
        <w:tc>
          <w:tcPr>
            <w:tcW w:w="20" w:type="dxa"/>
            <w:vAlign w:val="bottom"/>
            <w:tcBorders>
              <w:bottom w:val="single" w:sz="8" w:color="214E93"/>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-7147560</wp:posOffset>
                </wp:positionV>
                <wp:extent cx="6811645" cy="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72" o:spid="_x0000_s12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62.7999pt" to="536.35pt,-562.7999pt" o:allowincell="f" strokecolor="#000000" strokeweight="0pt"/>
            </w:pict>
          </mc:Fallback>
        </mc:AlternateContent>
      </w:r>
    </w:p>
    <w:p>
      <w:pPr>
        <w:spacing w:after="0" w:line="29" w:lineRule="exact"/>
        <w:rPr>
          <w:sz w:val="20"/>
          <w:szCs w:val="20"/>
          <w:color w:val="auto"/>
        </w:rPr>
      </w:pPr>
    </w:p>
    <w:p>
      <w:pPr>
        <w:ind w:left="2880"/>
        <w:spacing w:after="0"/>
        <w:rPr>
          <w:sz w:val="20"/>
          <w:szCs w:val="20"/>
          <w:color w:val="auto"/>
        </w:rPr>
      </w:pPr>
      <w:r>
        <w:rPr>
          <w:rFonts w:ascii="Verdana" w:cs="Verdana" w:eastAsia="Verdana" w:hAnsi="Verdana"/>
          <w:sz w:val="14"/>
          <w:szCs w:val="14"/>
          <w:i w:val="1"/>
          <w:iCs w:val="1"/>
          <w:color w:val="auto"/>
        </w:rPr>
        <w:t>The accompanying notes are an integral part of these consolidated financial statements.</w:t>
      </w:r>
    </w:p>
    <w:p>
      <w:pPr>
        <w:sectPr>
          <w:pgSz w:w="11880" w:h="15480" w:orient="portrait"/>
          <w:cols w:equalWidth="0" w:num="1">
            <w:col w:w="11460"/>
          </w:cols>
          <w:pgMar w:left="0" w:top="498"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060"/>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1460"/>
          </w:cols>
          <w:pgMar w:left="0" w:top="498" w:right="420" w:bottom="0" w:gutter="0" w:footer="0" w:header="0"/>
          <w:type w:val="continuous"/>
        </w:sectPr>
      </w:pPr>
    </w:p>
    <w:bookmarkStart w:id="137" w:name="page138"/>
    <w:bookmarkEnd w:id="137"/>
    <w:tbl>
      <w:tblPr>
        <w:tblLayout w:type="fixed"/>
        <w:tblInd w:w="0" w:type="dxa"/>
        <w:tblCellMar>
          <w:top w:w="0" w:type="dxa"/>
          <w:left w:w="0" w:type="dxa"/>
          <w:bottom w:w="0" w:type="dxa"/>
          <w:right w:w="0" w:type="dxa"/>
        </w:tblCellMar>
      </w:tblPr>
      <w:tr>
        <w:trPr>
          <w:trHeight w:val="220"/>
        </w:trPr>
        <w:tc>
          <w:tcPr>
            <w:tcW w:w="740" w:type="dxa"/>
            <w:vAlign w:val="bottom"/>
          </w:tcPr>
          <w:p>
            <w:pPr>
              <w:spacing w:after="0"/>
              <w:rPr>
                <w:sz w:val="20"/>
                <w:szCs w:val="20"/>
                <w:color w:val="auto"/>
              </w:rPr>
            </w:pPr>
            <w:r>
              <w:rPr>
                <w:rFonts w:ascii="Calibri" w:cs="Calibri" w:eastAsia="Calibri" w:hAnsi="Calibri"/>
                <w:sz w:val="18"/>
                <w:szCs w:val="18"/>
                <w:color w:val="auto"/>
              </w:rPr>
              <w:t>F-7</w:t>
            </w:r>
          </w:p>
        </w:tc>
        <w:tc>
          <w:tcPr>
            <w:tcW w:w="6900" w:type="dxa"/>
            <w:vAlign w:val="bottom"/>
          </w:tcPr>
          <w:p>
            <w:pPr>
              <w:ind w:left="40"/>
              <w:spacing w:after="0"/>
              <w:rPr>
                <w:sz w:val="20"/>
                <w:szCs w:val="20"/>
                <w:color w:val="auto"/>
              </w:rPr>
            </w:pPr>
            <w:r>
              <w:rPr>
                <w:rFonts w:ascii="Calibri" w:cs="Calibri" w:eastAsia="Calibri" w:hAnsi="Calibri"/>
                <w:sz w:val="18"/>
                <w:szCs w:val="18"/>
                <w:color w:val="auto"/>
              </w:rPr>
              <w:t>MATADOR RESOURCES COMPANY</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496"/>
        </w:trPr>
        <w:tc>
          <w:tcPr>
            <w:tcW w:w="740" w:type="dxa"/>
            <w:vAlign w:val="bottom"/>
          </w:tcPr>
          <w:p>
            <w:pPr>
              <w:spacing w:after="0"/>
              <w:rPr>
                <w:sz w:val="24"/>
                <w:szCs w:val="24"/>
                <w:color w:val="auto"/>
              </w:rPr>
            </w:pPr>
          </w:p>
        </w:tc>
        <w:tc>
          <w:tcPr>
            <w:tcW w:w="6900" w:type="dxa"/>
            <w:vAlign w:val="bottom"/>
            <w:tcBorders>
              <w:bottom w:val="single" w:sz="8" w:color="214E93"/>
            </w:tcBorders>
          </w:tcPr>
          <w:p>
            <w:pPr>
              <w:ind w:left="40"/>
              <w:spacing w:after="0"/>
              <w:rPr>
                <w:sz w:val="20"/>
                <w:szCs w:val="20"/>
                <w:color w:val="auto"/>
              </w:rPr>
            </w:pPr>
            <w:r>
              <w:rPr>
                <w:rFonts w:ascii="Verdana" w:cs="Verdana" w:eastAsia="Verdana" w:hAnsi="Verdana"/>
                <w:sz w:val="21"/>
                <w:szCs w:val="21"/>
                <w:color w:val="214E93"/>
              </w:rPr>
              <w:t>Consolidated Statements of Cash Flows</w:t>
            </w:r>
          </w:p>
        </w:tc>
        <w:tc>
          <w:tcPr>
            <w:tcW w:w="160" w:type="dxa"/>
            <w:vAlign w:val="bottom"/>
            <w:tcBorders>
              <w:bottom w:val="single" w:sz="8" w:color="214E93"/>
            </w:tcBorders>
          </w:tcPr>
          <w:p>
            <w:pPr>
              <w:spacing w:after="0"/>
              <w:rPr>
                <w:sz w:val="24"/>
                <w:szCs w:val="24"/>
                <w:color w:val="auto"/>
              </w:rPr>
            </w:pPr>
          </w:p>
        </w:tc>
        <w:tc>
          <w:tcPr>
            <w:tcW w:w="900" w:type="dxa"/>
            <w:vAlign w:val="bottom"/>
            <w:tcBorders>
              <w:bottom w:val="single" w:sz="8" w:color="214E93"/>
            </w:tcBorders>
          </w:tcPr>
          <w:p>
            <w:pPr>
              <w:spacing w:after="0"/>
              <w:rPr>
                <w:sz w:val="24"/>
                <w:szCs w:val="24"/>
                <w:color w:val="auto"/>
              </w:rPr>
            </w:pPr>
          </w:p>
        </w:tc>
        <w:tc>
          <w:tcPr>
            <w:tcW w:w="200" w:type="dxa"/>
            <w:vAlign w:val="bottom"/>
            <w:tcBorders>
              <w:bottom w:val="single" w:sz="8" w:color="214E93"/>
            </w:tcBorders>
          </w:tcPr>
          <w:p>
            <w:pPr>
              <w:spacing w:after="0"/>
              <w:rPr>
                <w:sz w:val="24"/>
                <w:szCs w:val="24"/>
                <w:color w:val="auto"/>
              </w:rPr>
            </w:pPr>
          </w:p>
        </w:tc>
        <w:tc>
          <w:tcPr>
            <w:tcW w:w="900" w:type="dxa"/>
            <w:vAlign w:val="bottom"/>
            <w:tcBorders>
              <w:bottom w:val="single" w:sz="8" w:color="214E93"/>
            </w:tcBorders>
          </w:tcPr>
          <w:p>
            <w:pPr>
              <w:spacing w:after="0"/>
              <w:rPr>
                <w:sz w:val="24"/>
                <w:szCs w:val="24"/>
                <w:color w:val="auto"/>
              </w:rPr>
            </w:pPr>
          </w:p>
        </w:tc>
        <w:tc>
          <w:tcPr>
            <w:tcW w:w="1040" w:type="dxa"/>
            <w:vAlign w:val="bottom"/>
            <w:tcBorders>
              <w:bottom w:val="single" w:sz="8" w:color="214E93"/>
            </w:tcBorders>
          </w:tcPr>
          <w:p>
            <w:pPr>
              <w:spacing w:after="0"/>
              <w:rPr>
                <w:sz w:val="24"/>
                <w:szCs w:val="24"/>
                <w:color w:val="auto"/>
              </w:rPr>
            </w:pPr>
          </w:p>
        </w:tc>
        <w:tc>
          <w:tcPr>
            <w:tcW w:w="620" w:type="dxa"/>
            <w:vAlign w:val="bottom"/>
            <w:tcBorders>
              <w:bottom w:val="single" w:sz="8" w:color="214E93"/>
            </w:tcBorders>
          </w:tcPr>
          <w:p>
            <w:pPr>
              <w:spacing w:after="0"/>
              <w:rPr>
                <w:sz w:val="24"/>
                <w:szCs w:val="24"/>
                <w:color w:val="auto"/>
              </w:rPr>
            </w:pPr>
          </w:p>
        </w:tc>
      </w:tr>
      <w:tr>
        <w:trPr>
          <w:trHeight w:val="420"/>
        </w:trPr>
        <w:tc>
          <w:tcPr>
            <w:tcW w:w="740" w:type="dxa"/>
            <w:vAlign w:val="bottom"/>
          </w:tcPr>
          <w:p>
            <w:pPr>
              <w:spacing w:after="0"/>
              <w:rPr>
                <w:sz w:val="24"/>
                <w:szCs w:val="24"/>
                <w:color w:val="auto"/>
              </w:rPr>
            </w:pPr>
          </w:p>
        </w:tc>
        <w:tc>
          <w:tcPr>
            <w:tcW w:w="6900" w:type="dxa"/>
            <w:vAlign w:val="bottom"/>
          </w:tcPr>
          <w:p>
            <w:pPr>
              <w:ind w:left="40"/>
              <w:spacing w:after="0"/>
              <w:rPr>
                <w:sz w:val="20"/>
                <w:szCs w:val="20"/>
                <w:color w:val="auto"/>
              </w:rPr>
            </w:pPr>
            <w:r>
              <w:rPr>
                <w:rFonts w:ascii="Calibri" w:cs="Calibri" w:eastAsia="Calibri" w:hAnsi="Calibri"/>
                <w:sz w:val="19"/>
                <w:szCs w:val="19"/>
                <w:b w:val="1"/>
                <w:bCs w:val="1"/>
                <w:color w:val="214E93"/>
              </w:rPr>
              <w:t>Matador Resources Company and Subsidiaries</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11"/>
        </w:trPr>
        <w:tc>
          <w:tcPr>
            <w:tcW w:w="74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60" w:type="dxa"/>
            <w:vAlign w:val="bottom"/>
            <w:tcBorders>
              <w:bottom w:val="single" w:sz="8" w:color="214E93"/>
            </w:tcBorders>
          </w:tcPr>
          <w:p>
            <w:pPr>
              <w:spacing w:after="0"/>
              <w:rPr>
                <w:sz w:val="24"/>
                <w:szCs w:val="24"/>
                <w:color w:val="auto"/>
              </w:rPr>
            </w:pPr>
          </w:p>
        </w:tc>
        <w:tc>
          <w:tcPr>
            <w:tcW w:w="3040" w:type="dxa"/>
            <w:vAlign w:val="bottom"/>
            <w:tcBorders>
              <w:bottom w:val="single" w:sz="8" w:color="214E93"/>
            </w:tcBorders>
            <w:gridSpan w:val="4"/>
          </w:tcPr>
          <w:p>
            <w:pPr>
              <w:jc w:val="right"/>
              <w:ind w:right="621"/>
              <w:spacing w:after="0"/>
              <w:rPr>
                <w:sz w:val="20"/>
                <w:szCs w:val="20"/>
                <w:color w:val="auto"/>
              </w:rPr>
            </w:pPr>
            <w:r>
              <w:rPr>
                <w:rFonts w:ascii="Verdana" w:cs="Verdana" w:eastAsia="Verdana" w:hAnsi="Verdana"/>
                <w:sz w:val="14"/>
                <w:szCs w:val="14"/>
                <w:color w:val="auto"/>
              </w:rPr>
              <w:t>Year Ended December 31,</w:t>
            </w:r>
          </w:p>
        </w:tc>
        <w:tc>
          <w:tcPr>
            <w:tcW w:w="620" w:type="dxa"/>
            <w:vAlign w:val="bottom"/>
          </w:tcPr>
          <w:p>
            <w:pPr>
              <w:spacing w:after="0"/>
              <w:rPr>
                <w:sz w:val="24"/>
                <w:szCs w:val="24"/>
                <w:color w:val="auto"/>
              </w:rPr>
            </w:pPr>
          </w:p>
        </w:tc>
      </w:tr>
      <w:tr>
        <w:trPr>
          <w:trHeight w:val="260"/>
        </w:trPr>
        <w:tc>
          <w:tcPr>
            <w:tcW w:w="740" w:type="dxa"/>
            <w:vAlign w:val="bottom"/>
          </w:tcPr>
          <w:p>
            <w:pPr>
              <w:spacing w:after="0"/>
              <w:rPr>
                <w:sz w:val="22"/>
                <w:szCs w:val="22"/>
                <w:color w:val="auto"/>
              </w:rPr>
            </w:pPr>
          </w:p>
        </w:tc>
        <w:tc>
          <w:tcPr>
            <w:tcW w:w="6900" w:type="dxa"/>
            <w:vAlign w:val="bottom"/>
            <w:tcBorders>
              <w:bottom w:val="single" w:sz="8" w:color="214E93"/>
            </w:tcBorders>
          </w:tcPr>
          <w:p>
            <w:pPr>
              <w:spacing w:after="0"/>
              <w:rPr>
                <w:sz w:val="22"/>
                <w:szCs w:val="22"/>
                <w:color w:val="auto"/>
              </w:rPr>
            </w:pPr>
          </w:p>
        </w:tc>
        <w:tc>
          <w:tcPr>
            <w:tcW w:w="160" w:type="dxa"/>
            <w:vAlign w:val="bottom"/>
            <w:tcBorders>
              <w:bottom w:val="single" w:sz="8" w:color="214E93"/>
            </w:tcBorders>
          </w:tcPr>
          <w:p>
            <w:pPr>
              <w:spacing w:after="0"/>
              <w:rPr>
                <w:sz w:val="22"/>
                <w:szCs w:val="22"/>
                <w:color w:val="auto"/>
              </w:rPr>
            </w:pPr>
          </w:p>
        </w:tc>
        <w:tc>
          <w:tcPr>
            <w:tcW w:w="900" w:type="dxa"/>
            <w:vAlign w:val="bottom"/>
            <w:tcBorders>
              <w:bottom w:val="single" w:sz="8" w:color="214E93"/>
            </w:tcBorders>
          </w:tcPr>
          <w:p>
            <w:pPr>
              <w:jc w:val="right"/>
              <w:ind w:right="302"/>
              <w:spacing w:after="0"/>
              <w:rPr>
                <w:sz w:val="20"/>
                <w:szCs w:val="20"/>
                <w:color w:val="auto"/>
              </w:rPr>
            </w:pPr>
            <w:r>
              <w:rPr>
                <w:rFonts w:ascii="Verdana" w:cs="Verdana" w:eastAsia="Verdana" w:hAnsi="Verdana"/>
                <w:sz w:val="14"/>
                <w:szCs w:val="14"/>
                <w:color w:val="auto"/>
              </w:rPr>
              <w:t>2025</w:t>
            </w:r>
          </w:p>
        </w:tc>
        <w:tc>
          <w:tcPr>
            <w:tcW w:w="200" w:type="dxa"/>
            <w:vAlign w:val="bottom"/>
            <w:tcBorders>
              <w:bottom w:val="single" w:sz="8" w:color="214E93"/>
            </w:tcBorders>
          </w:tcPr>
          <w:p>
            <w:pPr>
              <w:spacing w:after="0"/>
              <w:rPr>
                <w:sz w:val="22"/>
                <w:szCs w:val="22"/>
                <w:color w:val="auto"/>
              </w:rPr>
            </w:pPr>
          </w:p>
        </w:tc>
        <w:tc>
          <w:tcPr>
            <w:tcW w:w="900" w:type="dxa"/>
            <w:vAlign w:val="bottom"/>
            <w:tcBorders>
              <w:bottom w:val="single" w:sz="8" w:color="214E93"/>
            </w:tcBorders>
          </w:tcPr>
          <w:p>
            <w:pPr>
              <w:jc w:val="right"/>
              <w:ind w:right="322"/>
              <w:spacing w:after="0"/>
              <w:rPr>
                <w:sz w:val="20"/>
                <w:szCs w:val="20"/>
                <w:color w:val="auto"/>
              </w:rPr>
            </w:pPr>
            <w:r>
              <w:rPr>
                <w:rFonts w:ascii="Verdana" w:cs="Verdana" w:eastAsia="Verdana" w:hAnsi="Verdana"/>
                <w:sz w:val="14"/>
                <w:szCs w:val="14"/>
                <w:color w:val="auto"/>
              </w:rPr>
              <w:t>2024</w:t>
            </w:r>
          </w:p>
        </w:tc>
        <w:tc>
          <w:tcPr>
            <w:tcW w:w="1040" w:type="dxa"/>
            <w:vAlign w:val="bottom"/>
            <w:tcBorders>
              <w:bottom w:val="single" w:sz="8" w:color="214E93"/>
            </w:tcBorders>
          </w:tcPr>
          <w:p>
            <w:pPr>
              <w:jc w:val="right"/>
              <w:ind w:right="261"/>
              <w:spacing w:after="0"/>
              <w:rPr>
                <w:sz w:val="20"/>
                <w:szCs w:val="20"/>
                <w:color w:val="auto"/>
              </w:rPr>
            </w:pPr>
            <w:r>
              <w:rPr>
                <w:rFonts w:ascii="Verdana" w:cs="Verdana" w:eastAsia="Verdana" w:hAnsi="Verdana"/>
                <w:sz w:val="14"/>
                <w:szCs w:val="14"/>
                <w:color w:val="auto"/>
              </w:rPr>
              <w:t>2023</w:t>
            </w:r>
          </w:p>
        </w:tc>
        <w:tc>
          <w:tcPr>
            <w:tcW w:w="620" w:type="dxa"/>
            <w:vAlign w:val="bottom"/>
          </w:tcPr>
          <w:p>
            <w:pPr>
              <w:spacing w:after="0"/>
              <w:rPr>
                <w:sz w:val="22"/>
                <w:szCs w:val="22"/>
                <w:color w:val="auto"/>
              </w:rPr>
            </w:pPr>
          </w:p>
        </w:tc>
      </w:tr>
      <w:tr>
        <w:trPr>
          <w:trHeight w:val="194"/>
        </w:trPr>
        <w:tc>
          <w:tcPr>
            <w:tcW w:w="740" w:type="dxa"/>
            <w:vAlign w:val="bottom"/>
          </w:tcPr>
          <w:p>
            <w:pPr>
              <w:spacing w:after="0"/>
              <w:rPr>
                <w:sz w:val="16"/>
                <w:szCs w:val="16"/>
                <w:color w:val="auto"/>
              </w:rPr>
            </w:pPr>
          </w:p>
        </w:tc>
        <w:tc>
          <w:tcPr>
            <w:tcW w:w="6900" w:type="dxa"/>
            <w:vAlign w:val="bottom"/>
          </w:tcPr>
          <w:p>
            <w:pPr>
              <w:ind w:left="40"/>
              <w:spacing w:after="0"/>
              <w:rPr>
                <w:sz w:val="20"/>
                <w:szCs w:val="20"/>
                <w:color w:val="auto"/>
              </w:rPr>
            </w:pPr>
            <w:r>
              <w:rPr>
                <w:rFonts w:ascii="Verdana" w:cs="Verdana" w:eastAsia="Verdana" w:hAnsi="Verdana"/>
                <w:sz w:val="14"/>
                <w:szCs w:val="14"/>
                <w:i w:val="1"/>
                <w:iCs w:val="1"/>
                <w:color w:val="auto"/>
              </w:rPr>
              <w:t>(in thousands)</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15"/>
        </w:trPr>
        <w:tc>
          <w:tcPr>
            <w:tcW w:w="740" w:type="dxa"/>
            <w:vAlign w:val="bottom"/>
          </w:tcPr>
          <w:p>
            <w:pPr>
              <w:spacing w:after="0"/>
              <w:rPr>
                <w:sz w:val="18"/>
                <w:szCs w:val="18"/>
                <w:color w:val="auto"/>
              </w:rPr>
            </w:pPr>
          </w:p>
        </w:tc>
        <w:tc>
          <w:tcPr>
            <w:tcW w:w="6900" w:type="dxa"/>
            <w:vAlign w:val="bottom"/>
          </w:tcPr>
          <w:p>
            <w:pPr>
              <w:ind w:left="40"/>
              <w:spacing w:after="0"/>
              <w:rPr>
                <w:sz w:val="20"/>
                <w:szCs w:val="20"/>
                <w:color w:val="auto"/>
              </w:rPr>
            </w:pPr>
            <w:r>
              <w:rPr>
                <w:rFonts w:ascii="Verdana" w:cs="Verdana" w:eastAsia="Verdana" w:hAnsi="Verdana"/>
                <w:sz w:val="14"/>
                <w:szCs w:val="14"/>
                <w:color w:val="auto"/>
              </w:rPr>
              <w:t>Operating activities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0"/>
        </w:trPr>
        <w:tc>
          <w:tcPr>
            <w:tcW w:w="740" w:type="dxa"/>
            <w:vAlign w:val="bottom"/>
          </w:tcPr>
          <w:p>
            <w:pPr>
              <w:spacing w:after="0"/>
              <w:rPr>
                <w:sz w:val="19"/>
                <w:szCs w:val="19"/>
                <w:color w:val="auto"/>
              </w:rPr>
            </w:pPr>
          </w:p>
        </w:tc>
        <w:tc>
          <w:tcPr>
            <w:tcW w:w="6900" w:type="dxa"/>
            <w:vAlign w:val="bottom"/>
          </w:tcPr>
          <w:p>
            <w:pPr>
              <w:ind w:left="160"/>
              <w:spacing w:after="0"/>
              <w:rPr>
                <w:sz w:val="20"/>
                <w:szCs w:val="20"/>
                <w:color w:val="auto"/>
              </w:rPr>
            </w:pPr>
            <w:r>
              <w:rPr>
                <w:rFonts w:ascii="Verdana" w:cs="Verdana" w:eastAsia="Verdana" w:hAnsi="Verdana"/>
                <w:sz w:val="14"/>
                <w:szCs w:val="14"/>
                <w:color w:val="auto"/>
              </w:rPr>
              <w:t>Net income</w:t>
            </w:r>
          </w:p>
        </w:tc>
        <w:tc>
          <w:tcPr>
            <w:tcW w:w="16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900" w:type="dxa"/>
            <w:vAlign w:val="bottom"/>
          </w:tcPr>
          <w:p>
            <w:pPr>
              <w:jc w:val="right"/>
              <w:ind w:right="62"/>
              <w:spacing w:after="0"/>
              <w:rPr>
                <w:sz w:val="20"/>
                <w:szCs w:val="20"/>
                <w:color w:val="auto"/>
              </w:rPr>
            </w:pPr>
            <w:r>
              <w:rPr>
                <w:rFonts w:ascii="Verdana" w:cs="Verdana" w:eastAsia="Verdana" w:hAnsi="Verdana"/>
                <w:sz w:val="16"/>
                <w:szCs w:val="16"/>
                <w:color w:val="214E93"/>
              </w:rPr>
              <w:t>860,769</w:t>
            </w:r>
          </w:p>
        </w:tc>
        <w:tc>
          <w:tcPr>
            <w:tcW w:w="200" w:type="dxa"/>
            <w:vAlign w:val="bottom"/>
          </w:tcPr>
          <w:p>
            <w:pPr>
              <w:jc w:val="right"/>
              <w:spacing w:after="0"/>
              <w:rPr>
                <w:sz w:val="20"/>
                <w:szCs w:val="20"/>
                <w:color w:val="auto"/>
              </w:rPr>
            </w:pPr>
            <w:r>
              <w:rPr>
                <w:rFonts w:ascii="Verdana" w:cs="Verdana" w:eastAsia="Verdana" w:hAnsi="Verdana"/>
                <w:sz w:val="16"/>
                <w:szCs w:val="16"/>
                <w:color w:val="auto"/>
              </w:rPr>
              <w:t>$</w:t>
            </w:r>
          </w:p>
        </w:tc>
        <w:tc>
          <w:tcPr>
            <w:tcW w:w="900" w:type="dxa"/>
            <w:vAlign w:val="bottom"/>
          </w:tcPr>
          <w:p>
            <w:pPr>
              <w:jc w:val="right"/>
              <w:ind w:right="62"/>
              <w:spacing w:after="0"/>
              <w:rPr>
                <w:sz w:val="20"/>
                <w:szCs w:val="20"/>
                <w:color w:val="auto"/>
              </w:rPr>
            </w:pPr>
            <w:r>
              <w:rPr>
                <w:rFonts w:ascii="Verdana" w:cs="Verdana" w:eastAsia="Verdana" w:hAnsi="Verdana"/>
                <w:sz w:val="16"/>
                <w:szCs w:val="16"/>
                <w:color w:val="auto"/>
              </w:rPr>
              <w:t>971,343</w:t>
            </w:r>
          </w:p>
        </w:tc>
        <w:tc>
          <w:tcPr>
            <w:tcW w:w="1040" w:type="dxa"/>
            <w:vAlign w:val="bottom"/>
          </w:tcPr>
          <w:p>
            <w:pPr>
              <w:jc w:val="right"/>
              <w:ind w:right="21"/>
              <w:spacing w:after="0"/>
              <w:rPr>
                <w:sz w:val="20"/>
                <w:szCs w:val="20"/>
                <w:color w:val="auto"/>
              </w:rPr>
            </w:pPr>
            <w:r>
              <w:rPr>
                <w:rFonts w:ascii="Verdana" w:cs="Verdana" w:eastAsia="Verdana" w:hAnsi="Verdana"/>
                <w:sz w:val="16"/>
                <w:szCs w:val="16"/>
                <w:color w:val="auto"/>
              </w:rPr>
              <w:t>$  910,359</w:t>
            </w:r>
          </w:p>
        </w:tc>
        <w:tc>
          <w:tcPr>
            <w:tcW w:w="620" w:type="dxa"/>
            <w:vAlign w:val="bottom"/>
          </w:tcPr>
          <w:p>
            <w:pPr>
              <w:spacing w:after="0"/>
              <w:rPr>
                <w:sz w:val="19"/>
                <w:szCs w:val="19"/>
                <w:color w:val="auto"/>
              </w:rPr>
            </w:pPr>
          </w:p>
        </w:tc>
      </w:tr>
      <w:tr>
        <w:trPr>
          <w:trHeight w:val="213"/>
        </w:trPr>
        <w:tc>
          <w:tcPr>
            <w:tcW w:w="74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Verdana" w:cs="Verdana" w:eastAsia="Verdana" w:hAnsi="Verdana"/>
                <w:sz w:val="14"/>
                <w:szCs w:val="14"/>
                <w:color w:val="auto"/>
              </w:rPr>
              <w:t>Adjustments to reconcile net income to net cash provided by operating activities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0"/>
        </w:trPr>
        <w:tc>
          <w:tcPr>
            <w:tcW w:w="740" w:type="dxa"/>
            <w:vAlign w:val="bottom"/>
          </w:tcPr>
          <w:p>
            <w:pPr>
              <w:spacing w:after="0"/>
              <w:rPr>
                <w:sz w:val="19"/>
                <w:szCs w:val="19"/>
                <w:color w:val="auto"/>
              </w:rPr>
            </w:pPr>
          </w:p>
        </w:tc>
        <w:tc>
          <w:tcPr>
            <w:tcW w:w="6900" w:type="dxa"/>
            <w:vAlign w:val="bottom"/>
          </w:tcPr>
          <w:p>
            <w:pPr>
              <w:ind w:left="280"/>
              <w:spacing w:after="0"/>
              <w:rPr>
                <w:sz w:val="20"/>
                <w:szCs w:val="20"/>
                <w:color w:val="auto"/>
              </w:rPr>
            </w:pPr>
            <w:r>
              <w:rPr>
                <w:rFonts w:ascii="Verdana" w:cs="Verdana" w:eastAsia="Verdana" w:hAnsi="Verdana"/>
                <w:sz w:val="14"/>
                <w:szCs w:val="14"/>
                <w:color w:val="auto"/>
              </w:rPr>
              <w:t>Depletion, depreciation and amortization</w:t>
            </w:r>
          </w:p>
        </w:tc>
        <w:tc>
          <w:tcPr>
            <w:tcW w:w="1060" w:type="dxa"/>
            <w:vAlign w:val="bottom"/>
            <w:gridSpan w:val="2"/>
          </w:tcPr>
          <w:p>
            <w:pPr>
              <w:jc w:val="right"/>
              <w:ind w:right="62"/>
              <w:spacing w:after="0"/>
              <w:rPr>
                <w:sz w:val="20"/>
                <w:szCs w:val="20"/>
                <w:color w:val="auto"/>
              </w:rPr>
            </w:pPr>
            <w:r>
              <w:rPr>
                <w:rFonts w:ascii="Verdana" w:cs="Verdana" w:eastAsia="Verdana" w:hAnsi="Verdana"/>
                <w:sz w:val="16"/>
                <w:szCs w:val="16"/>
                <w:color w:val="214E93"/>
              </w:rPr>
              <w:t>1,195,358</w:t>
            </w:r>
          </w:p>
        </w:tc>
        <w:tc>
          <w:tcPr>
            <w:tcW w:w="200" w:type="dxa"/>
            <w:vAlign w:val="bottom"/>
          </w:tcPr>
          <w:p>
            <w:pPr>
              <w:spacing w:after="0"/>
              <w:rPr>
                <w:sz w:val="19"/>
                <w:szCs w:val="19"/>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auto"/>
              </w:rPr>
              <w:t>974,300</w:t>
            </w:r>
          </w:p>
        </w:tc>
        <w:tc>
          <w:tcPr>
            <w:tcW w:w="1040" w:type="dxa"/>
            <w:vAlign w:val="bottom"/>
          </w:tcPr>
          <w:p>
            <w:pPr>
              <w:jc w:val="right"/>
              <w:ind w:right="21"/>
              <w:spacing w:after="0"/>
              <w:rPr>
                <w:sz w:val="20"/>
                <w:szCs w:val="20"/>
                <w:color w:val="auto"/>
              </w:rPr>
            </w:pPr>
            <w:r>
              <w:rPr>
                <w:rFonts w:ascii="Verdana" w:cs="Verdana" w:eastAsia="Verdana" w:hAnsi="Verdana"/>
                <w:sz w:val="16"/>
                <w:szCs w:val="16"/>
                <w:color w:val="auto"/>
              </w:rPr>
              <w:t>716,688</w:t>
            </w:r>
          </w:p>
        </w:tc>
        <w:tc>
          <w:tcPr>
            <w:tcW w:w="620" w:type="dxa"/>
            <w:vAlign w:val="bottom"/>
          </w:tcPr>
          <w:p>
            <w:pPr>
              <w:spacing w:after="0"/>
              <w:rPr>
                <w:sz w:val="19"/>
                <w:szCs w:val="19"/>
                <w:color w:val="auto"/>
              </w:rPr>
            </w:pPr>
          </w:p>
        </w:tc>
      </w:tr>
      <w:tr>
        <w:trPr>
          <w:trHeight w:val="221"/>
        </w:trPr>
        <w:tc>
          <w:tcPr>
            <w:tcW w:w="740" w:type="dxa"/>
            <w:vAlign w:val="bottom"/>
          </w:tcPr>
          <w:p>
            <w:pPr>
              <w:spacing w:after="0"/>
              <w:rPr>
                <w:sz w:val="19"/>
                <w:szCs w:val="19"/>
                <w:color w:val="auto"/>
              </w:rPr>
            </w:pPr>
          </w:p>
        </w:tc>
        <w:tc>
          <w:tcPr>
            <w:tcW w:w="6900" w:type="dxa"/>
            <w:vAlign w:val="bottom"/>
          </w:tcPr>
          <w:p>
            <w:pPr>
              <w:ind w:left="280"/>
              <w:spacing w:after="0"/>
              <w:rPr>
                <w:sz w:val="20"/>
                <w:szCs w:val="20"/>
                <w:color w:val="auto"/>
              </w:rPr>
            </w:pPr>
            <w:r>
              <w:rPr>
                <w:rFonts w:ascii="Verdana" w:cs="Verdana" w:eastAsia="Verdana" w:hAnsi="Verdana"/>
                <w:sz w:val="14"/>
                <w:szCs w:val="14"/>
                <w:color w:val="auto"/>
              </w:rPr>
              <w:t>Deferred income tax provision</w:t>
            </w:r>
          </w:p>
        </w:tc>
        <w:tc>
          <w:tcPr>
            <w:tcW w:w="160" w:type="dxa"/>
            <w:vAlign w:val="bottom"/>
          </w:tcPr>
          <w:p>
            <w:pPr>
              <w:spacing w:after="0"/>
              <w:rPr>
                <w:sz w:val="19"/>
                <w:szCs w:val="19"/>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214E93"/>
              </w:rPr>
              <w:t>165,587</w:t>
            </w:r>
          </w:p>
        </w:tc>
        <w:tc>
          <w:tcPr>
            <w:tcW w:w="200" w:type="dxa"/>
            <w:vAlign w:val="bottom"/>
          </w:tcPr>
          <w:p>
            <w:pPr>
              <w:spacing w:after="0"/>
              <w:rPr>
                <w:sz w:val="19"/>
                <w:szCs w:val="19"/>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auto"/>
              </w:rPr>
              <w:t>265,305</w:t>
            </w:r>
          </w:p>
        </w:tc>
        <w:tc>
          <w:tcPr>
            <w:tcW w:w="1040" w:type="dxa"/>
            <w:vAlign w:val="bottom"/>
          </w:tcPr>
          <w:p>
            <w:pPr>
              <w:jc w:val="right"/>
              <w:ind w:right="21"/>
              <w:spacing w:after="0"/>
              <w:rPr>
                <w:sz w:val="20"/>
                <w:szCs w:val="20"/>
                <w:color w:val="auto"/>
              </w:rPr>
            </w:pPr>
            <w:r>
              <w:rPr>
                <w:rFonts w:ascii="Verdana" w:cs="Verdana" w:eastAsia="Verdana" w:hAnsi="Verdana"/>
                <w:sz w:val="16"/>
                <w:szCs w:val="16"/>
                <w:color w:val="auto"/>
              </w:rPr>
              <w:t>172,104</w:t>
            </w:r>
          </w:p>
        </w:tc>
        <w:tc>
          <w:tcPr>
            <w:tcW w:w="620" w:type="dxa"/>
            <w:vAlign w:val="bottom"/>
          </w:tcPr>
          <w:p>
            <w:pPr>
              <w:spacing w:after="0"/>
              <w:rPr>
                <w:sz w:val="19"/>
                <w:szCs w:val="19"/>
                <w:color w:val="auto"/>
              </w:rPr>
            </w:pPr>
          </w:p>
        </w:tc>
      </w:tr>
      <w:tr>
        <w:trPr>
          <w:trHeight w:val="221"/>
        </w:trPr>
        <w:tc>
          <w:tcPr>
            <w:tcW w:w="740" w:type="dxa"/>
            <w:vAlign w:val="bottom"/>
          </w:tcPr>
          <w:p>
            <w:pPr>
              <w:spacing w:after="0"/>
              <w:rPr>
                <w:sz w:val="19"/>
                <w:szCs w:val="19"/>
                <w:color w:val="auto"/>
              </w:rPr>
            </w:pPr>
          </w:p>
        </w:tc>
        <w:tc>
          <w:tcPr>
            <w:tcW w:w="6900" w:type="dxa"/>
            <w:vAlign w:val="bottom"/>
          </w:tcPr>
          <w:p>
            <w:pPr>
              <w:ind w:left="280"/>
              <w:spacing w:after="0"/>
              <w:rPr>
                <w:sz w:val="20"/>
                <w:szCs w:val="20"/>
                <w:color w:val="auto"/>
              </w:rPr>
            </w:pPr>
            <w:r>
              <w:rPr>
                <w:rFonts w:ascii="Verdana" w:cs="Verdana" w:eastAsia="Verdana" w:hAnsi="Verdana"/>
                <w:sz w:val="14"/>
                <w:szCs w:val="14"/>
                <w:color w:val="auto"/>
              </w:rPr>
              <w:t>Stock-based compensation expense</w:t>
            </w:r>
          </w:p>
        </w:tc>
        <w:tc>
          <w:tcPr>
            <w:tcW w:w="160" w:type="dxa"/>
            <w:vAlign w:val="bottom"/>
          </w:tcPr>
          <w:p>
            <w:pPr>
              <w:spacing w:after="0"/>
              <w:rPr>
                <w:sz w:val="19"/>
                <w:szCs w:val="19"/>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214E93"/>
              </w:rPr>
              <w:t>18,327</w:t>
            </w:r>
          </w:p>
        </w:tc>
        <w:tc>
          <w:tcPr>
            <w:tcW w:w="200" w:type="dxa"/>
            <w:vAlign w:val="bottom"/>
          </w:tcPr>
          <w:p>
            <w:pPr>
              <w:spacing w:after="0"/>
              <w:rPr>
                <w:sz w:val="19"/>
                <w:szCs w:val="19"/>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auto"/>
              </w:rPr>
              <w:t>14,982</w:t>
            </w:r>
          </w:p>
        </w:tc>
        <w:tc>
          <w:tcPr>
            <w:tcW w:w="1040" w:type="dxa"/>
            <w:vAlign w:val="bottom"/>
          </w:tcPr>
          <w:p>
            <w:pPr>
              <w:jc w:val="right"/>
              <w:ind w:right="21"/>
              <w:spacing w:after="0"/>
              <w:rPr>
                <w:sz w:val="20"/>
                <w:szCs w:val="20"/>
                <w:color w:val="auto"/>
              </w:rPr>
            </w:pPr>
            <w:r>
              <w:rPr>
                <w:rFonts w:ascii="Verdana" w:cs="Verdana" w:eastAsia="Verdana" w:hAnsi="Verdana"/>
                <w:sz w:val="16"/>
                <w:szCs w:val="16"/>
                <w:color w:val="auto"/>
              </w:rPr>
              <w:t>13,661</w:t>
            </w:r>
          </w:p>
        </w:tc>
        <w:tc>
          <w:tcPr>
            <w:tcW w:w="620" w:type="dxa"/>
            <w:vAlign w:val="bottom"/>
          </w:tcPr>
          <w:p>
            <w:pPr>
              <w:spacing w:after="0"/>
              <w:rPr>
                <w:sz w:val="19"/>
                <w:szCs w:val="19"/>
                <w:color w:val="auto"/>
              </w:rPr>
            </w:pPr>
          </w:p>
        </w:tc>
      </w:tr>
      <w:tr>
        <w:trPr>
          <w:trHeight w:val="221"/>
        </w:trPr>
        <w:tc>
          <w:tcPr>
            <w:tcW w:w="740" w:type="dxa"/>
            <w:vAlign w:val="bottom"/>
          </w:tcPr>
          <w:p>
            <w:pPr>
              <w:spacing w:after="0"/>
              <w:rPr>
                <w:sz w:val="19"/>
                <w:szCs w:val="19"/>
                <w:color w:val="auto"/>
              </w:rPr>
            </w:pPr>
          </w:p>
        </w:tc>
        <w:tc>
          <w:tcPr>
            <w:tcW w:w="6900" w:type="dxa"/>
            <w:vAlign w:val="bottom"/>
          </w:tcPr>
          <w:p>
            <w:pPr>
              <w:ind w:left="280"/>
              <w:spacing w:after="0"/>
              <w:rPr>
                <w:sz w:val="20"/>
                <w:szCs w:val="20"/>
                <w:color w:val="auto"/>
              </w:rPr>
            </w:pPr>
            <w:r>
              <w:rPr>
                <w:rFonts w:ascii="Verdana" w:cs="Verdana" w:eastAsia="Verdana" w:hAnsi="Verdana"/>
                <w:sz w:val="14"/>
                <w:szCs w:val="14"/>
                <w:color w:val="auto"/>
              </w:rPr>
              <w:t>Unrealized (gain) loss on derivatives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Verdana" w:cs="Verdana" w:eastAsia="Verdana" w:hAnsi="Verdana"/>
                <w:sz w:val="16"/>
                <w:szCs w:val="16"/>
                <w:color w:val="214E93"/>
              </w:rPr>
              <w:t>(18,084)</w:t>
            </w:r>
          </w:p>
        </w:tc>
        <w:tc>
          <w:tcPr>
            <w:tcW w:w="20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Verdana" w:cs="Verdana" w:eastAsia="Verdana" w:hAnsi="Verdana"/>
                <w:sz w:val="16"/>
                <w:szCs w:val="16"/>
                <w:color w:val="auto"/>
              </w:rPr>
              <w:t>(13,299)</w:t>
            </w:r>
          </w:p>
        </w:tc>
        <w:tc>
          <w:tcPr>
            <w:tcW w:w="1040" w:type="dxa"/>
            <w:vAlign w:val="bottom"/>
          </w:tcPr>
          <w:p>
            <w:pPr>
              <w:jc w:val="right"/>
              <w:ind w:right="21"/>
              <w:spacing w:after="0"/>
              <w:rPr>
                <w:sz w:val="20"/>
                <w:szCs w:val="20"/>
                <w:color w:val="auto"/>
              </w:rPr>
            </w:pPr>
            <w:r>
              <w:rPr>
                <w:rFonts w:ascii="Verdana" w:cs="Verdana" w:eastAsia="Verdana" w:hAnsi="Verdana"/>
                <w:sz w:val="16"/>
                <w:szCs w:val="16"/>
                <w:color w:val="auto"/>
              </w:rPr>
              <w:t>1,261</w:t>
            </w:r>
          </w:p>
        </w:tc>
        <w:tc>
          <w:tcPr>
            <w:tcW w:w="620" w:type="dxa"/>
            <w:vAlign w:val="bottom"/>
          </w:tcPr>
          <w:p>
            <w:pPr>
              <w:spacing w:after="0"/>
              <w:rPr>
                <w:sz w:val="19"/>
                <w:szCs w:val="19"/>
                <w:color w:val="auto"/>
              </w:rPr>
            </w:pPr>
          </w:p>
        </w:tc>
      </w:tr>
      <w:tr>
        <w:trPr>
          <w:trHeight w:val="221"/>
        </w:trPr>
        <w:tc>
          <w:tcPr>
            <w:tcW w:w="740" w:type="dxa"/>
            <w:vAlign w:val="bottom"/>
          </w:tcPr>
          <w:p>
            <w:pPr>
              <w:spacing w:after="0"/>
              <w:rPr>
                <w:sz w:val="19"/>
                <w:szCs w:val="19"/>
                <w:color w:val="auto"/>
              </w:rPr>
            </w:pPr>
          </w:p>
        </w:tc>
        <w:tc>
          <w:tcPr>
            <w:tcW w:w="6900" w:type="dxa"/>
            <w:vAlign w:val="bottom"/>
          </w:tcPr>
          <w:p>
            <w:pPr>
              <w:ind w:left="280"/>
              <w:spacing w:after="0"/>
              <w:rPr>
                <w:sz w:val="20"/>
                <w:szCs w:val="20"/>
                <w:color w:val="auto"/>
              </w:rPr>
            </w:pPr>
            <w:r>
              <w:rPr>
                <w:rFonts w:ascii="Verdana" w:cs="Verdana" w:eastAsia="Verdana" w:hAnsi="Verdana"/>
                <w:sz w:val="14"/>
                <w:szCs w:val="14"/>
                <w:color w:val="auto"/>
              </w:rPr>
              <w:t>Amortization of debt issuance cost and other debt related costs</w:t>
            </w:r>
          </w:p>
        </w:tc>
        <w:tc>
          <w:tcPr>
            <w:tcW w:w="160" w:type="dxa"/>
            <w:vAlign w:val="bottom"/>
          </w:tcPr>
          <w:p>
            <w:pPr>
              <w:spacing w:after="0"/>
              <w:rPr>
                <w:sz w:val="19"/>
                <w:szCs w:val="19"/>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214E93"/>
              </w:rPr>
              <w:t>14,764</w:t>
            </w:r>
          </w:p>
        </w:tc>
        <w:tc>
          <w:tcPr>
            <w:tcW w:w="200" w:type="dxa"/>
            <w:vAlign w:val="bottom"/>
          </w:tcPr>
          <w:p>
            <w:pPr>
              <w:spacing w:after="0"/>
              <w:rPr>
                <w:sz w:val="19"/>
                <w:szCs w:val="19"/>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auto"/>
              </w:rPr>
              <w:t>16,533</w:t>
            </w:r>
          </w:p>
        </w:tc>
        <w:tc>
          <w:tcPr>
            <w:tcW w:w="1040" w:type="dxa"/>
            <w:vAlign w:val="bottom"/>
          </w:tcPr>
          <w:p>
            <w:pPr>
              <w:jc w:val="right"/>
              <w:ind w:right="21"/>
              <w:spacing w:after="0"/>
              <w:rPr>
                <w:sz w:val="20"/>
                <w:szCs w:val="20"/>
                <w:color w:val="auto"/>
              </w:rPr>
            </w:pPr>
            <w:r>
              <w:rPr>
                <w:rFonts w:ascii="Verdana" w:cs="Verdana" w:eastAsia="Verdana" w:hAnsi="Verdana"/>
                <w:sz w:val="16"/>
                <w:szCs w:val="16"/>
                <w:color w:val="auto"/>
              </w:rPr>
              <w:t>7,047</w:t>
            </w:r>
          </w:p>
        </w:tc>
        <w:tc>
          <w:tcPr>
            <w:tcW w:w="620" w:type="dxa"/>
            <w:vAlign w:val="bottom"/>
          </w:tcPr>
          <w:p>
            <w:pPr>
              <w:spacing w:after="0"/>
              <w:rPr>
                <w:sz w:val="19"/>
                <w:szCs w:val="19"/>
                <w:color w:val="auto"/>
              </w:rPr>
            </w:pPr>
          </w:p>
        </w:tc>
      </w:tr>
      <w:tr>
        <w:trPr>
          <w:trHeight w:val="221"/>
        </w:trPr>
        <w:tc>
          <w:tcPr>
            <w:tcW w:w="740" w:type="dxa"/>
            <w:vAlign w:val="bottom"/>
          </w:tcPr>
          <w:p>
            <w:pPr>
              <w:spacing w:after="0"/>
              <w:rPr>
                <w:sz w:val="19"/>
                <w:szCs w:val="19"/>
                <w:color w:val="auto"/>
              </w:rPr>
            </w:pPr>
          </w:p>
        </w:tc>
        <w:tc>
          <w:tcPr>
            <w:tcW w:w="6900" w:type="dxa"/>
            <w:vAlign w:val="bottom"/>
          </w:tcPr>
          <w:p>
            <w:pPr>
              <w:ind w:left="280"/>
              <w:spacing w:after="0"/>
              <w:rPr>
                <w:sz w:val="20"/>
                <w:szCs w:val="20"/>
                <w:color w:val="auto"/>
              </w:rPr>
            </w:pPr>
            <w:r>
              <w:rPr>
                <w:rFonts w:ascii="Verdana" w:cs="Verdana" w:eastAsia="Verdana" w:hAnsi="Verdana"/>
                <w:sz w:val="14"/>
                <w:szCs w:val="14"/>
                <w:color w:val="auto"/>
              </w:rPr>
              <w:t>Accretion of asset retirement obligations</w:t>
            </w:r>
          </w:p>
        </w:tc>
        <w:tc>
          <w:tcPr>
            <w:tcW w:w="160" w:type="dxa"/>
            <w:vAlign w:val="bottom"/>
          </w:tcPr>
          <w:p>
            <w:pPr>
              <w:spacing w:after="0"/>
              <w:rPr>
                <w:sz w:val="19"/>
                <w:szCs w:val="19"/>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214E93"/>
              </w:rPr>
              <w:t>7,846</w:t>
            </w:r>
          </w:p>
        </w:tc>
        <w:tc>
          <w:tcPr>
            <w:tcW w:w="200" w:type="dxa"/>
            <w:vAlign w:val="bottom"/>
          </w:tcPr>
          <w:p>
            <w:pPr>
              <w:spacing w:after="0"/>
              <w:rPr>
                <w:sz w:val="19"/>
                <w:szCs w:val="19"/>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auto"/>
              </w:rPr>
              <w:t>6,027</w:t>
            </w:r>
          </w:p>
        </w:tc>
        <w:tc>
          <w:tcPr>
            <w:tcW w:w="1040" w:type="dxa"/>
            <w:vAlign w:val="bottom"/>
          </w:tcPr>
          <w:p>
            <w:pPr>
              <w:jc w:val="right"/>
              <w:ind w:right="21"/>
              <w:spacing w:after="0"/>
              <w:rPr>
                <w:sz w:val="20"/>
                <w:szCs w:val="20"/>
                <w:color w:val="auto"/>
              </w:rPr>
            </w:pPr>
            <w:r>
              <w:rPr>
                <w:rFonts w:ascii="Verdana" w:cs="Verdana" w:eastAsia="Verdana" w:hAnsi="Verdana"/>
                <w:sz w:val="16"/>
                <w:szCs w:val="16"/>
                <w:color w:val="auto"/>
              </w:rPr>
              <w:t>3,943</w:t>
            </w:r>
          </w:p>
        </w:tc>
        <w:tc>
          <w:tcPr>
            <w:tcW w:w="620" w:type="dxa"/>
            <w:vAlign w:val="bottom"/>
          </w:tcPr>
          <w:p>
            <w:pPr>
              <w:spacing w:after="0"/>
              <w:rPr>
                <w:sz w:val="19"/>
                <w:szCs w:val="19"/>
                <w:color w:val="auto"/>
              </w:rPr>
            </w:pPr>
          </w:p>
        </w:tc>
      </w:tr>
      <w:tr>
        <w:trPr>
          <w:trHeight w:val="221"/>
        </w:trPr>
        <w:tc>
          <w:tcPr>
            <w:tcW w:w="740" w:type="dxa"/>
            <w:vAlign w:val="bottom"/>
          </w:tcPr>
          <w:p>
            <w:pPr>
              <w:spacing w:after="0"/>
              <w:rPr>
                <w:sz w:val="19"/>
                <w:szCs w:val="19"/>
                <w:color w:val="auto"/>
              </w:rPr>
            </w:pPr>
          </w:p>
        </w:tc>
        <w:tc>
          <w:tcPr>
            <w:tcW w:w="6900" w:type="dxa"/>
            <w:vAlign w:val="bottom"/>
          </w:tcPr>
          <w:p>
            <w:pPr>
              <w:ind w:left="280"/>
              <w:spacing w:after="0"/>
              <w:rPr>
                <w:sz w:val="20"/>
                <w:szCs w:val="20"/>
                <w:color w:val="auto"/>
              </w:rPr>
            </w:pPr>
            <w:r>
              <w:rPr>
                <w:rFonts w:ascii="Verdana" w:cs="Verdana" w:eastAsia="Verdana" w:hAnsi="Verdana"/>
                <w:sz w:val="14"/>
                <w:szCs w:val="14"/>
                <w:color w:val="auto"/>
              </w:rPr>
              <w:t>Other non-cash changes</w:t>
            </w:r>
          </w:p>
        </w:tc>
        <w:tc>
          <w:tcPr>
            <w:tcW w:w="160" w:type="dxa"/>
            <w:vAlign w:val="bottom"/>
          </w:tcPr>
          <w:p>
            <w:pPr>
              <w:spacing w:after="0"/>
              <w:rPr>
                <w:sz w:val="19"/>
                <w:szCs w:val="19"/>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214E93"/>
              </w:rPr>
              <w:t>4,259</w:t>
            </w:r>
          </w:p>
        </w:tc>
        <w:tc>
          <w:tcPr>
            <w:tcW w:w="20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Verdana" w:cs="Verdana" w:eastAsia="Verdana" w:hAnsi="Verdana"/>
                <w:sz w:val="16"/>
                <w:szCs w:val="16"/>
                <w:color w:val="auto"/>
              </w:rPr>
              <w:t>(1,386)</w:t>
            </w:r>
          </w:p>
        </w:tc>
        <w:tc>
          <w:tcPr>
            <w:tcW w:w="1040" w:type="dxa"/>
            <w:vAlign w:val="bottom"/>
          </w:tcPr>
          <w:p>
            <w:pPr>
              <w:jc w:val="right"/>
              <w:spacing w:after="0"/>
              <w:rPr>
                <w:sz w:val="20"/>
                <w:szCs w:val="20"/>
                <w:color w:val="auto"/>
              </w:rPr>
            </w:pPr>
            <w:r>
              <w:rPr>
                <w:rFonts w:ascii="Verdana" w:cs="Verdana" w:eastAsia="Verdana" w:hAnsi="Verdana"/>
                <w:sz w:val="16"/>
                <w:szCs w:val="16"/>
                <w:color w:val="auto"/>
              </w:rPr>
              <w:t>(7,262)</w:t>
            </w:r>
          </w:p>
        </w:tc>
        <w:tc>
          <w:tcPr>
            <w:tcW w:w="620" w:type="dxa"/>
            <w:vAlign w:val="bottom"/>
          </w:tcPr>
          <w:p>
            <w:pPr>
              <w:spacing w:after="0"/>
              <w:rPr>
                <w:sz w:val="19"/>
                <w:szCs w:val="19"/>
                <w:color w:val="auto"/>
              </w:rPr>
            </w:pPr>
          </w:p>
        </w:tc>
      </w:tr>
      <w:tr>
        <w:trPr>
          <w:trHeight w:val="213"/>
        </w:trPr>
        <w:tc>
          <w:tcPr>
            <w:tcW w:w="740" w:type="dxa"/>
            <w:vAlign w:val="bottom"/>
          </w:tcPr>
          <w:p>
            <w:pPr>
              <w:spacing w:after="0"/>
              <w:rPr>
                <w:sz w:val="18"/>
                <w:szCs w:val="18"/>
                <w:color w:val="auto"/>
              </w:rPr>
            </w:pPr>
          </w:p>
        </w:tc>
        <w:tc>
          <w:tcPr>
            <w:tcW w:w="6900" w:type="dxa"/>
            <w:vAlign w:val="bottom"/>
          </w:tcPr>
          <w:p>
            <w:pPr>
              <w:ind w:left="280"/>
              <w:spacing w:after="0"/>
              <w:rPr>
                <w:sz w:val="20"/>
                <w:szCs w:val="20"/>
                <w:color w:val="auto"/>
              </w:rPr>
            </w:pPr>
            <w:r>
              <w:rPr>
                <w:rFonts w:ascii="Verdana" w:cs="Verdana" w:eastAsia="Verdana" w:hAnsi="Verdana"/>
                <w:sz w:val="14"/>
                <w:szCs w:val="14"/>
                <w:color w:val="auto"/>
              </w:rPr>
              <w:t>Changes in operating assets and liabilities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0"/>
        </w:trPr>
        <w:tc>
          <w:tcPr>
            <w:tcW w:w="740" w:type="dxa"/>
            <w:vAlign w:val="bottom"/>
          </w:tcPr>
          <w:p>
            <w:pPr>
              <w:spacing w:after="0"/>
              <w:rPr>
                <w:sz w:val="19"/>
                <w:szCs w:val="19"/>
                <w:color w:val="auto"/>
              </w:rPr>
            </w:pPr>
          </w:p>
        </w:tc>
        <w:tc>
          <w:tcPr>
            <w:tcW w:w="6900" w:type="dxa"/>
            <w:vAlign w:val="bottom"/>
          </w:tcPr>
          <w:p>
            <w:pPr>
              <w:ind w:left="400"/>
              <w:spacing w:after="0"/>
              <w:rPr>
                <w:sz w:val="20"/>
                <w:szCs w:val="20"/>
                <w:color w:val="auto"/>
              </w:rPr>
            </w:pPr>
            <w:r>
              <w:rPr>
                <w:rFonts w:ascii="Verdana" w:cs="Verdana" w:eastAsia="Verdana" w:hAnsi="Verdana"/>
                <w:sz w:val="14"/>
                <w:szCs w:val="14"/>
                <w:color w:val="auto"/>
              </w:rPr>
              <w:t>Accounts receivable, prepaid expenses and other current assets</w:t>
            </w:r>
          </w:p>
        </w:tc>
        <w:tc>
          <w:tcPr>
            <w:tcW w:w="160" w:type="dxa"/>
            <w:vAlign w:val="bottom"/>
          </w:tcPr>
          <w:p>
            <w:pPr>
              <w:spacing w:after="0"/>
              <w:rPr>
                <w:sz w:val="19"/>
                <w:szCs w:val="19"/>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214E93"/>
              </w:rPr>
              <w:t>114,285</w:t>
            </w:r>
          </w:p>
        </w:tc>
        <w:tc>
          <w:tcPr>
            <w:tcW w:w="20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Verdana" w:cs="Verdana" w:eastAsia="Verdana" w:hAnsi="Verdana"/>
                <w:sz w:val="16"/>
                <w:szCs w:val="16"/>
                <w:color w:val="auto"/>
                <w:w w:val="98"/>
              </w:rPr>
              <w:t>(138,137)</w:t>
            </w:r>
          </w:p>
        </w:tc>
        <w:tc>
          <w:tcPr>
            <w:tcW w:w="1040" w:type="dxa"/>
            <w:vAlign w:val="bottom"/>
          </w:tcPr>
          <w:p>
            <w:pPr>
              <w:jc w:val="right"/>
              <w:ind w:right="21"/>
              <w:spacing w:after="0"/>
              <w:rPr>
                <w:sz w:val="20"/>
                <w:szCs w:val="20"/>
                <w:color w:val="auto"/>
              </w:rPr>
            </w:pPr>
            <w:r>
              <w:rPr>
                <w:rFonts w:ascii="Verdana" w:cs="Verdana" w:eastAsia="Verdana" w:hAnsi="Verdana"/>
                <w:sz w:val="16"/>
                <w:szCs w:val="16"/>
                <w:color w:val="auto"/>
              </w:rPr>
              <w:t>48,136</w:t>
            </w:r>
          </w:p>
        </w:tc>
        <w:tc>
          <w:tcPr>
            <w:tcW w:w="620" w:type="dxa"/>
            <w:vAlign w:val="bottom"/>
          </w:tcPr>
          <w:p>
            <w:pPr>
              <w:spacing w:after="0"/>
              <w:rPr>
                <w:sz w:val="19"/>
                <w:szCs w:val="19"/>
                <w:color w:val="auto"/>
              </w:rPr>
            </w:pPr>
          </w:p>
        </w:tc>
      </w:tr>
      <w:tr>
        <w:trPr>
          <w:trHeight w:val="221"/>
        </w:trPr>
        <w:tc>
          <w:tcPr>
            <w:tcW w:w="740" w:type="dxa"/>
            <w:vAlign w:val="bottom"/>
          </w:tcPr>
          <w:p>
            <w:pPr>
              <w:spacing w:after="0"/>
              <w:rPr>
                <w:sz w:val="19"/>
                <w:szCs w:val="19"/>
                <w:color w:val="auto"/>
              </w:rPr>
            </w:pPr>
          </w:p>
        </w:tc>
        <w:tc>
          <w:tcPr>
            <w:tcW w:w="6900" w:type="dxa"/>
            <w:vAlign w:val="bottom"/>
          </w:tcPr>
          <w:p>
            <w:pPr>
              <w:ind w:left="400"/>
              <w:spacing w:after="0"/>
              <w:rPr>
                <w:sz w:val="20"/>
                <w:szCs w:val="20"/>
                <w:color w:val="auto"/>
              </w:rPr>
            </w:pPr>
            <w:r>
              <w:rPr>
                <w:rFonts w:ascii="Verdana" w:cs="Verdana" w:eastAsia="Verdana" w:hAnsi="Verdana"/>
                <w:sz w:val="14"/>
                <w:szCs w:val="14"/>
                <w:color w:val="auto"/>
              </w:rPr>
              <w:t>Lease and well equipment inventory</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Verdana" w:cs="Verdana" w:eastAsia="Verdana" w:hAnsi="Verdana"/>
                <w:sz w:val="16"/>
                <w:szCs w:val="16"/>
                <w:color w:val="214E93"/>
              </w:rPr>
              <w:t>(35,313)</w:t>
            </w:r>
          </w:p>
        </w:tc>
        <w:tc>
          <w:tcPr>
            <w:tcW w:w="20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Verdana" w:cs="Verdana" w:eastAsia="Verdana" w:hAnsi="Verdana"/>
                <w:sz w:val="16"/>
                <w:szCs w:val="16"/>
                <w:color w:val="auto"/>
              </w:rPr>
              <w:t>(10,934)</w:t>
            </w:r>
          </w:p>
        </w:tc>
        <w:tc>
          <w:tcPr>
            <w:tcW w:w="1040" w:type="dxa"/>
            <w:vAlign w:val="bottom"/>
          </w:tcPr>
          <w:p>
            <w:pPr>
              <w:jc w:val="right"/>
              <w:spacing w:after="0"/>
              <w:rPr>
                <w:sz w:val="20"/>
                <w:szCs w:val="20"/>
                <w:color w:val="auto"/>
              </w:rPr>
            </w:pPr>
            <w:r>
              <w:rPr>
                <w:rFonts w:ascii="Verdana" w:cs="Verdana" w:eastAsia="Verdana" w:hAnsi="Verdana"/>
                <w:sz w:val="16"/>
                <w:szCs w:val="16"/>
                <w:color w:val="auto"/>
              </w:rPr>
              <w:t>(3,034)</w:t>
            </w:r>
          </w:p>
        </w:tc>
        <w:tc>
          <w:tcPr>
            <w:tcW w:w="620" w:type="dxa"/>
            <w:vAlign w:val="bottom"/>
          </w:tcPr>
          <w:p>
            <w:pPr>
              <w:spacing w:after="0"/>
              <w:rPr>
                <w:sz w:val="19"/>
                <w:szCs w:val="19"/>
                <w:color w:val="auto"/>
              </w:rPr>
            </w:pPr>
          </w:p>
        </w:tc>
      </w:tr>
      <w:tr>
        <w:trPr>
          <w:trHeight w:val="221"/>
        </w:trPr>
        <w:tc>
          <w:tcPr>
            <w:tcW w:w="740" w:type="dxa"/>
            <w:vAlign w:val="bottom"/>
          </w:tcPr>
          <w:p>
            <w:pPr>
              <w:spacing w:after="0"/>
              <w:rPr>
                <w:sz w:val="19"/>
                <w:szCs w:val="19"/>
                <w:color w:val="auto"/>
              </w:rPr>
            </w:pPr>
          </w:p>
        </w:tc>
        <w:tc>
          <w:tcPr>
            <w:tcW w:w="6900" w:type="dxa"/>
            <w:vAlign w:val="bottom"/>
          </w:tcPr>
          <w:p>
            <w:pPr>
              <w:ind w:left="400"/>
              <w:spacing w:after="0"/>
              <w:rPr>
                <w:sz w:val="20"/>
                <w:szCs w:val="20"/>
                <w:color w:val="auto"/>
              </w:rPr>
            </w:pPr>
            <w:r>
              <w:rPr>
                <w:rFonts w:ascii="Verdana" w:cs="Verdana" w:eastAsia="Verdana" w:hAnsi="Verdana"/>
                <w:sz w:val="14"/>
                <w:szCs w:val="14"/>
                <w:color w:val="auto"/>
              </w:rPr>
              <w:t>Other long-term assets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Verdana" w:cs="Verdana" w:eastAsia="Verdana" w:hAnsi="Verdana"/>
                <w:sz w:val="16"/>
                <w:szCs w:val="16"/>
                <w:color w:val="214E93"/>
              </w:rPr>
              <w:t>(10)</w:t>
            </w:r>
          </w:p>
        </w:tc>
        <w:tc>
          <w:tcPr>
            <w:tcW w:w="200" w:type="dxa"/>
            <w:vAlign w:val="bottom"/>
          </w:tcPr>
          <w:p>
            <w:pPr>
              <w:spacing w:after="0"/>
              <w:rPr>
                <w:sz w:val="19"/>
                <w:szCs w:val="19"/>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auto"/>
              </w:rPr>
              <w:t>4,052</w:t>
            </w:r>
          </w:p>
        </w:tc>
        <w:tc>
          <w:tcPr>
            <w:tcW w:w="1040" w:type="dxa"/>
            <w:vAlign w:val="bottom"/>
          </w:tcPr>
          <w:p>
            <w:pPr>
              <w:jc w:val="right"/>
              <w:ind w:right="21"/>
              <w:spacing w:after="0"/>
              <w:rPr>
                <w:sz w:val="20"/>
                <w:szCs w:val="20"/>
                <w:color w:val="auto"/>
              </w:rPr>
            </w:pPr>
            <w:r>
              <w:rPr>
                <w:rFonts w:ascii="Verdana" w:cs="Verdana" w:eastAsia="Verdana" w:hAnsi="Verdana"/>
                <w:sz w:val="16"/>
                <w:szCs w:val="16"/>
                <w:color w:val="auto"/>
              </w:rPr>
              <w:t>646</w:t>
            </w:r>
          </w:p>
        </w:tc>
        <w:tc>
          <w:tcPr>
            <w:tcW w:w="620" w:type="dxa"/>
            <w:vAlign w:val="bottom"/>
          </w:tcPr>
          <w:p>
            <w:pPr>
              <w:spacing w:after="0"/>
              <w:rPr>
                <w:sz w:val="19"/>
                <w:szCs w:val="19"/>
                <w:color w:val="auto"/>
              </w:rPr>
            </w:pPr>
          </w:p>
        </w:tc>
      </w:tr>
      <w:tr>
        <w:trPr>
          <w:trHeight w:val="221"/>
        </w:trPr>
        <w:tc>
          <w:tcPr>
            <w:tcW w:w="740" w:type="dxa"/>
            <w:vAlign w:val="bottom"/>
          </w:tcPr>
          <w:p>
            <w:pPr>
              <w:spacing w:after="0"/>
              <w:rPr>
                <w:sz w:val="19"/>
                <w:szCs w:val="19"/>
                <w:color w:val="auto"/>
              </w:rPr>
            </w:pPr>
          </w:p>
        </w:tc>
        <w:tc>
          <w:tcPr>
            <w:tcW w:w="6900" w:type="dxa"/>
            <w:vAlign w:val="bottom"/>
          </w:tcPr>
          <w:p>
            <w:pPr>
              <w:ind w:left="400"/>
              <w:spacing w:after="0"/>
              <w:rPr>
                <w:sz w:val="20"/>
                <w:szCs w:val="20"/>
                <w:color w:val="auto"/>
              </w:rPr>
            </w:pPr>
            <w:r>
              <w:rPr>
                <w:rFonts w:ascii="Verdana" w:cs="Verdana" w:eastAsia="Verdana" w:hAnsi="Verdana"/>
                <w:sz w:val="14"/>
                <w:szCs w:val="14"/>
                <w:color w:val="auto"/>
              </w:rPr>
              <w:t>Accounts payable, accrued liabilities and other current liabilities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Verdana" w:cs="Verdana" w:eastAsia="Verdana" w:hAnsi="Verdana"/>
                <w:sz w:val="16"/>
                <w:szCs w:val="16"/>
                <w:color w:val="214E93"/>
              </w:rPr>
              <w:t>(8,930)</w:t>
            </w:r>
          </w:p>
        </w:tc>
        <w:tc>
          <w:tcPr>
            <w:tcW w:w="200" w:type="dxa"/>
            <w:vAlign w:val="bottom"/>
          </w:tcPr>
          <w:p>
            <w:pPr>
              <w:spacing w:after="0"/>
              <w:rPr>
                <w:sz w:val="19"/>
                <w:szCs w:val="19"/>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auto"/>
              </w:rPr>
              <w:t>33,748</w:t>
            </w:r>
          </w:p>
        </w:tc>
        <w:tc>
          <w:tcPr>
            <w:tcW w:w="1040" w:type="dxa"/>
            <w:vAlign w:val="bottom"/>
          </w:tcPr>
          <w:p>
            <w:pPr>
              <w:jc w:val="right"/>
              <w:ind w:right="21"/>
              <w:spacing w:after="0"/>
              <w:rPr>
                <w:sz w:val="20"/>
                <w:szCs w:val="20"/>
                <w:color w:val="auto"/>
              </w:rPr>
            </w:pPr>
            <w:r>
              <w:rPr>
                <w:rFonts w:ascii="Verdana" w:cs="Verdana" w:eastAsia="Verdana" w:hAnsi="Verdana"/>
                <w:sz w:val="16"/>
                <w:szCs w:val="16"/>
                <w:color w:val="auto"/>
              </w:rPr>
              <w:t>2,810</w:t>
            </w:r>
          </w:p>
        </w:tc>
        <w:tc>
          <w:tcPr>
            <w:tcW w:w="620" w:type="dxa"/>
            <w:vAlign w:val="bottom"/>
          </w:tcPr>
          <w:p>
            <w:pPr>
              <w:spacing w:after="0"/>
              <w:rPr>
                <w:sz w:val="19"/>
                <w:szCs w:val="19"/>
                <w:color w:val="auto"/>
              </w:rPr>
            </w:pPr>
          </w:p>
        </w:tc>
      </w:tr>
      <w:tr>
        <w:trPr>
          <w:trHeight w:val="221"/>
        </w:trPr>
        <w:tc>
          <w:tcPr>
            <w:tcW w:w="740" w:type="dxa"/>
            <w:vAlign w:val="bottom"/>
          </w:tcPr>
          <w:p>
            <w:pPr>
              <w:spacing w:after="0"/>
              <w:rPr>
                <w:sz w:val="19"/>
                <w:szCs w:val="19"/>
                <w:color w:val="auto"/>
              </w:rPr>
            </w:pPr>
          </w:p>
        </w:tc>
        <w:tc>
          <w:tcPr>
            <w:tcW w:w="6900" w:type="dxa"/>
            <w:vAlign w:val="bottom"/>
          </w:tcPr>
          <w:p>
            <w:pPr>
              <w:ind w:left="400"/>
              <w:spacing w:after="0"/>
              <w:rPr>
                <w:sz w:val="20"/>
                <w:szCs w:val="20"/>
                <w:color w:val="auto"/>
              </w:rPr>
            </w:pPr>
            <w:r>
              <w:rPr>
                <w:rFonts w:ascii="Verdana" w:cs="Verdana" w:eastAsia="Verdana" w:hAnsi="Verdana"/>
                <w:sz w:val="14"/>
                <w:szCs w:val="14"/>
                <w:color w:val="auto"/>
              </w:rPr>
              <w:t>Royalties payable</w:t>
            </w:r>
          </w:p>
        </w:tc>
        <w:tc>
          <w:tcPr>
            <w:tcW w:w="160" w:type="dxa"/>
            <w:vAlign w:val="bottom"/>
          </w:tcPr>
          <w:p>
            <w:pPr>
              <w:spacing w:after="0"/>
              <w:rPr>
                <w:sz w:val="19"/>
                <w:szCs w:val="19"/>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214E93"/>
              </w:rPr>
              <w:t>123,196</w:t>
            </w:r>
          </w:p>
        </w:tc>
        <w:tc>
          <w:tcPr>
            <w:tcW w:w="200" w:type="dxa"/>
            <w:vAlign w:val="bottom"/>
          </w:tcPr>
          <w:p>
            <w:pPr>
              <w:spacing w:after="0"/>
              <w:rPr>
                <w:sz w:val="19"/>
                <w:szCs w:val="19"/>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auto"/>
              </w:rPr>
              <w:t>56,193</w:t>
            </w:r>
          </w:p>
        </w:tc>
        <w:tc>
          <w:tcPr>
            <w:tcW w:w="1040" w:type="dxa"/>
            <w:vAlign w:val="bottom"/>
          </w:tcPr>
          <w:p>
            <w:pPr>
              <w:jc w:val="right"/>
              <w:ind w:right="21"/>
              <w:spacing w:after="0"/>
              <w:rPr>
                <w:sz w:val="20"/>
                <w:szCs w:val="20"/>
                <w:color w:val="auto"/>
              </w:rPr>
            </w:pPr>
            <w:r>
              <w:rPr>
                <w:rFonts w:ascii="Verdana" w:cs="Verdana" w:eastAsia="Verdana" w:hAnsi="Verdana"/>
                <w:sz w:val="16"/>
                <w:szCs w:val="16"/>
                <w:color w:val="auto"/>
              </w:rPr>
              <w:t>34,273</w:t>
            </w:r>
          </w:p>
        </w:tc>
        <w:tc>
          <w:tcPr>
            <w:tcW w:w="620" w:type="dxa"/>
            <w:vAlign w:val="bottom"/>
          </w:tcPr>
          <w:p>
            <w:pPr>
              <w:spacing w:after="0"/>
              <w:rPr>
                <w:sz w:val="19"/>
                <w:szCs w:val="19"/>
                <w:color w:val="auto"/>
              </w:rPr>
            </w:pPr>
          </w:p>
        </w:tc>
      </w:tr>
      <w:tr>
        <w:trPr>
          <w:trHeight w:val="221"/>
        </w:trPr>
        <w:tc>
          <w:tcPr>
            <w:tcW w:w="740" w:type="dxa"/>
            <w:vAlign w:val="bottom"/>
          </w:tcPr>
          <w:p>
            <w:pPr>
              <w:spacing w:after="0"/>
              <w:rPr>
                <w:sz w:val="19"/>
                <w:szCs w:val="19"/>
                <w:color w:val="auto"/>
              </w:rPr>
            </w:pPr>
          </w:p>
        </w:tc>
        <w:tc>
          <w:tcPr>
            <w:tcW w:w="6900" w:type="dxa"/>
            <w:vAlign w:val="bottom"/>
          </w:tcPr>
          <w:p>
            <w:pPr>
              <w:ind w:left="400"/>
              <w:spacing w:after="0"/>
              <w:rPr>
                <w:sz w:val="20"/>
                <w:szCs w:val="20"/>
                <w:color w:val="auto"/>
              </w:rPr>
            </w:pPr>
            <w:r>
              <w:rPr>
                <w:rFonts w:ascii="Verdana" w:cs="Verdana" w:eastAsia="Verdana" w:hAnsi="Verdana"/>
                <w:sz w:val="14"/>
                <w:szCs w:val="14"/>
                <w:color w:val="auto"/>
              </w:rPr>
              <w:t>Advances from joint interest owners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Verdana" w:cs="Verdana" w:eastAsia="Verdana" w:hAnsi="Verdana"/>
                <w:sz w:val="16"/>
                <w:szCs w:val="16"/>
                <w:color w:val="214E93"/>
              </w:rPr>
              <w:t>(19,170)</w:t>
            </w:r>
          </w:p>
        </w:tc>
        <w:tc>
          <w:tcPr>
            <w:tcW w:w="200" w:type="dxa"/>
            <w:vAlign w:val="bottom"/>
          </w:tcPr>
          <w:p>
            <w:pPr>
              <w:spacing w:after="0"/>
              <w:rPr>
                <w:sz w:val="19"/>
                <w:szCs w:val="19"/>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auto"/>
              </w:rPr>
              <w:t>63,384</w:t>
            </w:r>
          </w:p>
        </w:tc>
        <w:tc>
          <w:tcPr>
            <w:tcW w:w="1040" w:type="dxa"/>
            <w:vAlign w:val="bottom"/>
          </w:tcPr>
          <w:p>
            <w:pPr>
              <w:jc w:val="right"/>
              <w:spacing w:after="0"/>
              <w:rPr>
                <w:sz w:val="20"/>
                <w:szCs w:val="20"/>
                <w:color w:val="auto"/>
              </w:rPr>
            </w:pPr>
            <w:r>
              <w:rPr>
                <w:rFonts w:ascii="Verdana" w:cs="Verdana" w:eastAsia="Verdana" w:hAnsi="Verdana"/>
                <w:sz w:val="16"/>
                <w:szCs w:val="16"/>
                <w:color w:val="auto"/>
              </w:rPr>
              <w:t>(32,402)</w:t>
            </w:r>
          </w:p>
        </w:tc>
        <w:tc>
          <w:tcPr>
            <w:tcW w:w="620" w:type="dxa"/>
            <w:vAlign w:val="bottom"/>
          </w:tcPr>
          <w:p>
            <w:pPr>
              <w:spacing w:after="0"/>
              <w:rPr>
                <w:sz w:val="19"/>
                <w:szCs w:val="19"/>
                <w:color w:val="auto"/>
              </w:rPr>
            </w:pPr>
          </w:p>
        </w:tc>
      </w:tr>
      <w:tr>
        <w:trPr>
          <w:trHeight w:val="227"/>
        </w:trPr>
        <w:tc>
          <w:tcPr>
            <w:tcW w:w="740" w:type="dxa"/>
            <w:vAlign w:val="bottom"/>
          </w:tcPr>
          <w:p>
            <w:pPr>
              <w:spacing w:after="0"/>
              <w:rPr>
                <w:sz w:val="19"/>
                <w:szCs w:val="19"/>
                <w:color w:val="auto"/>
              </w:rPr>
            </w:pPr>
          </w:p>
        </w:tc>
        <w:tc>
          <w:tcPr>
            <w:tcW w:w="6900" w:type="dxa"/>
            <w:vAlign w:val="bottom"/>
            <w:tcBorders>
              <w:bottom w:val="single" w:sz="8" w:color="auto"/>
            </w:tcBorders>
          </w:tcPr>
          <w:p>
            <w:pPr>
              <w:ind w:left="400"/>
              <w:spacing w:after="0"/>
              <w:rPr>
                <w:sz w:val="20"/>
                <w:szCs w:val="20"/>
                <w:color w:val="auto"/>
              </w:rPr>
            </w:pPr>
            <w:r>
              <w:rPr>
                <w:rFonts w:ascii="Verdana" w:cs="Verdana" w:eastAsia="Verdana" w:hAnsi="Verdana"/>
                <w:sz w:val="14"/>
                <w:szCs w:val="14"/>
                <w:color w:val="auto"/>
              </w:rPr>
              <w:t>Other long-term liabilities</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62"/>
              <w:spacing w:after="0"/>
              <w:rPr>
                <w:sz w:val="20"/>
                <w:szCs w:val="20"/>
                <w:color w:val="auto"/>
              </w:rPr>
            </w:pPr>
            <w:r>
              <w:rPr>
                <w:rFonts w:ascii="Verdana" w:cs="Verdana" w:eastAsia="Verdana" w:hAnsi="Verdana"/>
                <w:sz w:val="16"/>
                <w:szCs w:val="16"/>
                <w:color w:val="214E93"/>
              </w:rPr>
              <w:t>2,131</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62"/>
              <w:spacing w:after="0"/>
              <w:rPr>
                <w:sz w:val="20"/>
                <w:szCs w:val="20"/>
                <w:color w:val="auto"/>
              </w:rPr>
            </w:pPr>
            <w:r>
              <w:rPr>
                <w:rFonts w:ascii="Verdana" w:cs="Verdana" w:eastAsia="Verdana" w:hAnsi="Verdana"/>
                <w:sz w:val="16"/>
                <w:szCs w:val="16"/>
                <w:color w:val="auto"/>
              </w:rPr>
              <w:t>4,774</w:t>
            </w:r>
          </w:p>
        </w:tc>
        <w:tc>
          <w:tcPr>
            <w:tcW w:w="10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(402)</w:t>
            </w:r>
          </w:p>
        </w:tc>
        <w:tc>
          <w:tcPr>
            <w:tcW w:w="620" w:type="dxa"/>
            <w:vAlign w:val="bottom"/>
          </w:tcPr>
          <w:p>
            <w:pPr>
              <w:spacing w:after="0"/>
              <w:rPr>
                <w:sz w:val="19"/>
                <w:szCs w:val="19"/>
                <w:color w:val="auto"/>
              </w:rPr>
            </w:pPr>
          </w:p>
        </w:tc>
      </w:tr>
      <w:tr>
        <w:trPr>
          <w:trHeight w:val="207"/>
        </w:trPr>
        <w:tc>
          <w:tcPr>
            <w:tcW w:w="740" w:type="dxa"/>
            <w:vAlign w:val="bottom"/>
          </w:tcPr>
          <w:p>
            <w:pPr>
              <w:spacing w:after="0"/>
              <w:rPr>
                <w:sz w:val="17"/>
                <w:szCs w:val="17"/>
                <w:color w:val="auto"/>
              </w:rPr>
            </w:pPr>
          </w:p>
        </w:tc>
        <w:tc>
          <w:tcPr>
            <w:tcW w:w="6900" w:type="dxa"/>
            <w:vAlign w:val="bottom"/>
          </w:tcPr>
          <w:p>
            <w:pPr>
              <w:ind w:left="520"/>
              <w:spacing w:after="0"/>
              <w:rPr>
                <w:sz w:val="20"/>
                <w:szCs w:val="20"/>
                <w:color w:val="auto"/>
              </w:rPr>
            </w:pPr>
            <w:r>
              <w:rPr>
                <w:rFonts w:ascii="Verdana" w:cs="Verdana" w:eastAsia="Verdana" w:hAnsi="Verdana"/>
                <w:sz w:val="14"/>
                <w:szCs w:val="14"/>
                <w:color w:val="auto"/>
              </w:rPr>
              <w:t>Net cash provided by operating activities</w:t>
            </w:r>
          </w:p>
        </w:tc>
        <w:tc>
          <w:tcPr>
            <w:tcW w:w="1060" w:type="dxa"/>
            <w:vAlign w:val="bottom"/>
            <w:gridSpan w:val="2"/>
          </w:tcPr>
          <w:p>
            <w:pPr>
              <w:jc w:val="right"/>
              <w:ind w:right="62"/>
              <w:spacing w:after="0"/>
              <w:rPr>
                <w:sz w:val="20"/>
                <w:szCs w:val="20"/>
                <w:color w:val="auto"/>
              </w:rPr>
            </w:pPr>
            <w:r>
              <w:rPr>
                <w:rFonts w:ascii="Verdana" w:cs="Verdana" w:eastAsia="Verdana" w:hAnsi="Verdana"/>
                <w:sz w:val="16"/>
                <w:szCs w:val="16"/>
                <w:color w:val="214E93"/>
              </w:rPr>
              <w:t>2,425,015</w:t>
            </w:r>
          </w:p>
        </w:tc>
        <w:tc>
          <w:tcPr>
            <w:tcW w:w="1100" w:type="dxa"/>
            <w:vAlign w:val="bottom"/>
            <w:gridSpan w:val="2"/>
          </w:tcPr>
          <w:p>
            <w:pPr>
              <w:jc w:val="right"/>
              <w:ind w:right="62"/>
              <w:spacing w:after="0"/>
              <w:rPr>
                <w:sz w:val="20"/>
                <w:szCs w:val="20"/>
                <w:color w:val="auto"/>
              </w:rPr>
            </w:pPr>
            <w:r>
              <w:rPr>
                <w:rFonts w:ascii="Verdana" w:cs="Verdana" w:eastAsia="Verdana" w:hAnsi="Verdana"/>
                <w:sz w:val="16"/>
                <w:szCs w:val="16"/>
                <w:color w:val="auto"/>
              </w:rPr>
              <w:t>2,246,885</w:t>
            </w:r>
          </w:p>
        </w:tc>
        <w:tc>
          <w:tcPr>
            <w:tcW w:w="1040" w:type="dxa"/>
            <w:vAlign w:val="bottom"/>
          </w:tcPr>
          <w:p>
            <w:pPr>
              <w:jc w:val="right"/>
              <w:ind w:right="21"/>
              <w:spacing w:after="0"/>
              <w:rPr>
                <w:sz w:val="20"/>
                <w:szCs w:val="20"/>
                <w:color w:val="auto"/>
              </w:rPr>
            </w:pPr>
            <w:r>
              <w:rPr>
                <w:rFonts w:ascii="Verdana" w:cs="Verdana" w:eastAsia="Verdana" w:hAnsi="Verdana"/>
                <w:sz w:val="16"/>
                <w:szCs w:val="16"/>
                <w:color w:val="auto"/>
              </w:rPr>
              <w:t>1,867,828</w:t>
            </w:r>
          </w:p>
        </w:tc>
        <w:tc>
          <w:tcPr>
            <w:tcW w:w="620" w:type="dxa"/>
            <w:vAlign w:val="bottom"/>
          </w:tcPr>
          <w:p>
            <w:pPr>
              <w:spacing w:after="0"/>
              <w:rPr>
                <w:sz w:val="17"/>
                <w:szCs w:val="17"/>
                <w:color w:val="auto"/>
              </w:rPr>
            </w:pPr>
          </w:p>
        </w:tc>
      </w:tr>
      <w:tr>
        <w:trPr>
          <w:trHeight w:val="202"/>
        </w:trPr>
        <w:tc>
          <w:tcPr>
            <w:tcW w:w="740" w:type="dxa"/>
            <w:vAlign w:val="bottom"/>
          </w:tcPr>
          <w:p>
            <w:pPr>
              <w:spacing w:after="0"/>
              <w:rPr>
                <w:sz w:val="17"/>
                <w:szCs w:val="17"/>
                <w:color w:val="auto"/>
              </w:rPr>
            </w:pPr>
          </w:p>
        </w:tc>
        <w:tc>
          <w:tcPr>
            <w:tcW w:w="6900" w:type="dxa"/>
            <w:vAlign w:val="bottom"/>
          </w:tcPr>
          <w:p>
            <w:pPr>
              <w:ind w:left="40"/>
              <w:spacing w:after="0"/>
              <w:rPr>
                <w:sz w:val="20"/>
                <w:szCs w:val="20"/>
                <w:color w:val="auto"/>
              </w:rPr>
            </w:pPr>
            <w:r>
              <w:rPr>
                <w:rFonts w:ascii="Verdana" w:cs="Verdana" w:eastAsia="Verdana" w:hAnsi="Verdana"/>
                <w:sz w:val="14"/>
                <w:szCs w:val="14"/>
                <w:color w:val="auto"/>
              </w:rPr>
              <w:t>Investing activities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45"/>
        </w:trPr>
        <w:tc>
          <w:tcPr>
            <w:tcW w:w="740" w:type="dxa"/>
            <w:vAlign w:val="bottom"/>
          </w:tcPr>
          <w:p>
            <w:pPr>
              <w:spacing w:after="0"/>
              <w:rPr>
                <w:sz w:val="21"/>
                <w:szCs w:val="21"/>
                <w:color w:val="auto"/>
              </w:rPr>
            </w:pPr>
          </w:p>
        </w:tc>
        <w:tc>
          <w:tcPr>
            <w:tcW w:w="6900" w:type="dxa"/>
            <w:vAlign w:val="bottom"/>
          </w:tcPr>
          <w:p>
            <w:pPr>
              <w:ind w:left="160"/>
              <w:spacing w:after="0"/>
              <w:rPr>
                <w:sz w:val="20"/>
                <w:szCs w:val="20"/>
                <w:color w:val="auto"/>
              </w:rPr>
            </w:pPr>
            <w:r>
              <w:rPr>
                <w:rFonts w:ascii="Verdana" w:cs="Verdana" w:eastAsia="Verdana" w:hAnsi="Verdana"/>
                <w:sz w:val="14"/>
                <w:szCs w:val="14"/>
                <w:color w:val="auto"/>
              </w:rPr>
              <w:t>Drilling, completion and equipping capital expenditures</w:t>
            </w:r>
          </w:p>
        </w:tc>
        <w:tc>
          <w:tcPr>
            <w:tcW w:w="1060" w:type="dxa"/>
            <w:vAlign w:val="bottom"/>
            <w:gridSpan w:val="2"/>
          </w:tcPr>
          <w:p>
            <w:pPr>
              <w:jc w:val="right"/>
              <w:spacing w:after="0"/>
              <w:rPr>
                <w:sz w:val="20"/>
                <w:szCs w:val="20"/>
                <w:color w:val="auto"/>
              </w:rPr>
            </w:pPr>
            <w:r>
              <w:rPr>
                <w:rFonts w:ascii="Verdana" w:cs="Verdana" w:eastAsia="Verdana" w:hAnsi="Verdana"/>
                <w:sz w:val="16"/>
                <w:szCs w:val="16"/>
                <w:color w:val="214E93"/>
              </w:rPr>
              <w:t>(1,542,253)</w:t>
            </w:r>
          </w:p>
        </w:tc>
        <w:tc>
          <w:tcPr>
            <w:tcW w:w="1100" w:type="dxa"/>
            <w:vAlign w:val="bottom"/>
            <w:gridSpan w:val="2"/>
          </w:tcPr>
          <w:p>
            <w:pPr>
              <w:jc w:val="right"/>
              <w:spacing w:after="0"/>
              <w:rPr>
                <w:sz w:val="20"/>
                <w:szCs w:val="20"/>
                <w:color w:val="auto"/>
              </w:rPr>
            </w:pPr>
            <w:r>
              <w:rPr>
                <w:rFonts w:ascii="Verdana" w:cs="Verdana" w:eastAsia="Verdana" w:hAnsi="Verdana"/>
                <w:sz w:val="16"/>
                <w:szCs w:val="16"/>
                <w:color w:val="auto"/>
              </w:rPr>
              <w:t>(1,222,831)</w:t>
            </w:r>
          </w:p>
        </w:tc>
        <w:tc>
          <w:tcPr>
            <w:tcW w:w="1040" w:type="dxa"/>
            <w:vAlign w:val="bottom"/>
          </w:tcPr>
          <w:p>
            <w:pPr>
              <w:jc w:val="right"/>
              <w:spacing w:after="0"/>
              <w:rPr>
                <w:sz w:val="20"/>
                <w:szCs w:val="20"/>
                <w:color w:val="auto"/>
              </w:rPr>
            </w:pPr>
            <w:r>
              <w:rPr>
                <w:rFonts w:ascii="Verdana" w:cs="Verdana" w:eastAsia="Verdana" w:hAnsi="Verdana"/>
                <w:sz w:val="16"/>
                <w:szCs w:val="16"/>
                <w:color w:val="auto"/>
              </w:rPr>
              <w:t>(1,192,800)</w:t>
            </w:r>
          </w:p>
        </w:tc>
        <w:tc>
          <w:tcPr>
            <w:tcW w:w="620" w:type="dxa"/>
            <w:vAlign w:val="bottom"/>
          </w:tcPr>
          <w:p>
            <w:pPr>
              <w:spacing w:after="0"/>
              <w:rPr>
                <w:sz w:val="21"/>
                <w:szCs w:val="21"/>
                <w:color w:val="auto"/>
              </w:rPr>
            </w:pPr>
          </w:p>
        </w:tc>
      </w:tr>
      <w:tr>
        <w:trPr>
          <w:trHeight w:val="236"/>
        </w:trPr>
        <w:tc>
          <w:tcPr>
            <w:tcW w:w="740" w:type="dxa"/>
            <w:vAlign w:val="bottom"/>
          </w:tcPr>
          <w:p>
            <w:pPr>
              <w:spacing w:after="0"/>
              <w:rPr>
                <w:sz w:val="20"/>
                <w:szCs w:val="20"/>
                <w:color w:val="auto"/>
              </w:rPr>
            </w:pPr>
          </w:p>
        </w:tc>
        <w:tc>
          <w:tcPr>
            <w:tcW w:w="6900" w:type="dxa"/>
            <w:vAlign w:val="bottom"/>
          </w:tcPr>
          <w:p>
            <w:pPr>
              <w:ind w:left="160"/>
              <w:spacing w:after="0"/>
              <w:rPr>
                <w:sz w:val="20"/>
                <w:szCs w:val="20"/>
                <w:color w:val="auto"/>
              </w:rPr>
            </w:pPr>
            <w:r>
              <w:rPr>
                <w:rFonts w:ascii="Verdana" w:cs="Verdana" w:eastAsia="Verdana" w:hAnsi="Verdana"/>
                <w:sz w:val="14"/>
                <w:szCs w:val="14"/>
                <w:color w:val="auto"/>
              </w:rPr>
              <w:t>Acquisition of oil and natural gas properties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Verdana" w:cs="Verdana" w:eastAsia="Verdana" w:hAnsi="Verdana"/>
                <w:sz w:val="16"/>
                <w:szCs w:val="16"/>
                <w:color w:val="214E93"/>
              </w:rPr>
              <w:t>(339,126)</w:t>
            </w:r>
          </w:p>
        </w:tc>
        <w:tc>
          <w:tcPr>
            <w:tcW w:w="20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Verdana" w:cs="Verdana" w:eastAsia="Verdana" w:hAnsi="Verdana"/>
                <w:sz w:val="16"/>
                <w:szCs w:val="16"/>
                <w:color w:val="auto"/>
                <w:w w:val="98"/>
              </w:rPr>
              <w:t>(454,443)</w:t>
            </w:r>
          </w:p>
        </w:tc>
        <w:tc>
          <w:tcPr>
            <w:tcW w:w="1040" w:type="dxa"/>
            <w:vAlign w:val="bottom"/>
          </w:tcPr>
          <w:p>
            <w:pPr>
              <w:jc w:val="right"/>
              <w:spacing w:after="0"/>
              <w:rPr>
                <w:sz w:val="20"/>
                <w:szCs w:val="20"/>
                <w:color w:val="auto"/>
              </w:rPr>
            </w:pPr>
            <w:r>
              <w:rPr>
                <w:rFonts w:ascii="Verdana" w:cs="Verdana" w:eastAsia="Verdana" w:hAnsi="Verdana"/>
                <w:sz w:val="16"/>
                <w:szCs w:val="16"/>
                <w:color w:val="auto"/>
              </w:rPr>
              <w:t>(187,655)</w:t>
            </w:r>
          </w:p>
        </w:tc>
        <w:tc>
          <w:tcPr>
            <w:tcW w:w="620" w:type="dxa"/>
            <w:vAlign w:val="bottom"/>
          </w:tcPr>
          <w:p>
            <w:pPr>
              <w:spacing w:after="0"/>
              <w:rPr>
                <w:sz w:val="20"/>
                <w:szCs w:val="20"/>
                <w:color w:val="auto"/>
              </w:rPr>
            </w:pPr>
          </w:p>
        </w:tc>
      </w:tr>
      <w:tr>
        <w:trPr>
          <w:trHeight w:val="236"/>
        </w:trPr>
        <w:tc>
          <w:tcPr>
            <w:tcW w:w="740" w:type="dxa"/>
            <w:vAlign w:val="bottom"/>
          </w:tcPr>
          <w:p>
            <w:pPr>
              <w:spacing w:after="0"/>
              <w:rPr>
                <w:sz w:val="20"/>
                <w:szCs w:val="20"/>
                <w:color w:val="auto"/>
              </w:rPr>
            </w:pPr>
          </w:p>
        </w:tc>
        <w:tc>
          <w:tcPr>
            <w:tcW w:w="6900" w:type="dxa"/>
            <w:vAlign w:val="bottom"/>
          </w:tcPr>
          <w:p>
            <w:pPr>
              <w:ind w:left="160"/>
              <w:spacing w:after="0"/>
              <w:rPr>
                <w:sz w:val="20"/>
                <w:szCs w:val="20"/>
                <w:color w:val="auto"/>
              </w:rPr>
            </w:pPr>
            <w:r>
              <w:rPr>
                <w:rFonts w:ascii="Verdana" w:cs="Verdana" w:eastAsia="Verdana" w:hAnsi="Verdana"/>
                <w:sz w:val="14"/>
                <w:szCs w:val="14"/>
                <w:color w:val="auto"/>
              </w:rPr>
              <w:t>Midstream capital expenditures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Verdana" w:cs="Verdana" w:eastAsia="Verdana" w:hAnsi="Verdana"/>
                <w:sz w:val="16"/>
                <w:szCs w:val="16"/>
                <w:color w:val="214E93"/>
              </w:rPr>
              <w:t>(297,746)</w:t>
            </w:r>
          </w:p>
        </w:tc>
        <w:tc>
          <w:tcPr>
            <w:tcW w:w="20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Verdana" w:cs="Verdana" w:eastAsia="Verdana" w:hAnsi="Verdana"/>
                <w:sz w:val="16"/>
                <w:szCs w:val="16"/>
                <w:color w:val="auto"/>
                <w:w w:val="98"/>
              </w:rPr>
              <w:t>(283,881)</w:t>
            </w:r>
          </w:p>
        </w:tc>
        <w:tc>
          <w:tcPr>
            <w:tcW w:w="1040" w:type="dxa"/>
            <w:vAlign w:val="bottom"/>
          </w:tcPr>
          <w:p>
            <w:pPr>
              <w:jc w:val="right"/>
              <w:spacing w:after="0"/>
              <w:rPr>
                <w:sz w:val="20"/>
                <w:szCs w:val="20"/>
                <w:color w:val="auto"/>
              </w:rPr>
            </w:pPr>
            <w:r>
              <w:rPr>
                <w:rFonts w:ascii="Verdana" w:cs="Verdana" w:eastAsia="Verdana" w:hAnsi="Verdana"/>
                <w:sz w:val="16"/>
                <w:szCs w:val="16"/>
                <w:color w:val="auto"/>
              </w:rPr>
              <w:t>(165,719)</w:t>
            </w:r>
          </w:p>
        </w:tc>
        <w:tc>
          <w:tcPr>
            <w:tcW w:w="620" w:type="dxa"/>
            <w:vAlign w:val="bottom"/>
          </w:tcPr>
          <w:p>
            <w:pPr>
              <w:spacing w:after="0"/>
              <w:rPr>
                <w:sz w:val="20"/>
                <w:szCs w:val="20"/>
                <w:color w:val="auto"/>
              </w:rPr>
            </w:pPr>
          </w:p>
        </w:tc>
      </w:tr>
      <w:tr>
        <w:trPr>
          <w:trHeight w:val="236"/>
        </w:trPr>
        <w:tc>
          <w:tcPr>
            <w:tcW w:w="740" w:type="dxa"/>
            <w:vAlign w:val="bottom"/>
          </w:tcPr>
          <w:p>
            <w:pPr>
              <w:spacing w:after="0"/>
              <w:rPr>
                <w:sz w:val="20"/>
                <w:szCs w:val="20"/>
                <w:color w:val="auto"/>
              </w:rPr>
            </w:pPr>
          </w:p>
        </w:tc>
        <w:tc>
          <w:tcPr>
            <w:tcW w:w="6900" w:type="dxa"/>
            <w:vAlign w:val="bottom"/>
          </w:tcPr>
          <w:p>
            <w:pPr>
              <w:ind w:left="160"/>
              <w:spacing w:after="0"/>
              <w:rPr>
                <w:sz w:val="20"/>
                <w:szCs w:val="20"/>
                <w:color w:val="auto"/>
              </w:rPr>
            </w:pPr>
            <w:r>
              <w:rPr>
                <w:rFonts w:ascii="Verdana" w:cs="Verdana" w:eastAsia="Verdana" w:hAnsi="Verdana"/>
                <w:sz w:val="14"/>
                <w:szCs w:val="14"/>
                <w:color w:val="auto"/>
              </w:rPr>
              <w:t>Expenditures for other property and equipment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Verdana" w:cs="Verdana" w:eastAsia="Verdana" w:hAnsi="Verdana"/>
                <w:sz w:val="16"/>
                <w:szCs w:val="16"/>
                <w:color w:val="214E93"/>
              </w:rPr>
              <w:t>(4,246)</w:t>
            </w:r>
          </w:p>
        </w:tc>
        <w:tc>
          <w:tcPr>
            <w:tcW w:w="20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Verdana" w:cs="Verdana" w:eastAsia="Verdana" w:hAnsi="Verdana"/>
                <w:sz w:val="16"/>
                <w:szCs w:val="16"/>
                <w:color w:val="auto"/>
              </w:rPr>
              <w:t>(5,691)</w:t>
            </w:r>
          </w:p>
        </w:tc>
        <w:tc>
          <w:tcPr>
            <w:tcW w:w="1040" w:type="dxa"/>
            <w:vAlign w:val="bottom"/>
          </w:tcPr>
          <w:p>
            <w:pPr>
              <w:jc w:val="right"/>
              <w:spacing w:after="0"/>
              <w:rPr>
                <w:sz w:val="20"/>
                <w:szCs w:val="20"/>
                <w:color w:val="auto"/>
              </w:rPr>
            </w:pPr>
            <w:r>
              <w:rPr>
                <w:rFonts w:ascii="Verdana" w:cs="Verdana" w:eastAsia="Verdana" w:hAnsi="Verdana"/>
                <w:sz w:val="16"/>
                <w:szCs w:val="16"/>
                <w:color w:val="auto"/>
              </w:rPr>
              <w:t>(3,636)</w:t>
            </w:r>
          </w:p>
        </w:tc>
        <w:tc>
          <w:tcPr>
            <w:tcW w:w="620" w:type="dxa"/>
            <w:vAlign w:val="bottom"/>
          </w:tcPr>
          <w:p>
            <w:pPr>
              <w:spacing w:after="0"/>
              <w:rPr>
                <w:sz w:val="20"/>
                <w:szCs w:val="20"/>
                <w:color w:val="auto"/>
              </w:rPr>
            </w:pPr>
          </w:p>
        </w:tc>
      </w:tr>
      <w:tr>
        <w:trPr>
          <w:trHeight w:val="221"/>
        </w:trPr>
        <w:tc>
          <w:tcPr>
            <w:tcW w:w="740" w:type="dxa"/>
            <w:vAlign w:val="bottom"/>
          </w:tcPr>
          <w:p>
            <w:pPr>
              <w:spacing w:after="0"/>
              <w:rPr>
                <w:sz w:val="19"/>
                <w:szCs w:val="19"/>
                <w:color w:val="auto"/>
              </w:rPr>
            </w:pPr>
          </w:p>
        </w:tc>
        <w:tc>
          <w:tcPr>
            <w:tcW w:w="6900" w:type="dxa"/>
            <w:vAlign w:val="bottom"/>
          </w:tcPr>
          <w:p>
            <w:pPr>
              <w:ind w:left="160"/>
              <w:spacing w:after="0"/>
              <w:rPr>
                <w:sz w:val="20"/>
                <w:szCs w:val="20"/>
                <w:color w:val="auto"/>
              </w:rPr>
            </w:pPr>
            <w:r>
              <w:rPr>
                <w:rFonts w:ascii="Verdana" w:cs="Verdana" w:eastAsia="Verdana" w:hAnsi="Verdana"/>
                <w:sz w:val="14"/>
                <w:szCs w:val="14"/>
                <w:color w:val="auto"/>
              </w:rPr>
              <w:t>Proceeds from sale of assets and other</w:t>
            </w:r>
          </w:p>
        </w:tc>
        <w:tc>
          <w:tcPr>
            <w:tcW w:w="160" w:type="dxa"/>
            <w:vAlign w:val="bottom"/>
          </w:tcPr>
          <w:p>
            <w:pPr>
              <w:spacing w:after="0"/>
              <w:rPr>
                <w:sz w:val="19"/>
                <w:szCs w:val="19"/>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214E93"/>
              </w:rPr>
              <w:t>22,426</w:t>
            </w:r>
          </w:p>
        </w:tc>
        <w:tc>
          <w:tcPr>
            <w:tcW w:w="200" w:type="dxa"/>
            <w:vAlign w:val="bottom"/>
          </w:tcPr>
          <w:p>
            <w:pPr>
              <w:spacing w:after="0"/>
              <w:rPr>
                <w:sz w:val="19"/>
                <w:szCs w:val="19"/>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auto"/>
              </w:rPr>
              <w:t>12,370</w:t>
            </w:r>
          </w:p>
        </w:tc>
        <w:tc>
          <w:tcPr>
            <w:tcW w:w="1040" w:type="dxa"/>
            <w:vAlign w:val="bottom"/>
          </w:tcPr>
          <w:p>
            <w:pPr>
              <w:jc w:val="right"/>
              <w:ind w:right="21"/>
              <w:spacing w:after="0"/>
              <w:rPr>
                <w:sz w:val="20"/>
                <w:szCs w:val="20"/>
                <w:color w:val="auto"/>
              </w:rPr>
            </w:pPr>
            <w:r>
              <w:rPr>
                <w:rFonts w:ascii="Verdana" w:cs="Verdana" w:eastAsia="Verdana" w:hAnsi="Verdana"/>
                <w:sz w:val="16"/>
                <w:szCs w:val="16"/>
                <w:color w:val="auto"/>
              </w:rPr>
              <w:t>14,750</w:t>
            </w:r>
          </w:p>
        </w:tc>
        <w:tc>
          <w:tcPr>
            <w:tcW w:w="620" w:type="dxa"/>
            <w:vAlign w:val="bottom"/>
          </w:tcPr>
          <w:p>
            <w:pPr>
              <w:spacing w:after="0"/>
              <w:rPr>
                <w:sz w:val="19"/>
                <w:szCs w:val="19"/>
                <w:color w:val="auto"/>
              </w:rPr>
            </w:pPr>
          </w:p>
        </w:tc>
      </w:tr>
      <w:tr>
        <w:trPr>
          <w:trHeight w:val="221"/>
        </w:trPr>
        <w:tc>
          <w:tcPr>
            <w:tcW w:w="740" w:type="dxa"/>
            <w:vAlign w:val="bottom"/>
          </w:tcPr>
          <w:p>
            <w:pPr>
              <w:spacing w:after="0"/>
              <w:rPr>
                <w:sz w:val="19"/>
                <w:szCs w:val="19"/>
                <w:color w:val="auto"/>
              </w:rPr>
            </w:pPr>
          </w:p>
        </w:tc>
        <w:tc>
          <w:tcPr>
            <w:tcW w:w="6900" w:type="dxa"/>
            <w:vAlign w:val="bottom"/>
          </w:tcPr>
          <w:p>
            <w:pPr>
              <w:ind w:left="160"/>
              <w:spacing w:after="0"/>
              <w:rPr>
                <w:sz w:val="20"/>
                <w:szCs w:val="20"/>
                <w:color w:val="auto"/>
              </w:rPr>
            </w:pPr>
            <w:r>
              <w:rPr>
                <w:rFonts w:ascii="Verdana" w:cs="Verdana" w:eastAsia="Verdana" w:hAnsi="Verdana"/>
                <w:sz w:val="14"/>
                <w:szCs w:val="14"/>
                <w:color w:val="auto"/>
              </w:rPr>
              <w:t>Proceeds from sale of equity method investment</w:t>
            </w:r>
          </w:p>
        </w:tc>
        <w:tc>
          <w:tcPr>
            <w:tcW w:w="160" w:type="dxa"/>
            <w:vAlign w:val="bottom"/>
          </w:tcPr>
          <w:p>
            <w:pPr>
              <w:spacing w:after="0"/>
              <w:rPr>
                <w:sz w:val="19"/>
                <w:szCs w:val="19"/>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214E93"/>
              </w:rPr>
              <w:t>3,263</w:t>
            </w:r>
          </w:p>
        </w:tc>
        <w:tc>
          <w:tcPr>
            <w:tcW w:w="200" w:type="dxa"/>
            <w:vAlign w:val="bottom"/>
          </w:tcPr>
          <w:p>
            <w:pPr>
              <w:spacing w:after="0"/>
              <w:rPr>
                <w:sz w:val="19"/>
                <w:szCs w:val="19"/>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auto"/>
              </w:rPr>
              <w:t>113,576</w:t>
            </w:r>
          </w:p>
        </w:tc>
        <w:tc>
          <w:tcPr>
            <w:tcW w:w="1040" w:type="dxa"/>
            <w:vAlign w:val="bottom"/>
          </w:tcPr>
          <w:p>
            <w:pPr>
              <w:jc w:val="right"/>
              <w:ind w:right="21"/>
              <w:spacing w:after="0"/>
              <w:rPr>
                <w:sz w:val="20"/>
                <w:szCs w:val="20"/>
                <w:color w:val="auto"/>
              </w:rPr>
            </w:pPr>
            <w:r>
              <w:rPr>
                <w:rFonts w:ascii="Verdana" w:cs="Verdana" w:eastAsia="Verdana" w:hAnsi="Verdana"/>
                <w:sz w:val="16"/>
                <w:szCs w:val="16"/>
                <w:color w:val="auto"/>
              </w:rPr>
              <w:t>—</w:t>
            </w:r>
          </w:p>
        </w:tc>
        <w:tc>
          <w:tcPr>
            <w:tcW w:w="620" w:type="dxa"/>
            <w:vAlign w:val="bottom"/>
          </w:tcPr>
          <w:p>
            <w:pPr>
              <w:spacing w:after="0"/>
              <w:rPr>
                <w:sz w:val="19"/>
                <w:szCs w:val="19"/>
                <w:color w:val="auto"/>
              </w:rPr>
            </w:pPr>
          </w:p>
        </w:tc>
      </w:tr>
      <w:tr>
        <w:trPr>
          <w:trHeight w:val="221"/>
        </w:trPr>
        <w:tc>
          <w:tcPr>
            <w:tcW w:w="740" w:type="dxa"/>
            <w:vAlign w:val="bottom"/>
          </w:tcPr>
          <w:p>
            <w:pPr>
              <w:spacing w:after="0"/>
              <w:rPr>
                <w:sz w:val="19"/>
                <w:szCs w:val="19"/>
                <w:color w:val="auto"/>
              </w:rPr>
            </w:pPr>
          </w:p>
        </w:tc>
        <w:tc>
          <w:tcPr>
            <w:tcW w:w="6900" w:type="dxa"/>
            <w:vAlign w:val="bottom"/>
          </w:tcPr>
          <w:p>
            <w:pPr>
              <w:ind w:left="160"/>
              <w:spacing w:after="0"/>
              <w:rPr>
                <w:sz w:val="20"/>
                <w:szCs w:val="20"/>
                <w:color w:val="auto"/>
              </w:rPr>
            </w:pPr>
            <w:r>
              <w:rPr>
                <w:rFonts w:ascii="Verdana" w:cs="Verdana" w:eastAsia="Verdana" w:hAnsi="Verdana"/>
                <w:sz w:val="14"/>
                <w:szCs w:val="14"/>
                <w:color w:val="auto"/>
              </w:rPr>
              <w:t>Acquisition of Ameredev</w:t>
            </w:r>
          </w:p>
        </w:tc>
        <w:tc>
          <w:tcPr>
            <w:tcW w:w="160" w:type="dxa"/>
            <w:vAlign w:val="bottom"/>
          </w:tcPr>
          <w:p>
            <w:pPr>
              <w:spacing w:after="0"/>
              <w:rPr>
                <w:sz w:val="19"/>
                <w:szCs w:val="19"/>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214E93"/>
              </w:rPr>
              <w:t>—</w:t>
            </w:r>
          </w:p>
        </w:tc>
        <w:tc>
          <w:tcPr>
            <w:tcW w:w="1100" w:type="dxa"/>
            <w:vAlign w:val="bottom"/>
            <w:gridSpan w:val="2"/>
          </w:tcPr>
          <w:p>
            <w:pPr>
              <w:jc w:val="right"/>
              <w:spacing w:after="0"/>
              <w:rPr>
                <w:sz w:val="20"/>
                <w:szCs w:val="20"/>
                <w:color w:val="auto"/>
              </w:rPr>
            </w:pPr>
            <w:r>
              <w:rPr>
                <w:rFonts w:ascii="Verdana" w:cs="Verdana" w:eastAsia="Verdana" w:hAnsi="Verdana"/>
                <w:sz w:val="16"/>
                <w:szCs w:val="16"/>
                <w:color w:val="auto"/>
              </w:rPr>
              <w:t>(1,831,214)</w:t>
            </w:r>
          </w:p>
        </w:tc>
        <w:tc>
          <w:tcPr>
            <w:tcW w:w="1040" w:type="dxa"/>
            <w:vAlign w:val="bottom"/>
          </w:tcPr>
          <w:p>
            <w:pPr>
              <w:jc w:val="right"/>
              <w:ind w:right="21"/>
              <w:spacing w:after="0"/>
              <w:rPr>
                <w:sz w:val="20"/>
                <w:szCs w:val="20"/>
                <w:color w:val="auto"/>
              </w:rPr>
            </w:pPr>
            <w:r>
              <w:rPr>
                <w:rFonts w:ascii="Verdana" w:cs="Verdana" w:eastAsia="Verdana" w:hAnsi="Verdana"/>
                <w:sz w:val="16"/>
                <w:szCs w:val="16"/>
                <w:color w:val="auto"/>
              </w:rPr>
              <w:t>—</w:t>
            </w:r>
          </w:p>
        </w:tc>
        <w:tc>
          <w:tcPr>
            <w:tcW w:w="620" w:type="dxa"/>
            <w:vAlign w:val="bottom"/>
          </w:tcPr>
          <w:p>
            <w:pPr>
              <w:spacing w:after="0"/>
              <w:rPr>
                <w:sz w:val="19"/>
                <w:szCs w:val="19"/>
                <w:color w:val="auto"/>
              </w:rPr>
            </w:pPr>
          </w:p>
        </w:tc>
      </w:tr>
      <w:tr>
        <w:trPr>
          <w:trHeight w:val="227"/>
        </w:trPr>
        <w:tc>
          <w:tcPr>
            <w:tcW w:w="740" w:type="dxa"/>
            <w:vAlign w:val="bottom"/>
          </w:tcPr>
          <w:p>
            <w:pPr>
              <w:spacing w:after="0"/>
              <w:rPr>
                <w:sz w:val="19"/>
                <w:szCs w:val="19"/>
                <w:color w:val="auto"/>
              </w:rPr>
            </w:pPr>
          </w:p>
        </w:tc>
        <w:tc>
          <w:tcPr>
            <w:tcW w:w="6900" w:type="dxa"/>
            <w:vAlign w:val="bottom"/>
            <w:tcBorders>
              <w:bottom w:val="single" w:sz="8" w:color="auto"/>
            </w:tcBorders>
          </w:tcPr>
          <w:p>
            <w:pPr>
              <w:ind w:left="40"/>
              <w:spacing w:after="0"/>
              <w:rPr>
                <w:sz w:val="20"/>
                <w:szCs w:val="20"/>
                <w:color w:val="auto"/>
              </w:rPr>
            </w:pPr>
            <w:r>
              <w:rPr>
                <w:rFonts w:ascii="Verdana" w:cs="Verdana" w:eastAsia="Verdana" w:hAnsi="Verdana"/>
                <w:sz w:val="14"/>
                <w:szCs w:val="14"/>
                <w:color w:val="auto"/>
              </w:rPr>
              <w:t>Acquisition of Advance</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62"/>
              <w:spacing w:after="0"/>
              <w:rPr>
                <w:sz w:val="20"/>
                <w:szCs w:val="20"/>
                <w:color w:val="auto"/>
              </w:rPr>
            </w:pPr>
            <w:r>
              <w:rPr>
                <w:rFonts w:ascii="Verdana" w:cs="Verdana" w:eastAsia="Verdana" w:hAnsi="Verdana"/>
                <w:sz w:val="16"/>
                <w:szCs w:val="16"/>
                <w:color w:val="214E93"/>
              </w:rPr>
              <w:t>—</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62"/>
              <w:spacing w:after="0"/>
              <w:rPr>
                <w:sz w:val="20"/>
                <w:szCs w:val="20"/>
                <w:color w:val="auto"/>
              </w:rPr>
            </w:pPr>
            <w:r>
              <w:rPr>
                <w:rFonts w:ascii="Verdana" w:cs="Verdana" w:eastAsia="Verdana" w:hAnsi="Verdana"/>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(1,676,132)</w:t>
            </w:r>
          </w:p>
        </w:tc>
        <w:tc>
          <w:tcPr>
            <w:tcW w:w="620" w:type="dxa"/>
            <w:vAlign w:val="bottom"/>
          </w:tcPr>
          <w:p>
            <w:pPr>
              <w:spacing w:after="0"/>
              <w:rPr>
                <w:sz w:val="19"/>
                <w:szCs w:val="19"/>
                <w:color w:val="auto"/>
              </w:rPr>
            </w:pPr>
          </w:p>
        </w:tc>
      </w:tr>
      <w:tr>
        <w:trPr>
          <w:trHeight w:val="207"/>
        </w:trPr>
        <w:tc>
          <w:tcPr>
            <w:tcW w:w="740" w:type="dxa"/>
            <w:vAlign w:val="bottom"/>
          </w:tcPr>
          <w:p>
            <w:pPr>
              <w:spacing w:after="0"/>
              <w:rPr>
                <w:sz w:val="17"/>
                <w:szCs w:val="17"/>
                <w:color w:val="auto"/>
              </w:rPr>
            </w:pPr>
          </w:p>
        </w:tc>
        <w:tc>
          <w:tcPr>
            <w:tcW w:w="6900" w:type="dxa"/>
            <w:vAlign w:val="bottom"/>
          </w:tcPr>
          <w:p>
            <w:pPr>
              <w:ind w:left="520"/>
              <w:spacing w:after="0"/>
              <w:rPr>
                <w:sz w:val="20"/>
                <w:szCs w:val="20"/>
                <w:color w:val="auto"/>
              </w:rPr>
            </w:pPr>
            <w:r>
              <w:rPr>
                <w:rFonts w:ascii="Verdana" w:cs="Verdana" w:eastAsia="Verdana" w:hAnsi="Verdana"/>
                <w:sz w:val="14"/>
                <w:szCs w:val="14"/>
                <w:color w:val="auto"/>
              </w:rPr>
              <w:t>Net cash used in investing activities</w:t>
            </w:r>
          </w:p>
        </w:tc>
        <w:tc>
          <w:tcPr>
            <w:tcW w:w="1060" w:type="dxa"/>
            <w:vAlign w:val="bottom"/>
            <w:gridSpan w:val="2"/>
          </w:tcPr>
          <w:p>
            <w:pPr>
              <w:jc w:val="right"/>
              <w:spacing w:after="0"/>
              <w:rPr>
                <w:sz w:val="20"/>
                <w:szCs w:val="20"/>
                <w:color w:val="auto"/>
              </w:rPr>
            </w:pPr>
            <w:r>
              <w:rPr>
                <w:rFonts w:ascii="Verdana" w:cs="Verdana" w:eastAsia="Verdana" w:hAnsi="Verdana"/>
                <w:sz w:val="16"/>
                <w:szCs w:val="16"/>
                <w:color w:val="214E93"/>
              </w:rPr>
              <w:t>(2,157,682)</w:t>
            </w:r>
          </w:p>
        </w:tc>
        <w:tc>
          <w:tcPr>
            <w:tcW w:w="1100" w:type="dxa"/>
            <w:vAlign w:val="bottom"/>
            <w:gridSpan w:val="2"/>
          </w:tcPr>
          <w:p>
            <w:pPr>
              <w:jc w:val="right"/>
              <w:spacing w:after="0"/>
              <w:rPr>
                <w:sz w:val="20"/>
                <w:szCs w:val="20"/>
                <w:color w:val="auto"/>
              </w:rPr>
            </w:pPr>
            <w:r>
              <w:rPr>
                <w:rFonts w:ascii="Verdana" w:cs="Verdana" w:eastAsia="Verdana" w:hAnsi="Verdana"/>
                <w:sz w:val="16"/>
                <w:szCs w:val="16"/>
                <w:color w:val="auto"/>
              </w:rPr>
              <w:t>(3,672,114)</w:t>
            </w:r>
          </w:p>
        </w:tc>
        <w:tc>
          <w:tcPr>
            <w:tcW w:w="1040" w:type="dxa"/>
            <w:vAlign w:val="bottom"/>
          </w:tcPr>
          <w:p>
            <w:pPr>
              <w:jc w:val="right"/>
              <w:spacing w:after="0"/>
              <w:rPr>
                <w:sz w:val="20"/>
                <w:szCs w:val="20"/>
                <w:color w:val="auto"/>
              </w:rPr>
            </w:pPr>
            <w:r>
              <w:rPr>
                <w:rFonts w:ascii="Verdana" w:cs="Verdana" w:eastAsia="Verdana" w:hAnsi="Verdana"/>
                <w:sz w:val="16"/>
                <w:szCs w:val="16"/>
                <w:color w:val="auto"/>
              </w:rPr>
              <w:t>(3,211,192)</w:t>
            </w:r>
          </w:p>
        </w:tc>
        <w:tc>
          <w:tcPr>
            <w:tcW w:w="620" w:type="dxa"/>
            <w:vAlign w:val="bottom"/>
          </w:tcPr>
          <w:p>
            <w:pPr>
              <w:spacing w:after="0"/>
              <w:rPr>
                <w:sz w:val="17"/>
                <w:szCs w:val="17"/>
                <w:color w:val="auto"/>
              </w:rPr>
            </w:pPr>
          </w:p>
        </w:tc>
      </w:tr>
      <w:tr>
        <w:trPr>
          <w:trHeight w:val="202"/>
        </w:trPr>
        <w:tc>
          <w:tcPr>
            <w:tcW w:w="740" w:type="dxa"/>
            <w:vAlign w:val="bottom"/>
          </w:tcPr>
          <w:p>
            <w:pPr>
              <w:spacing w:after="0"/>
              <w:rPr>
                <w:sz w:val="17"/>
                <w:szCs w:val="17"/>
                <w:color w:val="auto"/>
              </w:rPr>
            </w:pPr>
          </w:p>
        </w:tc>
        <w:tc>
          <w:tcPr>
            <w:tcW w:w="6900" w:type="dxa"/>
            <w:vAlign w:val="bottom"/>
          </w:tcPr>
          <w:p>
            <w:pPr>
              <w:ind w:left="40"/>
              <w:spacing w:after="0"/>
              <w:rPr>
                <w:sz w:val="20"/>
                <w:szCs w:val="20"/>
                <w:color w:val="auto"/>
              </w:rPr>
            </w:pPr>
            <w:r>
              <w:rPr>
                <w:rFonts w:ascii="Verdana" w:cs="Verdana" w:eastAsia="Verdana" w:hAnsi="Verdana"/>
                <w:sz w:val="14"/>
                <w:szCs w:val="14"/>
                <w:color w:val="auto"/>
              </w:rPr>
              <w:t>Financing activities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0"/>
        </w:trPr>
        <w:tc>
          <w:tcPr>
            <w:tcW w:w="740" w:type="dxa"/>
            <w:vAlign w:val="bottom"/>
          </w:tcPr>
          <w:p>
            <w:pPr>
              <w:spacing w:after="0"/>
              <w:rPr>
                <w:sz w:val="19"/>
                <w:szCs w:val="19"/>
                <w:color w:val="auto"/>
              </w:rPr>
            </w:pPr>
          </w:p>
        </w:tc>
        <w:tc>
          <w:tcPr>
            <w:tcW w:w="6900" w:type="dxa"/>
            <w:vAlign w:val="bottom"/>
          </w:tcPr>
          <w:p>
            <w:pPr>
              <w:ind w:left="160"/>
              <w:spacing w:after="0"/>
              <w:rPr>
                <w:sz w:val="20"/>
                <w:szCs w:val="20"/>
                <w:color w:val="auto"/>
              </w:rPr>
            </w:pPr>
            <w:r>
              <w:rPr>
                <w:rFonts w:ascii="Verdana" w:cs="Verdana" w:eastAsia="Verdana" w:hAnsi="Verdana"/>
                <w:sz w:val="14"/>
                <w:szCs w:val="14"/>
                <w:color w:val="auto"/>
              </w:rPr>
              <w:t>Repayments of borrowings under Credit Agreement</w:t>
            </w:r>
          </w:p>
        </w:tc>
        <w:tc>
          <w:tcPr>
            <w:tcW w:w="1060" w:type="dxa"/>
            <w:vAlign w:val="bottom"/>
            <w:gridSpan w:val="2"/>
          </w:tcPr>
          <w:p>
            <w:pPr>
              <w:jc w:val="right"/>
              <w:spacing w:after="0"/>
              <w:rPr>
                <w:sz w:val="20"/>
                <w:szCs w:val="20"/>
                <w:color w:val="auto"/>
              </w:rPr>
            </w:pPr>
            <w:r>
              <w:rPr>
                <w:rFonts w:ascii="Verdana" w:cs="Verdana" w:eastAsia="Verdana" w:hAnsi="Verdana"/>
                <w:sz w:val="16"/>
                <w:szCs w:val="16"/>
                <w:color w:val="214E93"/>
              </w:rPr>
              <w:t>(2,367,500)</w:t>
            </w:r>
          </w:p>
        </w:tc>
        <w:tc>
          <w:tcPr>
            <w:tcW w:w="1100" w:type="dxa"/>
            <w:vAlign w:val="bottom"/>
            <w:gridSpan w:val="2"/>
          </w:tcPr>
          <w:p>
            <w:pPr>
              <w:jc w:val="right"/>
              <w:spacing w:after="0"/>
              <w:rPr>
                <w:sz w:val="20"/>
                <w:szCs w:val="20"/>
                <w:color w:val="auto"/>
              </w:rPr>
            </w:pPr>
            <w:r>
              <w:rPr>
                <w:rFonts w:ascii="Verdana" w:cs="Verdana" w:eastAsia="Verdana" w:hAnsi="Verdana"/>
                <w:sz w:val="16"/>
                <w:szCs w:val="16"/>
                <w:color w:val="auto"/>
              </w:rPr>
              <w:t>(3,969,500)</w:t>
            </w:r>
          </w:p>
        </w:tc>
        <w:tc>
          <w:tcPr>
            <w:tcW w:w="1040" w:type="dxa"/>
            <w:vAlign w:val="bottom"/>
          </w:tcPr>
          <w:p>
            <w:pPr>
              <w:jc w:val="right"/>
              <w:spacing w:after="0"/>
              <w:rPr>
                <w:sz w:val="20"/>
                <w:szCs w:val="20"/>
                <w:color w:val="auto"/>
              </w:rPr>
            </w:pPr>
            <w:r>
              <w:rPr>
                <w:rFonts w:ascii="Verdana" w:cs="Verdana" w:eastAsia="Verdana" w:hAnsi="Verdana"/>
                <w:sz w:val="16"/>
                <w:szCs w:val="16"/>
                <w:color w:val="auto"/>
              </w:rPr>
              <w:t>(3,032,000)</w:t>
            </w:r>
          </w:p>
        </w:tc>
        <w:tc>
          <w:tcPr>
            <w:tcW w:w="620" w:type="dxa"/>
            <w:vAlign w:val="bottom"/>
          </w:tcPr>
          <w:p>
            <w:pPr>
              <w:spacing w:after="0"/>
              <w:rPr>
                <w:sz w:val="19"/>
                <w:szCs w:val="19"/>
                <w:color w:val="auto"/>
              </w:rPr>
            </w:pPr>
          </w:p>
        </w:tc>
      </w:tr>
      <w:tr>
        <w:trPr>
          <w:trHeight w:val="221"/>
        </w:trPr>
        <w:tc>
          <w:tcPr>
            <w:tcW w:w="740" w:type="dxa"/>
            <w:vAlign w:val="bottom"/>
          </w:tcPr>
          <w:p>
            <w:pPr>
              <w:spacing w:after="0"/>
              <w:rPr>
                <w:sz w:val="19"/>
                <w:szCs w:val="19"/>
                <w:color w:val="auto"/>
              </w:rPr>
            </w:pPr>
          </w:p>
        </w:tc>
        <w:tc>
          <w:tcPr>
            <w:tcW w:w="6900" w:type="dxa"/>
            <w:vAlign w:val="bottom"/>
          </w:tcPr>
          <w:p>
            <w:pPr>
              <w:ind w:left="160"/>
              <w:spacing w:after="0"/>
              <w:rPr>
                <w:sz w:val="20"/>
                <w:szCs w:val="20"/>
                <w:color w:val="auto"/>
              </w:rPr>
            </w:pPr>
            <w:r>
              <w:rPr>
                <w:rFonts w:ascii="Verdana" w:cs="Verdana" w:eastAsia="Verdana" w:hAnsi="Verdana"/>
                <w:sz w:val="14"/>
                <w:szCs w:val="14"/>
                <w:color w:val="auto"/>
              </w:rPr>
              <w:t>Borrowings under Credit Agreement</w:t>
            </w:r>
          </w:p>
        </w:tc>
        <w:tc>
          <w:tcPr>
            <w:tcW w:w="1060" w:type="dxa"/>
            <w:vAlign w:val="bottom"/>
            <w:gridSpan w:val="2"/>
          </w:tcPr>
          <w:p>
            <w:pPr>
              <w:jc w:val="right"/>
              <w:ind w:right="62"/>
              <w:spacing w:after="0"/>
              <w:rPr>
                <w:sz w:val="20"/>
                <w:szCs w:val="20"/>
                <w:color w:val="auto"/>
              </w:rPr>
            </w:pPr>
            <w:r>
              <w:rPr>
                <w:rFonts w:ascii="Verdana" w:cs="Verdana" w:eastAsia="Verdana" w:hAnsi="Verdana"/>
                <w:sz w:val="16"/>
                <w:szCs w:val="16"/>
                <w:color w:val="214E93"/>
              </w:rPr>
              <w:t>2,170,000</w:t>
            </w:r>
          </w:p>
        </w:tc>
        <w:tc>
          <w:tcPr>
            <w:tcW w:w="1100" w:type="dxa"/>
            <w:vAlign w:val="bottom"/>
            <w:gridSpan w:val="2"/>
          </w:tcPr>
          <w:p>
            <w:pPr>
              <w:jc w:val="right"/>
              <w:ind w:right="62"/>
              <w:spacing w:after="0"/>
              <w:rPr>
                <w:sz w:val="20"/>
                <w:szCs w:val="20"/>
                <w:color w:val="auto"/>
              </w:rPr>
            </w:pPr>
            <w:r>
              <w:rPr>
                <w:rFonts w:ascii="Verdana" w:cs="Verdana" w:eastAsia="Verdana" w:hAnsi="Verdana"/>
                <w:sz w:val="16"/>
                <w:szCs w:val="16"/>
                <w:color w:val="auto"/>
              </w:rPr>
              <w:t>4,065,000</w:t>
            </w:r>
          </w:p>
        </w:tc>
        <w:tc>
          <w:tcPr>
            <w:tcW w:w="1040" w:type="dxa"/>
            <w:vAlign w:val="bottom"/>
          </w:tcPr>
          <w:p>
            <w:pPr>
              <w:jc w:val="right"/>
              <w:ind w:right="21"/>
              <w:spacing w:after="0"/>
              <w:rPr>
                <w:sz w:val="20"/>
                <w:szCs w:val="20"/>
                <w:color w:val="auto"/>
              </w:rPr>
            </w:pPr>
            <w:r>
              <w:rPr>
                <w:rFonts w:ascii="Verdana" w:cs="Verdana" w:eastAsia="Verdana" w:hAnsi="Verdana"/>
                <w:sz w:val="16"/>
                <w:szCs w:val="16"/>
                <w:color w:val="auto"/>
              </w:rPr>
              <w:t>3,532,000</w:t>
            </w:r>
          </w:p>
        </w:tc>
        <w:tc>
          <w:tcPr>
            <w:tcW w:w="620" w:type="dxa"/>
            <w:vAlign w:val="bottom"/>
          </w:tcPr>
          <w:p>
            <w:pPr>
              <w:spacing w:after="0"/>
              <w:rPr>
                <w:sz w:val="19"/>
                <w:szCs w:val="19"/>
                <w:color w:val="auto"/>
              </w:rPr>
            </w:pPr>
          </w:p>
        </w:tc>
      </w:tr>
      <w:tr>
        <w:trPr>
          <w:trHeight w:val="221"/>
        </w:trPr>
        <w:tc>
          <w:tcPr>
            <w:tcW w:w="740" w:type="dxa"/>
            <w:vAlign w:val="bottom"/>
          </w:tcPr>
          <w:p>
            <w:pPr>
              <w:spacing w:after="0"/>
              <w:rPr>
                <w:sz w:val="19"/>
                <w:szCs w:val="19"/>
                <w:color w:val="auto"/>
              </w:rPr>
            </w:pPr>
          </w:p>
        </w:tc>
        <w:tc>
          <w:tcPr>
            <w:tcW w:w="6900" w:type="dxa"/>
            <w:vAlign w:val="bottom"/>
          </w:tcPr>
          <w:p>
            <w:pPr>
              <w:ind w:left="160"/>
              <w:spacing w:after="0"/>
              <w:rPr>
                <w:sz w:val="20"/>
                <w:szCs w:val="20"/>
                <w:color w:val="auto"/>
              </w:rPr>
            </w:pPr>
            <w:r>
              <w:rPr>
                <w:rFonts w:ascii="Verdana" w:cs="Verdana" w:eastAsia="Verdana" w:hAnsi="Verdana"/>
                <w:sz w:val="14"/>
                <w:szCs w:val="14"/>
                <w:color w:val="auto"/>
              </w:rPr>
              <w:t>Repayments of borrowings under San Mateo Credit Facility</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Verdana" w:cs="Verdana" w:eastAsia="Verdana" w:hAnsi="Verdana"/>
                <w:sz w:val="16"/>
                <w:szCs w:val="16"/>
                <w:color w:val="214E93"/>
              </w:rPr>
              <w:t>(345,000)</w:t>
            </w:r>
          </w:p>
        </w:tc>
        <w:tc>
          <w:tcPr>
            <w:tcW w:w="20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Verdana" w:cs="Verdana" w:eastAsia="Verdana" w:hAnsi="Verdana"/>
                <w:sz w:val="16"/>
                <w:szCs w:val="16"/>
                <w:color w:val="auto"/>
                <w:w w:val="98"/>
              </w:rPr>
              <w:t>(733,000)</w:t>
            </w:r>
          </w:p>
        </w:tc>
        <w:tc>
          <w:tcPr>
            <w:tcW w:w="1040" w:type="dxa"/>
            <w:vAlign w:val="bottom"/>
          </w:tcPr>
          <w:p>
            <w:pPr>
              <w:jc w:val="right"/>
              <w:spacing w:after="0"/>
              <w:rPr>
                <w:sz w:val="20"/>
                <w:szCs w:val="20"/>
                <w:color w:val="auto"/>
              </w:rPr>
            </w:pPr>
            <w:r>
              <w:rPr>
                <w:rFonts w:ascii="Verdana" w:cs="Verdana" w:eastAsia="Verdana" w:hAnsi="Verdana"/>
                <w:sz w:val="16"/>
                <w:szCs w:val="16"/>
                <w:color w:val="auto"/>
              </w:rPr>
              <w:t>(171,000)</w:t>
            </w:r>
          </w:p>
        </w:tc>
        <w:tc>
          <w:tcPr>
            <w:tcW w:w="620" w:type="dxa"/>
            <w:vAlign w:val="bottom"/>
          </w:tcPr>
          <w:p>
            <w:pPr>
              <w:spacing w:after="0"/>
              <w:rPr>
                <w:sz w:val="19"/>
                <w:szCs w:val="19"/>
                <w:color w:val="auto"/>
              </w:rPr>
            </w:pPr>
          </w:p>
        </w:tc>
      </w:tr>
      <w:tr>
        <w:trPr>
          <w:trHeight w:val="221"/>
        </w:trPr>
        <w:tc>
          <w:tcPr>
            <w:tcW w:w="740" w:type="dxa"/>
            <w:vAlign w:val="bottom"/>
          </w:tcPr>
          <w:p>
            <w:pPr>
              <w:spacing w:after="0"/>
              <w:rPr>
                <w:sz w:val="19"/>
                <w:szCs w:val="19"/>
                <w:color w:val="auto"/>
              </w:rPr>
            </w:pPr>
          </w:p>
        </w:tc>
        <w:tc>
          <w:tcPr>
            <w:tcW w:w="6900" w:type="dxa"/>
            <w:vAlign w:val="bottom"/>
          </w:tcPr>
          <w:p>
            <w:pPr>
              <w:ind w:left="160"/>
              <w:spacing w:after="0"/>
              <w:rPr>
                <w:sz w:val="20"/>
                <w:szCs w:val="20"/>
                <w:color w:val="auto"/>
              </w:rPr>
            </w:pPr>
            <w:r>
              <w:rPr>
                <w:rFonts w:ascii="Verdana" w:cs="Verdana" w:eastAsia="Verdana" w:hAnsi="Verdana"/>
                <w:sz w:val="14"/>
                <w:szCs w:val="14"/>
                <w:color w:val="auto"/>
              </w:rPr>
              <w:t>Borrowings under San Mateo Credit Facility</w:t>
            </w:r>
          </w:p>
        </w:tc>
        <w:tc>
          <w:tcPr>
            <w:tcW w:w="160" w:type="dxa"/>
            <w:vAlign w:val="bottom"/>
          </w:tcPr>
          <w:p>
            <w:pPr>
              <w:spacing w:after="0"/>
              <w:rPr>
                <w:sz w:val="19"/>
                <w:szCs w:val="19"/>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214E93"/>
              </w:rPr>
              <w:t>613,000</w:t>
            </w:r>
          </w:p>
        </w:tc>
        <w:tc>
          <w:tcPr>
            <w:tcW w:w="200" w:type="dxa"/>
            <w:vAlign w:val="bottom"/>
          </w:tcPr>
          <w:p>
            <w:pPr>
              <w:spacing w:after="0"/>
              <w:rPr>
                <w:sz w:val="19"/>
                <w:szCs w:val="19"/>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auto"/>
              </w:rPr>
              <w:t>826,000</w:t>
            </w:r>
          </w:p>
        </w:tc>
        <w:tc>
          <w:tcPr>
            <w:tcW w:w="1040" w:type="dxa"/>
            <w:vAlign w:val="bottom"/>
          </w:tcPr>
          <w:p>
            <w:pPr>
              <w:jc w:val="right"/>
              <w:ind w:right="21"/>
              <w:spacing w:after="0"/>
              <w:rPr>
                <w:sz w:val="20"/>
                <w:szCs w:val="20"/>
                <w:color w:val="auto"/>
              </w:rPr>
            </w:pPr>
            <w:r>
              <w:rPr>
                <w:rFonts w:ascii="Verdana" w:cs="Verdana" w:eastAsia="Verdana" w:hAnsi="Verdana"/>
                <w:sz w:val="16"/>
                <w:szCs w:val="16"/>
                <w:color w:val="auto"/>
              </w:rPr>
              <w:t>228,000</w:t>
            </w:r>
          </w:p>
        </w:tc>
        <w:tc>
          <w:tcPr>
            <w:tcW w:w="620" w:type="dxa"/>
            <w:vAlign w:val="bottom"/>
          </w:tcPr>
          <w:p>
            <w:pPr>
              <w:spacing w:after="0"/>
              <w:rPr>
                <w:sz w:val="19"/>
                <w:szCs w:val="19"/>
                <w:color w:val="auto"/>
              </w:rPr>
            </w:pPr>
          </w:p>
        </w:tc>
      </w:tr>
      <w:tr>
        <w:trPr>
          <w:trHeight w:val="236"/>
        </w:trPr>
        <w:tc>
          <w:tcPr>
            <w:tcW w:w="740" w:type="dxa"/>
            <w:vAlign w:val="bottom"/>
          </w:tcPr>
          <w:p>
            <w:pPr>
              <w:spacing w:after="0"/>
              <w:rPr>
                <w:sz w:val="20"/>
                <w:szCs w:val="20"/>
                <w:color w:val="auto"/>
              </w:rPr>
            </w:pPr>
          </w:p>
        </w:tc>
        <w:tc>
          <w:tcPr>
            <w:tcW w:w="6900" w:type="dxa"/>
            <w:vAlign w:val="bottom"/>
          </w:tcPr>
          <w:p>
            <w:pPr>
              <w:ind w:left="160"/>
              <w:spacing w:after="0"/>
              <w:rPr>
                <w:sz w:val="20"/>
                <w:szCs w:val="20"/>
                <w:color w:val="auto"/>
              </w:rPr>
            </w:pPr>
            <w:r>
              <w:rPr>
                <w:rFonts w:ascii="Verdana" w:cs="Verdana" w:eastAsia="Verdana" w:hAnsi="Verdana"/>
                <w:sz w:val="14"/>
                <w:szCs w:val="14"/>
                <w:color w:val="auto"/>
              </w:rPr>
              <w:t>Cost to enter into or amend credit facilities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Verdana" w:cs="Verdana" w:eastAsia="Verdana" w:hAnsi="Verdana"/>
                <w:sz w:val="16"/>
                <w:szCs w:val="16"/>
                <w:color w:val="214E93"/>
              </w:rPr>
              <w:t>(2,406)</w:t>
            </w:r>
          </w:p>
        </w:tc>
        <w:tc>
          <w:tcPr>
            <w:tcW w:w="20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Verdana" w:cs="Verdana" w:eastAsia="Verdana" w:hAnsi="Verdana"/>
                <w:sz w:val="16"/>
                <w:szCs w:val="16"/>
                <w:color w:val="auto"/>
              </w:rPr>
              <w:t>(33,436)</w:t>
            </w:r>
          </w:p>
        </w:tc>
        <w:tc>
          <w:tcPr>
            <w:tcW w:w="1040" w:type="dxa"/>
            <w:vAlign w:val="bottom"/>
          </w:tcPr>
          <w:p>
            <w:pPr>
              <w:jc w:val="right"/>
              <w:spacing w:after="0"/>
              <w:rPr>
                <w:sz w:val="20"/>
                <w:szCs w:val="20"/>
                <w:color w:val="auto"/>
              </w:rPr>
            </w:pPr>
            <w:r>
              <w:rPr>
                <w:rFonts w:ascii="Verdana" w:cs="Verdana" w:eastAsia="Verdana" w:hAnsi="Verdana"/>
                <w:sz w:val="16"/>
                <w:szCs w:val="16"/>
                <w:color w:val="auto"/>
              </w:rPr>
              <w:t>(9,296)</w:t>
            </w:r>
          </w:p>
        </w:tc>
        <w:tc>
          <w:tcPr>
            <w:tcW w:w="620" w:type="dxa"/>
            <w:vAlign w:val="bottom"/>
          </w:tcPr>
          <w:p>
            <w:pPr>
              <w:spacing w:after="0"/>
              <w:rPr>
                <w:sz w:val="20"/>
                <w:szCs w:val="20"/>
                <w:color w:val="auto"/>
              </w:rPr>
            </w:pPr>
          </w:p>
        </w:tc>
      </w:tr>
      <w:tr>
        <w:trPr>
          <w:trHeight w:val="236"/>
        </w:trPr>
        <w:tc>
          <w:tcPr>
            <w:tcW w:w="740" w:type="dxa"/>
            <w:vAlign w:val="bottom"/>
          </w:tcPr>
          <w:p>
            <w:pPr>
              <w:spacing w:after="0"/>
              <w:rPr>
                <w:sz w:val="20"/>
                <w:szCs w:val="20"/>
                <w:color w:val="auto"/>
              </w:rPr>
            </w:pPr>
          </w:p>
        </w:tc>
        <w:tc>
          <w:tcPr>
            <w:tcW w:w="6900" w:type="dxa"/>
            <w:vAlign w:val="bottom"/>
          </w:tcPr>
          <w:p>
            <w:pPr>
              <w:ind w:left="160"/>
              <w:spacing w:after="0"/>
              <w:rPr>
                <w:sz w:val="20"/>
                <w:szCs w:val="20"/>
                <w:color w:val="auto"/>
              </w:rPr>
            </w:pPr>
            <w:r>
              <w:rPr>
                <w:rFonts w:ascii="Verdana" w:cs="Verdana" w:eastAsia="Verdana" w:hAnsi="Verdana"/>
                <w:sz w:val="14"/>
                <w:szCs w:val="14"/>
                <w:color w:val="auto"/>
              </w:rPr>
              <w:t>Dividends paid</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Verdana" w:cs="Verdana" w:eastAsia="Verdana" w:hAnsi="Verdana"/>
                <w:sz w:val="16"/>
                <w:szCs w:val="16"/>
                <w:color w:val="214E93"/>
              </w:rPr>
              <w:t>(163,096)</w:t>
            </w:r>
          </w:p>
        </w:tc>
        <w:tc>
          <w:tcPr>
            <w:tcW w:w="20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Verdana" w:cs="Verdana" w:eastAsia="Verdana" w:hAnsi="Verdana"/>
                <w:sz w:val="16"/>
                <w:szCs w:val="16"/>
                <w:color w:val="auto"/>
                <w:w w:val="98"/>
              </w:rPr>
              <w:t>(104,876)</w:t>
            </w:r>
          </w:p>
        </w:tc>
        <w:tc>
          <w:tcPr>
            <w:tcW w:w="1040" w:type="dxa"/>
            <w:vAlign w:val="bottom"/>
          </w:tcPr>
          <w:p>
            <w:pPr>
              <w:jc w:val="right"/>
              <w:spacing w:after="0"/>
              <w:rPr>
                <w:sz w:val="20"/>
                <w:szCs w:val="20"/>
                <w:color w:val="auto"/>
              </w:rPr>
            </w:pPr>
            <w:r>
              <w:rPr>
                <w:rFonts w:ascii="Verdana" w:cs="Verdana" w:eastAsia="Verdana" w:hAnsi="Verdana"/>
                <w:sz w:val="16"/>
                <w:szCs w:val="16"/>
                <w:color w:val="auto"/>
              </w:rPr>
              <w:t>(77,175)</w:t>
            </w:r>
          </w:p>
        </w:tc>
        <w:tc>
          <w:tcPr>
            <w:tcW w:w="620" w:type="dxa"/>
            <w:vAlign w:val="bottom"/>
          </w:tcPr>
          <w:p>
            <w:pPr>
              <w:spacing w:after="0"/>
              <w:rPr>
                <w:sz w:val="20"/>
                <w:szCs w:val="20"/>
                <w:color w:val="auto"/>
              </w:rPr>
            </w:pPr>
          </w:p>
        </w:tc>
      </w:tr>
      <w:tr>
        <w:trPr>
          <w:trHeight w:val="236"/>
        </w:trPr>
        <w:tc>
          <w:tcPr>
            <w:tcW w:w="740" w:type="dxa"/>
            <w:vAlign w:val="bottom"/>
          </w:tcPr>
          <w:p>
            <w:pPr>
              <w:spacing w:after="0"/>
              <w:rPr>
                <w:sz w:val="20"/>
                <w:szCs w:val="20"/>
                <w:color w:val="auto"/>
              </w:rPr>
            </w:pPr>
          </w:p>
        </w:tc>
        <w:tc>
          <w:tcPr>
            <w:tcW w:w="6900" w:type="dxa"/>
            <w:vAlign w:val="bottom"/>
          </w:tcPr>
          <w:p>
            <w:pPr>
              <w:ind w:left="160"/>
              <w:spacing w:after="0"/>
              <w:rPr>
                <w:sz w:val="20"/>
                <w:szCs w:val="20"/>
                <w:color w:val="auto"/>
              </w:rPr>
            </w:pPr>
            <w:r>
              <w:rPr>
                <w:rFonts w:ascii="Verdana" w:cs="Verdana" w:eastAsia="Verdana" w:hAnsi="Verdana"/>
                <w:sz w:val="14"/>
                <w:szCs w:val="14"/>
                <w:color w:val="auto"/>
              </w:rPr>
              <w:t>Repurchases of common stock</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Verdana" w:cs="Verdana" w:eastAsia="Verdana" w:hAnsi="Verdana"/>
                <w:sz w:val="16"/>
                <w:szCs w:val="16"/>
                <w:color w:val="214E93"/>
              </w:rPr>
              <w:t>(55,849)</w:t>
            </w:r>
          </w:p>
        </w:tc>
        <w:tc>
          <w:tcPr>
            <w:tcW w:w="200" w:type="dxa"/>
            <w:vAlign w:val="bottom"/>
          </w:tcPr>
          <w:p>
            <w:pPr>
              <w:spacing w:after="0"/>
              <w:rPr>
                <w:sz w:val="20"/>
                <w:szCs w:val="20"/>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auto"/>
              </w:rPr>
              <w:t>—</w:t>
            </w:r>
          </w:p>
        </w:tc>
        <w:tc>
          <w:tcPr>
            <w:tcW w:w="1040" w:type="dxa"/>
            <w:vAlign w:val="bottom"/>
          </w:tcPr>
          <w:p>
            <w:pPr>
              <w:jc w:val="right"/>
              <w:ind w:right="21"/>
              <w:spacing w:after="0"/>
              <w:rPr>
                <w:sz w:val="20"/>
                <w:szCs w:val="20"/>
                <w:color w:val="auto"/>
              </w:rPr>
            </w:pPr>
            <w:r>
              <w:rPr>
                <w:rFonts w:ascii="Verdana" w:cs="Verdana" w:eastAsia="Verdana" w:hAnsi="Verdana"/>
                <w:sz w:val="16"/>
                <w:szCs w:val="16"/>
                <w:color w:val="auto"/>
              </w:rPr>
              <w:t>—</w:t>
            </w:r>
          </w:p>
        </w:tc>
        <w:tc>
          <w:tcPr>
            <w:tcW w:w="620" w:type="dxa"/>
            <w:vAlign w:val="bottom"/>
          </w:tcPr>
          <w:p>
            <w:pPr>
              <w:spacing w:after="0"/>
              <w:rPr>
                <w:sz w:val="20"/>
                <w:szCs w:val="20"/>
                <w:color w:val="auto"/>
              </w:rPr>
            </w:pPr>
          </w:p>
        </w:tc>
      </w:tr>
      <w:tr>
        <w:trPr>
          <w:trHeight w:val="236"/>
        </w:trPr>
        <w:tc>
          <w:tcPr>
            <w:tcW w:w="740" w:type="dxa"/>
            <w:vAlign w:val="bottom"/>
          </w:tcPr>
          <w:p>
            <w:pPr>
              <w:spacing w:after="0"/>
              <w:rPr>
                <w:sz w:val="20"/>
                <w:szCs w:val="20"/>
                <w:color w:val="auto"/>
              </w:rPr>
            </w:pPr>
          </w:p>
        </w:tc>
        <w:tc>
          <w:tcPr>
            <w:tcW w:w="6900" w:type="dxa"/>
            <w:vAlign w:val="bottom"/>
          </w:tcPr>
          <w:p>
            <w:pPr>
              <w:ind w:left="160"/>
              <w:spacing w:after="0"/>
              <w:rPr>
                <w:sz w:val="20"/>
                <w:szCs w:val="20"/>
                <w:color w:val="auto"/>
              </w:rPr>
            </w:pPr>
            <w:r>
              <w:rPr>
                <w:rFonts w:ascii="Verdana" w:cs="Verdana" w:eastAsia="Verdana" w:hAnsi="Verdana"/>
                <w:sz w:val="14"/>
                <w:szCs w:val="14"/>
                <w:color w:val="auto"/>
              </w:rPr>
              <w:t>Contributions related to formation of San Mateo</w:t>
            </w:r>
          </w:p>
        </w:tc>
        <w:tc>
          <w:tcPr>
            <w:tcW w:w="160" w:type="dxa"/>
            <w:vAlign w:val="bottom"/>
          </w:tcPr>
          <w:p>
            <w:pPr>
              <w:spacing w:after="0"/>
              <w:rPr>
                <w:sz w:val="20"/>
                <w:szCs w:val="20"/>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214E93"/>
              </w:rPr>
              <w:t>13,000</w:t>
            </w:r>
          </w:p>
        </w:tc>
        <w:tc>
          <w:tcPr>
            <w:tcW w:w="200" w:type="dxa"/>
            <w:vAlign w:val="bottom"/>
          </w:tcPr>
          <w:p>
            <w:pPr>
              <w:spacing w:after="0"/>
              <w:rPr>
                <w:sz w:val="20"/>
                <w:szCs w:val="20"/>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auto"/>
              </w:rPr>
              <w:t>23,800</w:t>
            </w:r>
          </w:p>
        </w:tc>
        <w:tc>
          <w:tcPr>
            <w:tcW w:w="1040" w:type="dxa"/>
            <w:vAlign w:val="bottom"/>
          </w:tcPr>
          <w:p>
            <w:pPr>
              <w:jc w:val="right"/>
              <w:ind w:right="21"/>
              <w:spacing w:after="0"/>
              <w:rPr>
                <w:sz w:val="20"/>
                <w:szCs w:val="20"/>
                <w:color w:val="auto"/>
              </w:rPr>
            </w:pPr>
            <w:r>
              <w:rPr>
                <w:rFonts w:ascii="Verdana" w:cs="Verdana" w:eastAsia="Verdana" w:hAnsi="Verdana"/>
                <w:sz w:val="16"/>
                <w:szCs w:val="16"/>
                <w:color w:val="auto"/>
              </w:rPr>
              <w:t>38,200</w:t>
            </w:r>
          </w:p>
        </w:tc>
        <w:tc>
          <w:tcPr>
            <w:tcW w:w="620" w:type="dxa"/>
            <w:vAlign w:val="bottom"/>
          </w:tcPr>
          <w:p>
            <w:pPr>
              <w:spacing w:after="0"/>
              <w:rPr>
                <w:sz w:val="20"/>
                <w:szCs w:val="20"/>
                <w:color w:val="auto"/>
              </w:rPr>
            </w:pPr>
          </w:p>
        </w:tc>
      </w:tr>
      <w:tr>
        <w:trPr>
          <w:trHeight w:val="236"/>
        </w:trPr>
        <w:tc>
          <w:tcPr>
            <w:tcW w:w="740" w:type="dxa"/>
            <w:vAlign w:val="bottom"/>
          </w:tcPr>
          <w:p>
            <w:pPr>
              <w:spacing w:after="0"/>
              <w:rPr>
                <w:sz w:val="20"/>
                <w:szCs w:val="20"/>
                <w:color w:val="auto"/>
              </w:rPr>
            </w:pPr>
          </w:p>
        </w:tc>
        <w:tc>
          <w:tcPr>
            <w:tcW w:w="6900" w:type="dxa"/>
            <w:vAlign w:val="bottom"/>
          </w:tcPr>
          <w:p>
            <w:pPr>
              <w:ind w:left="160"/>
              <w:spacing w:after="0"/>
              <w:rPr>
                <w:sz w:val="20"/>
                <w:szCs w:val="20"/>
                <w:color w:val="auto"/>
              </w:rPr>
            </w:pPr>
            <w:r>
              <w:rPr>
                <w:rFonts w:ascii="Verdana" w:cs="Verdana" w:eastAsia="Verdana" w:hAnsi="Verdana"/>
                <w:sz w:val="14"/>
                <w:szCs w:val="14"/>
                <w:color w:val="auto"/>
              </w:rPr>
              <w:t>Distributions to non-controlling interest owners of less-than-wholly-owned subsidiaries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Verdana" w:cs="Verdana" w:eastAsia="Verdana" w:hAnsi="Verdana"/>
                <w:sz w:val="16"/>
                <w:szCs w:val="16"/>
                <w:color w:val="214E93"/>
              </w:rPr>
              <w:t>(131,320)</w:t>
            </w:r>
          </w:p>
        </w:tc>
        <w:tc>
          <w:tcPr>
            <w:tcW w:w="20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Verdana" w:cs="Verdana" w:eastAsia="Verdana" w:hAnsi="Verdana"/>
                <w:sz w:val="16"/>
                <w:szCs w:val="16"/>
                <w:color w:val="auto"/>
              </w:rPr>
              <w:t>(97,461)</w:t>
            </w:r>
          </w:p>
        </w:tc>
        <w:tc>
          <w:tcPr>
            <w:tcW w:w="1040" w:type="dxa"/>
            <w:vAlign w:val="bottom"/>
          </w:tcPr>
          <w:p>
            <w:pPr>
              <w:jc w:val="right"/>
              <w:spacing w:after="0"/>
              <w:rPr>
                <w:sz w:val="20"/>
                <w:szCs w:val="20"/>
                <w:color w:val="auto"/>
              </w:rPr>
            </w:pPr>
            <w:r>
              <w:rPr>
                <w:rFonts w:ascii="Verdana" w:cs="Verdana" w:eastAsia="Verdana" w:hAnsi="Verdana"/>
                <w:sz w:val="16"/>
                <w:szCs w:val="16"/>
                <w:color w:val="auto"/>
              </w:rPr>
              <w:t>(78,253)</w:t>
            </w:r>
          </w:p>
        </w:tc>
        <w:tc>
          <w:tcPr>
            <w:tcW w:w="620" w:type="dxa"/>
            <w:vAlign w:val="bottom"/>
          </w:tcPr>
          <w:p>
            <w:pPr>
              <w:spacing w:after="0"/>
              <w:rPr>
                <w:sz w:val="20"/>
                <w:szCs w:val="20"/>
                <w:color w:val="auto"/>
              </w:rPr>
            </w:pPr>
          </w:p>
        </w:tc>
      </w:tr>
      <w:tr>
        <w:trPr>
          <w:trHeight w:val="236"/>
        </w:trPr>
        <w:tc>
          <w:tcPr>
            <w:tcW w:w="740" w:type="dxa"/>
            <w:vAlign w:val="bottom"/>
          </w:tcPr>
          <w:p>
            <w:pPr>
              <w:spacing w:after="0"/>
              <w:rPr>
                <w:sz w:val="20"/>
                <w:szCs w:val="20"/>
                <w:color w:val="auto"/>
              </w:rPr>
            </w:pPr>
          </w:p>
        </w:tc>
        <w:tc>
          <w:tcPr>
            <w:tcW w:w="6900" w:type="dxa"/>
            <w:vAlign w:val="bottom"/>
          </w:tcPr>
          <w:p>
            <w:pPr>
              <w:ind w:left="160"/>
              <w:spacing w:after="0"/>
              <w:rPr>
                <w:sz w:val="20"/>
                <w:szCs w:val="20"/>
                <w:color w:val="auto"/>
              </w:rPr>
            </w:pPr>
            <w:r>
              <w:rPr>
                <w:rFonts w:ascii="Verdana" w:cs="Verdana" w:eastAsia="Verdana" w:hAnsi="Verdana"/>
                <w:sz w:val="14"/>
                <w:szCs w:val="14"/>
                <w:color w:val="auto"/>
              </w:rPr>
              <w:t>Taxes paid related to net share settlement of stock-based compensation</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Verdana" w:cs="Verdana" w:eastAsia="Verdana" w:hAnsi="Verdana"/>
                <w:sz w:val="16"/>
                <w:szCs w:val="16"/>
                <w:color w:val="214E93"/>
              </w:rPr>
              <w:t>(11,960)</w:t>
            </w:r>
          </w:p>
        </w:tc>
        <w:tc>
          <w:tcPr>
            <w:tcW w:w="20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Verdana" w:cs="Verdana" w:eastAsia="Verdana" w:hAnsi="Verdana"/>
                <w:sz w:val="16"/>
                <w:szCs w:val="16"/>
                <w:color w:val="auto"/>
              </w:rPr>
              <w:t>(16,956)</w:t>
            </w:r>
          </w:p>
        </w:tc>
        <w:tc>
          <w:tcPr>
            <w:tcW w:w="1040" w:type="dxa"/>
            <w:vAlign w:val="bottom"/>
          </w:tcPr>
          <w:p>
            <w:pPr>
              <w:jc w:val="right"/>
              <w:spacing w:after="0"/>
              <w:rPr>
                <w:sz w:val="20"/>
                <w:szCs w:val="20"/>
                <w:color w:val="auto"/>
              </w:rPr>
            </w:pPr>
            <w:r>
              <w:rPr>
                <w:rFonts w:ascii="Verdana" w:cs="Verdana" w:eastAsia="Verdana" w:hAnsi="Verdana"/>
                <w:sz w:val="16"/>
                <w:szCs w:val="16"/>
                <w:color w:val="auto"/>
              </w:rPr>
              <w:t>(22,910)</w:t>
            </w:r>
          </w:p>
        </w:tc>
        <w:tc>
          <w:tcPr>
            <w:tcW w:w="620" w:type="dxa"/>
            <w:vAlign w:val="bottom"/>
          </w:tcPr>
          <w:p>
            <w:pPr>
              <w:spacing w:after="0"/>
              <w:rPr>
                <w:sz w:val="20"/>
                <w:szCs w:val="20"/>
                <w:color w:val="auto"/>
              </w:rPr>
            </w:pPr>
          </w:p>
        </w:tc>
      </w:tr>
      <w:tr>
        <w:trPr>
          <w:trHeight w:val="236"/>
        </w:trPr>
        <w:tc>
          <w:tcPr>
            <w:tcW w:w="740" w:type="dxa"/>
            <w:vAlign w:val="bottom"/>
          </w:tcPr>
          <w:p>
            <w:pPr>
              <w:spacing w:after="0"/>
              <w:rPr>
                <w:sz w:val="20"/>
                <w:szCs w:val="20"/>
                <w:color w:val="auto"/>
              </w:rPr>
            </w:pPr>
          </w:p>
        </w:tc>
        <w:tc>
          <w:tcPr>
            <w:tcW w:w="6900" w:type="dxa"/>
            <w:vAlign w:val="bottom"/>
          </w:tcPr>
          <w:p>
            <w:pPr>
              <w:ind w:left="160"/>
              <w:spacing w:after="0"/>
              <w:rPr>
                <w:sz w:val="20"/>
                <w:szCs w:val="20"/>
                <w:color w:val="auto"/>
              </w:rPr>
            </w:pPr>
            <w:r>
              <w:rPr>
                <w:rFonts w:ascii="Verdana" w:cs="Verdana" w:eastAsia="Verdana" w:hAnsi="Verdana"/>
                <w:sz w:val="14"/>
                <w:szCs w:val="14"/>
                <w:color w:val="auto"/>
              </w:rPr>
              <w:t>Proceeds from issuance of senior unsecured notes</w:t>
            </w:r>
          </w:p>
        </w:tc>
        <w:tc>
          <w:tcPr>
            <w:tcW w:w="160" w:type="dxa"/>
            <w:vAlign w:val="bottom"/>
          </w:tcPr>
          <w:p>
            <w:pPr>
              <w:spacing w:after="0"/>
              <w:rPr>
                <w:sz w:val="20"/>
                <w:szCs w:val="20"/>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214E93"/>
              </w:rPr>
              <w:t>—</w:t>
            </w:r>
          </w:p>
        </w:tc>
        <w:tc>
          <w:tcPr>
            <w:tcW w:w="1100" w:type="dxa"/>
            <w:vAlign w:val="bottom"/>
            <w:gridSpan w:val="2"/>
          </w:tcPr>
          <w:p>
            <w:pPr>
              <w:jc w:val="right"/>
              <w:ind w:right="62"/>
              <w:spacing w:after="0"/>
              <w:rPr>
                <w:sz w:val="20"/>
                <w:szCs w:val="20"/>
                <w:color w:val="auto"/>
              </w:rPr>
            </w:pPr>
            <w:r>
              <w:rPr>
                <w:rFonts w:ascii="Verdana" w:cs="Verdana" w:eastAsia="Verdana" w:hAnsi="Verdana"/>
                <w:sz w:val="16"/>
                <w:szCs w:val="16"/>
                <w:color w:val="auto"/>
              </w:rPr>
              <w:t>1,650,000</w:t>
            </w:r>
          </w:p>
        </w:tc>
        <w:tc>
          <w:tcPr>
            <w:tcW w:w="1040" w:type="dxa"/>
            <w:vAlign w:val="bottom"/>
          </w:tcPr>
          <w:p>
            <w:pPr>
              <w:jc w:val="right"/>
              <w:ind w:right="21"/>
              <w:spacing w:after="0"/>
              <w:rPr>
                <w:sz w:val="20"/>
                <w:szCs w:val="20"/>
                <w:color w:val="auto"/>
              </w:rPr>
            </w:pPr>
            <w:r>
              <w:rPr>
                <w:rFonts w:ascii="Verdana" w:cs="Verdana" w:eastAsia="Verdana" w:hAnsi="Verdana"/>
                <w:sz w:val="16"/>
                <w:szCs w:val="16"/>
                <w:color w:val="auto"/>
              </w:rPr>
              <w:t>494,800</w:t>
            </w:r>
          </w:p>
        </w:tc>
        <w:tc>
          <w:tcPr>
            <w:tcW w:w="620" w:type="dxa"/>
            <w:vAlign w:val="bottom"/>
          </w:tcPr>
          <w:p>
            <w:pPr>
              <w:spacing w:after="0"/>
              <w:rPr>
                <w:sz w:val="20"/>
                <w:szCs w:val="20"/>
                <w:color w:val="auto"/>
              </w:rPr>
            </w:pPr>
          </w:p>
        </w:tc>
      </w:tr>
      <w:tr>
        <w:trPr>
          <w:trHeight w:val="236"/>
        </w:trPr>
        <w:tc>
          <w:tcPr>
            <w:tcW w:w="740" w:type="dxa"/>
            <w:vAlign w:val="bottom"/>
          </w:tcPr>
          <w:p>
            <w:pPr>
              <w:spacing w:after="0"/>
              <w:rPr>
                <w:sz w:val="20"/>
                <w:szCs w:val="20"/>
                <w:color w:val="auto"/>
              </w:rPr>
            </w:pPr>
          </w:p>
        </w:tc>
        <w:tc>
          <w:tcPr>
            <w:tcW w:w="6900" w:type="dxa"/>
            <w:vAlign w:val="bottom"/>
          </w:tcPr>
          <w:p>
            <w:pPr>
              <w:ind w:left="160"/>
              <w:spacing w:after="0"/>
              <w:rPr>
                <w:sz w:val="20"/>
                <w:szCs w:val="20"/>
                <w:color w:val="auto"/>
              </w:rPr>
            </w:pPr>
            <w:r>
              <w:rPr>
                <w:rFonts w:ascii="Verdana" w:cs="Verdana" w:eastAsia="Verdana" w:hAnsi="Verdana"/>
                <w:sz w:val="14"/>
                <w:szCs w:val="14"/>
                <w:color w:val="auto"/>
              </w:rPr>
              <w:t>Purchase of senior unsecured notes</w:t>
            </w:r>
          </w:p>
        </w:tc>
        <w:tc>
          <w:tcPr>
            <w:tcW w:w="160" w:type="dxa"/>
            <w:vAlign w:val="bottom"/>
          </w:tcPr>
          <w:p>
            <w:pPr>
              <w:spacing w:after="0"/>
              <w:rPr>
                <w:sz w:val="20"/>
                <w:szCs w:val="20"/>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214E93"/>
              </w:rPr>
              <w:t>—</w:t>
            </w:r>
          </w:p>
        </w:tc>
        <w:tc>
          <w:tcPr>
            <w:tcW w:w="20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Verdana" w:cs="Verdana" w:eastAsia="Verdana" w:hAnsi="Verdana"/>
                <w:sz w:val="16"/>
                <w:szCs w:val="16"/>
                <w:color w:val="auto"/>
                <w:w w:val="98"/>
              </w:rPr>
              <w:t>(699,191)</w:t>
            </w:r>
          </w:p>
        </w:tc>
        <w:tc>
          <w:tcPr>
            <w:tcW w:w="1040" w:type="dxa"/>
            <w:vAlign w:val="bottom"/>
          </w:tcPr>
          <w:p>
            <w:pPr>
              <w:jc w:val="right"/>
              <w:ind w:right="21"/>
              <w:spacing w:after="0"/>
              <w:rPr>
                <w:sz w:val="20"/>
                <w:szCs w:val="20"/>
                <w:color w:val="auto"/>
              </w:rPr>
            </w:pPr>
            <w:r>
              <w:rPr>
                <w:rFonts w:ascii="Verdana" w:cs="Verdana" w:eastAsia="Verdana" w:hAnsi="Verdana"/>
                <w:sz w:val="16"/>
                <w:szCs w:val="16"/>
                <w:color w:val="auto"/>
              </w:rPr>
              <w:t>—</w:t>
            </w:r>
          </w:p>
        </w:tc>
        <w:tc>
          <w:tcPr>
            <w:tcW w:w="620" w:type="dxa"/>
            <w:vAlign w:val="bottom"/>
          </w:tcPr>
          <w:p>
            <w:pPr>
              <w:spacing w:after="0"/>
              <w:rPr>
                <w:sz w:val="20"/>
                <w:szCs w:val="20"/>
                <w:color w:val="auto"/>
              </w:rPr>
            </w:pPr>
          </w:p>
        </w:tc>
      </w:tr>
      <w:tr>
        <w:trPr>
          <w:trHeight w:val="236"/>
        </w:trPr>
        <w:tc>
          <w:tcPr>
            <w:tcW w:w="740" w:type="dxa"/>
            <w:vAlign w:val="bottom"/>
          </w:tcPr>
          <w:p>
            <w:pPr>
              <w:spacing w:after="0"/>
              <w:rPr>
                <w:sz w:val="20"/>
                <w:szCs w:val="20"/>
                <w:color w:val="auto"/>
              </w:rPr>
            </w:pPr>
          </w:p>
        </w:tc>
        <w:tc>
          <w:tcPr>
            <w:tcW w:w="6900" w:type="dxa"/>
            <w:vAlign w:val="bottom"/>
          </w:tcPr>
          <w:p>
            <w:pPr>
              <w:ind w:left="160"/>
              <w:spacing w:after="0"/>
              <w:rPr>
                <w:sz w:val="20"/>
                <w:szCs w:val="20"/>
                <w:color w:val="auto"/>
              </w:rPr>
            </w:pPr>
            <w:r>
              <w:rPr>
                <w:rFonts w:ascii="Verdana" w:cs="Verdana" w:eastAsia="Verdana" w:hAnsi="Verdana"/>
                <w:sz w:val="14"/>
                <w:szCs w:val="14"/>
                <w:color w:val="auto"/>
              </w:rPr>
              <w:t>Issuance costs of senior unsecured notes</w:t>
            </w:r>
          </w:p>
        </w:tc>
        <w:tc>
          <w:tcPr>
            <w:tcW w:w="160" w:type="dxa"/>
            <w:vAlign w:val="bottom"/>
          </w:tcPr>
          <w:p>
            <w:pPr>
              <w:spacing w:after="0"/>
              <w:rPr>
                <w:sz w:val="20"/>
                <w:szCs w:val="20"/>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214E93"/>
              </w:rPr>
              <w:t>—</w:t>
            </w:r>
          </w:p>
        </w:tc>
        <w:tc>
          <w:tcPr>
            <w:tcW w:w="20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Verdana" w:cs="Verdana" w:eastAsia="Verdana" w:hAnsi="Verdana"/>
                <w:sz w:val="16"/>
                <w:szCs w:val="16"/>
                <w:color w:val="auto"/>
              </w:rPr>
              <w:t>(28,157)</w:t>
            </w:r>
          </w:p>
        </w:tc>
        <w:tc>
          <w:tcPr>
            <w:tcW w:w="1040" w:type="dxa"/>
            <w:vAlign w:val="bottom"/>
          </w:tcPr>
          <w:p>
            <w:pPr>
              <w:jc w:val="right"/>
              <w:spacing w:after="0"/>
              <w:rPr>
                <w:sz w:val="20"/>
                <w:szCs w:val="20"/>
                <w:color w:val="auto"/>
              </w:rPr>
            </w:pPr>
            <w:r>
              <w:rPr>
                <w:rFonts w:ascii="Verdana" w:cs="Verdana" w:eastAsia="Verdana" w:hAnsi="Verdana"/>
                <w:sz w:val="16"/>
                <w:szCs w:val="16"/>
                <w:color w:val="auto"/>
              </w:rPr>
              <w:t>(8,503)</w:t>
            </w:r>
          </w:p>
        </w:tc>
        <w:tc>
          <w:tcPr>
            <w:tcW w:w="620" w:type="dxa"/>
            <w:vAlign w:val="bottom"/>
          </w:tcPr>
          <w:p>
            <w:pPr>
              <w:spacing w:after="0"/>
              <w:rPr>
                <w:sz w:val="20"/>
                <w:szCs w:val="20"/>
                <w:color w:val="auto"/>
              </w:rPr>
            </w:pPr>
          </w:p>
        </w:tc>
      </w:tr>
      <w:tr>
        <w:trPr>
          <w:trHeight w:val="236"/>
        </w:trPr>
        <w:tc>
          <w:tcPr>
            <w:tcW w:w="740" w:type="dxa"/>
            <w:vAlign w:val="bottom"/>
          </w:tcPr>
          <w:p>
            <w:pPr>
              <w:spacing w:after="0"/>
              <w:rPr>
                <w:sz w:val="20"/>
                <w:szCs w:val="20"/>
                <w:color w:val="auto"/>
              </w:rPr>
            </w:pPr>
          </w:p>
        </w:tc>
        <w:tc>
          <w:tcPr>
            <w:tcW w:w="6900" w:type="dxa"/>
            <w:vAlign w:val="bottom"/>
          </w:tcPr>
          <w:p>
            <w:pPr>
              <w:ind w:left="160"/>
              <w:spacing w:after="0"/>
              <w:rPr>
                <w:sz w:val="20"/>
                <w:szCs w:val="20"/>
                <w:color w:val="auto"/>
              </w:rPr>
            </w:pPr>
            <w:r>
              <w:rPr>
                <w:rFonts w:ascii="Verdana" w:cs="Verdana" w:eastAsia="Verdana" w:hAnsi="Verdana"/>
                <w:sz w:val="14"/>
                <w:szCs w:val="14"/>
                <w:color w:val="auto"/>
              </w:rPr>
              <w:t>Proceeds from issuance of common stock</w:t>
            </w:r>
          </w:p>
        </w:tc>
        <w:tc>
          <w:tcPr>
            <w:tcW w:w="160" w:type="dxa"/>
            <w:vAlign w:val="bottom"/>
          </w:tcPr>
          <w:p>
            <w:pPr>
              <w:spacing w:after="0"/>
              <w:rPr>
                <w:sz w:val="20"/>
                <w:szCs w:val="20"/>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214E93"/>
              </w:rPr>
              <w:t>—</w:t>
            </w:r>
          </w:p>
        </w:tc>
        <w:tc>
          <w:tcPr>
            <w:tcW w:w="200" w:type="dxa"/>
            <w:vAlign w:val="bottom"/>
          </w:tcPr>
          <w:p>
            <w:pPr>
              <w:spacing w:after="0"/>
              <w:rPr>
                <w:sz w:val="20"/>
                <w:szCs w:val="20"/>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auto"/>
              </w:rPr>
              <w:t>344,663</w:t>
            </w:r>
          </w:p>
        </w:tc>
        <w:tc>
          <w:tcPr>
            <w:tcW w:w="1040" w:type="dxa"/>
            <w:vAlign w:val="bottom"/>
          </w:tcPr>
          <w:p>
            <w:pPr>
              <w:jc w:val="right"/>
              <w:ind w:right="21"/>
              <w:spacing w:after="0"/>
              <w:rPr>
                <w:sz w:val="20"/>
                <w:szCs w:val="20"/>
                <w:color w:val="auto"/>
              </w:rPr>
            </w:pPr>
            <w:r>
              <w:rPr>
                <w:rFonts w:ascii="Verdana" w:cs="Verdana" w:eastAsia="Verdana" w:hAnsi="Verdana"/>
                <w:sz w:val="16"/>
                <w:szCs w:val="16"/>
                <w:color w:val="auto"/>
              </w:rPr>
              <w:t>—</w:t>
            </w:r>
          </w:p>
        </w:tc>
        <w:tc>
          <w:tcPr>
            <w:tcW w:w="620" w:type="dxa"/>
            <w:vAlign w:val="bottom"/>
          </w:tcPr>
          <w:p>
            <w:pPr>
              <w:spacing w:after="0"/>
              <w:rPr>
                <w:sz w:val="20"/>
                <w:szCs w:val="20"/>
                <w:color w:val="auto"/>
              </w:rPr>
            </w:pPr>
          </w:p>
        </w:tc>
      </w:tr>
      <w:tr>
        <w:trPr>
          <w:trHeight w:val="236"/>
        </w:trPr>
        <w:tc>
          <w:tcPr>
            <w:tcW w:w="740" w:type="dxa"/>
            <w:vAlign w:val="bottom"/>
          </w:tcPr>
          <w:p>
            <w:pPr>
              <w:spacing w:after="0"/>
              <w:rPr>
                <w:sz w:val="20"/>
                <w:szCs w:val="20"/>
                <w:color w:val="auto"/>
              </w:rPr>
            </w:pPr>
          </w:p>
        </w:tc>
        <w:tc>
          <w:tcPr>
            <w:tcW w:w="6900" w:type="dxa"/>
            <w:vAlign w:val="bottom"/>
          </w:tcPr>
          <w:p>
            <w:pPr>
              <w:ind w:left="160"/>
              <w:spacing w:after="0"/>
              <w:rPr>
                <w:sz w:val="20"/>
                <w:szCs w:val="20"/>
                <w:color w:val="auto"/>
              </w:rPr>
            </w:pPr>
            <w:r>
              <w:rPr>
                <w:rFonts w:ascii="Verdana" w:cs="Verdana" w:eastAsia="Verdana" w:hAnsi="Verdana"/>
                <w:sz w:val="14"/>
                <w:szCs w:val="14"/>
                <w:color w:val="auto"/>
              </w:rPr>
              <w:t>Contribution related to Pronto Transaction</w:t>
            </w:r>
          </w:p>
        </w:tc>
        <w:tc>
          <w:tcPr>
            <w:tcW w:w="160" w:type="dxa"/>
            <w:vAlign w:val="bottom"/>
          </w:tcPr>
          <w:p>
            <w:pPr>
              <w:spacing w:after="0"/>
              <w:rPr>
                <w:sz w:val="20"/>
                <w:szCs w:val="20"/>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214E93"/>
              </w:rPr>
              <w:t>—</w:t>
            </w:r>
          </w:p>
        </w:tc>
        <w:tc>
          <w:tcPr>
            <w:tcW w:w="200" w:type="dxa"/>
            <w:vAlign w:val="bottom"/>
          </w:tcPr>
          <w:p>
            <w:pPr>
              <w:spacing w:after="0"/>
              <w:rPr>
                <w:sz w:val="20"/>
                <w:szCs w:val="20"/>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auto"/>
              </w:rPr>
              <w:t>171,500</w:t>
            </w:r>
          </w:p>
        </w:tc>
        <w:tc>
          <w:tcPr>
            <w:tcW w:w="1040" w:type="dxa"/>
            <w:vAlign w:val="bottom"/>
          </w:tcPr>
          <w:p>
            <w:pPr>
              <w:jc w:val="right"/>
              <w:ind w:right="21"/>
              <w:spacing w:after="0"/>
              <w:rPr>
                <w:sz w:val="20"/>
                <w:szCs w:val="20"/>
                <w:color w:val="auto"/>
              </w:rPr>
            </w:pPr>
            <w:r>
              <w:rPr>
                <w:rFonts w:ascii="Verdana" w:cs="Verdana" w:eastAsia="Verdana" w:hAnsi="Verdana"/>
                <w:sz w:val="16"/>
                <w:szCs w:val="16"/>
                <w:color w:val="auto"/>
              </w:rPr>
              <w:t>—</w:t>
            </w:r>
          </w:p>
        </w:tc>
        <w:tc>
          <w:tcPr>
            <w:tcW w:w="620" w:type="dxa"/>
            <w:vAlign w:val="bottom"/>
          </w:tcPr>
          <w:p>
            <w:pPr>
              <w:spacing w:after="0"/>
              <w:rPr>
                <w:sz w:val="20"/>
                <w:szCs w:val="20"/>
                <w:color w:val="auto"/>
              </w:rPr>
            </w:pPr>
          </w:p>
        </w:tc>
      </w:tr>
      <w:tr>
        <w:trPr>
          <w:trHeight w:val="236"/>
        </w:trPr>
        <w:tc>
          <w:tcPr>
            <w:tcW w:w="740" w:type="dxa"/>
            <w:vAlign w:val="bottom"/>
          </w:tcPr>
          <w:p>
            <w:pPr>
              <w:spacing w:after="0"/>
              <w:rPr>
                <w:sz w:val="20"/>
                <w:szCs w:val="20"/>
                <w:color w:val="auto"/>
              </w:rPr>
            </w:pPr>
          </w:p>
        </w:tc>
        <w:tc>
          <w:tcPr>
            <w:tcW w:w="6900" w:type="dxa"/>
            <w:vAlign w:val="bottom"/>
          </w:tcPr>
          <w:p>
            <w:pPr>
              <w:ind w:left="160"/>
              <w:spacing w:after="0"/>
              <w:rPr>
                <w:sz w:val="20"/>
                <w:szCs w:val="20"/>
                <w:color w:val="auto"/>
              </w:rPr>
            </w:pPr>
            <w:r>
              <w:rPr>
                <w:rFonts w:ascii="Verdana" w:cs="Verdana" w:eastAsia="Verdana" w:hAnsi="Verdana"/>
                <w:sz w:val="14"/>
                <w:szCs w:val="14"/>
                <w:color w:val="auto"/>
              </w:rPr>
              <w:t>Contributions from non-controlling interest owners of less-than-wholly-owned subsidiaries</w:t>
            </w:r>
          </w:p>
        </w:tc>
        <w:tc>
          <w:tcPr>
            <w:tcW w:w="160" w:type="dxa"/>
            <w:vAlign w:val="bottom"/>
          </w:tcPr>
          <w:p>
            <w:pPr>
              <w:spacing w:after="0"/>
              <w:rPr>
                <w:sz w:val="20"/>
                <w:szCs w:val="20"/>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214E93"/>
              </w:rPr>
              <w:t>—</w:t>
            </w:r>
          </w:p>
        </w:tc>
        <w:tc>
          <w:tcPr>
            <w:tcW w:w="200" w:type="dxa"/>
            <w:vAlign w:val="bottom"/>
          </w:tcPr>
          <w:p>
            <w:pPr>
              <w:spacing w:after="0"/>
              <w:rPr>
                <w:sz w:val="20"/>
                <w:szCs w:val="20"/>
                <w:color w:val="auto"/>
              </w:rPr>
            </w:pPr>
          </w:p>
        </w:tc>
        <w:tc>
          <w:tcPr>
            <w:tcW w:w="900" w:type="dxa"/>
            <w:vAlign w:val="bottom"/>
          </w:tcPr>
          <w:p>
            <w:pPr>
              <w:jc w:val="right"/>
              <w:ind w:right="62"/>
              <w:spacing w:after="0"/>
              <w:rPr>
                <w:sz w:val="20"/>
                <w:szCs w:val="20"/>
                <w:color w:val="auto"/>
              </w:rPr>
            </w:pPr>
            <w:r>
              <w:rPr>
                <w:rFonts w:ascii="Verdana" w:cs="Verdana" w:eastAsia="Verdana" w:hAnsi="Verdana"/>
                <w:sz w:val="16"/>
                <w:szCs w:val="16"/>
                <w:color w:val="auto"/>
              </w:rPr>
              <w:t>19,110</w:t>
            </w:r>
          </w:p>
        </w:tc>
        <w:tc>
          <w:tcPr>
            <w:tcW w:w="1040" w:type="dxa"/>
            <w:vAlign w:val="bottom"/>
          </w:tcPr>
          <w:p>
            <w:pPr>
              <w:jc w:val="right"/>
              <w:ind w:right="21"/>
              <w:spacing w:after="0"/>
              <w:rPr>
                <w:sz w:val="20"/>
                <w:szCs w:val="20"/>
                <w:color w:val="auto"/>
              </w:rPr>
            </w:pPr>
            <w:r>
              <w:rPr>
                <w:rFonts w:ascii="Verdana" w:cs="Verdana" w:eastAsia="Verdana" w:hAnsi="Verdana"/>
                <w:sz w:val="16"/>
                <w:szCs w:val="16"/>
                <w:color w:val="auto"/>
              </w:rPr>
              <w:t>24,500</w:t>
            </w:r>
          </w:p>
        </w:tc>
        <w:tc>
          <w:tcPr>
            <w:tcW w:w="620" w:type="dxa"/>
            <w:vAlign w:val="bottom"/>
          </w:tcPr>
          <w:p>
            <w:pPr>
              <w:spacing w:after="0"/>
              <w:rPr>
                <w:sz w:val="20"/>
                <w:szCs w:val="20"/>
                <w:color w:val="auto"/>
              </w:rPr>
            </w:pPr>
          </w:p>
        </w:tc>
      </w:tr>
      <w:tr>
        <w:trPr>
          <w:trHeight w:val="242"/>
        </w:trPr>
        <w:tc>
          <w:tcPr>
            <w:tcW w:w="740" w:type="dxa"/>
            <w:vAlign w:val="bottom"/>
          </w:tcPr>
          <w:p>
            <w:pPr>
              <w:spacing w:after="0"/>
              <w:rPr>
                <w:sz w:val="21"/>
                <w:szCs w:val="21"/>
                <w:color w:val="auto"/>
              </w:rPr>
            </w:pPr>
          </w:p>
        </w:tc>
        <w:tc>
          <w:tcPr>
            <w:tcW w:w="6900" w:type="dxa"/>
            <w:vAlign w:val="bottom"/>
            <w:tcBorders>
              <w:bottom w:val="single" w:sz="8" w:color="auto"/>
            </w:tcBorders>
          </w:tcPr>
          <w:p>
            <w:pPr>
              <w:ind w:left="160"/>
              <w:spacing w:after="0"/>
              <w:rPr>
                <w:sz w:val="20"/>
                <w:szCs w:val="20"/>
                <w:color w:val="auto"/>
              </w:rPr>
            </w:pPr>
            <w:r>
              <w:rPr>
                <w:rFonts w:ascii="Verdana" w:cs="Verdana" w:eastAsia="Verdana" w:hAnsi="Verdana"/>
                <w:sz w:val="14"/>
                <w:szCs w:val="14"/>
                <w:color w:val="auto"/>
              </w:rPr>
              <w:t>Other</w:t>
            </w: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214E93"/>
              </w:rPr>
              <w:t>(1,467)</w:t>
            </w: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auto"/>
              </w:rPr>
              <w:t>(3,823)</w:t>
            </w:r>
          </w:p>
        </w:tc>
        <w:tc>
          <w:tcPr>
            <w:tcW w:w="10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(16,031)</w:t>
            </w:r>
          </w:p>
        </w:tc>
        <w:tc>
          <w:tcPr>
            <w:tcW w:w="620" w:type="dxa"/>
            <w:vAlign w:val="bottom"/>
          </w:tcPr>
          <w:p>
            <w:pPr>
              <w:spacing w:after="0"/>
              <w:rPr>
                <w:sz w:val="21"/>
                <w:szCs w:val="21"/>
                <w:color w:val="auto"/>
              </w:rPr>
            </w:pPr>
          </w:p>
        </w:tc>
      </w:tr>
      <w:tr>
        <w:trPr>
          <w:trHeight w:val="216"/>
        </w:trPr>
        <w:tc>
          <w:tcPr>
            <w:tcW w:w="740" w:type="dxa"/>
            <w:vAlign w:val="bottom"/>
          </w:tcPr>
          <w:p>
            <w:pPr>
              <w:spacing w:after="0"/>
              <w:rPr>
                <w:sz w:val="18"/>
                <w:szCs w:val="18"/>
                <w:color w:val="auto"/>
              </w:rPr>
            </w:pPr>
          </w:p>
        </w:tc>
        <w:tc>
          <w:tcPr>
            <w:tcW w:w="6900" w:type="dxa"/>
            <w:vAlign w:val="bottom"/>
            <w:tcBorders>
              <w:bottom w:val="single" w:sz="8" w:color="auto"/>
            </w:tcBorders>
          </w:tcPr>
          <w:p>
            <w:pPr>
              <w:ind w:left="400"/>
              <w:spacing w:after="0"/>
              <w:rPr>
                <w:sz w:val="20"/>
                <w:szCs w:val="20"/>
                <w:color w:val="auto"/>
              </w:rPr>
            </w:pPr>
            <w:r>
              <w:rPr>
                <w:rFonts w:ascii="Verdana" w:cs="Verdana" w:eastAsia="Verdana" w:hAnsi="Verdana"/>
                <w:sz w:val="14"/>
                <w:szCs w:val="14"/>
                <w:color w:val="auto"/>
              </w:rPr>
              <w:t>Net cash (used in) provided by financing activities</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214E93"/>
              </w:rPr>
              <w:t>(282,598)</w:t>
            </w:r>
          </w:p>
        </w:tc>
        <w:tc>
          <w:tcPr>
            <w:tcW w:w="1100" w:type="dxa"/>
            <w:vAlign w:val="bottom"/>
            <w:tcBorders>
              <w:bottom w:val="single" w:sz="8" w:color="auto"/>
            </w:tcBorders>
            <w:gridSpan w:val="2"/>
          </w:tcPr>
          <w:p>
            <w:pPr>
              <w:jc w:val="right"/>
              <w:ind w:right="62"/>
              <w:spacing w:after="0"/>
              <w:rPr>
                <w:sz w:val="20"/>
                <w:szCs w:val="20"/>
                <w:color w:val="auto"/>
              </w:rPr>
            </w:pPr>
            <w:r>
              <w:rPr>
                <w:rFonts w:ascii="Verdana" w:cs="Verdana" w:eastAsia="Verdana" w:hAnsi="Verdana"/>
                <w:sz w:val="16"/>
                <w:szCs w:val="16"/>
                <w:color w:val="auto"/>
              </w:rPr>
              <w:t>1,413,673</w:t>
            </w:r>
          </w:p>
        </w:tc>
        <w:tc>
          <w:tcPr>
            <w:tcW w:w="1040" w:type="dxa"/>
            <w:vAlign w:val="bottom"/>
            <w:tcBorders>
              <w:bottom w:val="single" w:sz="8" w:color="auto"/>
            </w:tcBorders>
          </w:tcPr>
          <w:p>
            <w:pPr>
              <w:jc w:val="right"/>
              <w:ind w:right="21"/>
              <w:spacing w:after="0"/>
              <w:rPr>
                <w:sz w:val="20"/>
                <w:szCs w:val="20"/>
                <w:color w:val="auto"/>
              </w:rPr>
            </w:pPr>
            <w:r>
              <w:rPr>
                <w:rFonts w:ascii="Verdana" w:cs="Verdana" w:eastAsia="Verdana" w:hAnsi="Verdana"/>
                <w:sz w:val="16"/>
                <w:szCs w:val="16"/>
                <w:color w:val="auto"/>
              </w:rPr>
              <w:t>902,332</w:t>
            </w:r>
          </w:p>
        </w:tc>
        <w:tc>
          <w:tcPr>
            <w:tcW w:w="620" w:type="dxa"/>
            <w:vAlign w:val="bottom"/>
          </w:tcPr>
          <w:p>
            <w:pPr>
              <w:spacing w:after="0"/>
              <w:rPr>
                <w:sz w:val="18"/>
                <w:szCs w:val="18"/>
                <w:color w:val="auto"/>
              </w:rPr>
            </w:pPr>
          </w:p>
        </w:tc>
      </w:tr>
      <w:tr>
        <w:trPr>
          <w:trHeight w:val="211"/>
        </w:trPr>
        <w:tc>
          <w:tcPr>
            <w:tcW w:w="740" w:type="dxa"/>
            <w:vAlign w:val="bottom"/>
          </w:tcPr>
          <w:p>
            <w:pPr>
              <w:spacing w:after="0"/>
              <w:rPr>
                <w:sz w:val="18"/>
                <w:szCs w:val="18"/>
                <w:color w:val="auto"/>
              </w:rPr>
            </w:pPr>
          </w:p>
        </w:tc>
        <w:tc>
          <w:tcPr>
            <w:tcW w:w="6900" w:type="dxa"/>
            <w:vAlign w:val="bottom"/>
          </w:tcPr>
          <w:p>
            <w:pPr>
              <w:ind w:left="40"/>
              <w:spacing w:after="0"/>
              <w:rPr>
                <w:sz w:val="20"/>
                <w:szCs w:val="20"/>
                <w:color w:val="auto"/>
              </w:rPr>
            </w:pPr>
            <w:r>
              <w:rPr>
                <w:rFonts w:ascii="Verdana" w:cs="Verdana" w:eastAsia="Verdana" w:hAnsi="Verdana"/>
                <w:sz w:val="14"/>
                <w:szCs w:val="14"/>
                <w:color w:val="auto"/>
              </w:rPr>
              <w:t>Decrease in cash and restricted cash</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Verdana" w:cs="Verdana" w:eastAsia="Verdana" w:hAnsi="Verdana"/>
                <w:sz w:val="16"/>
                <w:szCs w:val="16"/>
                <w:color w:val="214E93"/>
              </w:rPr>
              <w:t>(15,265)</w:t>
            </w:r>
          </w:p>
        </w:tc>
        <w:tc>
          <w:tcPr>
            <w:tcW w:w="20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Verdana" w:cs="Verdana" w:eastAsia="Verdana" w:hAnsi="Verdana"/>
                <w:sz w:val="16"/>
                <w:szCs w:val="16"/>
                <w:color w:val="auto"/>
              </w:rPr>
              <w:t>(11,556)</w:t>
            </w:r>
          </w:p>
        </w:tc>
        <w:tc>
          <w:tcPr>
            <w:tcW w:w="1040" w:type="dxa"/>
            <w:vAlign w:val="bottom"/>
          </w:tcPr>
          <w:p>
            <w:pPr>
              <w:jc w:val="right"/>
              <w:spacing w:after="0"/>
              <w:rPr>
                <w:sz w:val="20"/>
                <w:szCs w:val="20"/>
                <w:color w:val="auto"/>
              </w:rPr>
            </w:pPr>
            <w:r>
              <w:rPr>
                <w:rFonts w:ascii="Verdana" w:cs="Verdana" w:eastAsia="Verdana" w:hAnsi="Verdana"/>
                <w:sz w:val="16"/>
                <w:szCs w:val="16"/>
                <w:color w:val="auto"/>
              </w:rPr>
              <w:t>(441,032)</w:t>
            </w:r>
          </w:p>
        </w:tc>
        <w:tc>
          <w:tcPr>
            <w:tcW w:w="620" w:type="dxa"/>
            <w:vAlign w:val="bottom"/>
          </w:tcPr>
          <w:p>
            <w:pPr>
              <w:spacing w:after="0"/>
              <w:rPr>
                <w:sz w:val="18"/>
                <w:szCs w:val="18"/>
                <w:color w:val="auto"/>
              </w:rPr>
            </w:pPr>
          </w:p>
        </w:tc>
      </w:tr>
      <w:tr>
        <w:trPr>
          <w:trHeight w:val="242"/>
        </w:trPr>
        <w:tc>
          <w:tcPr>
            <w:tcW w:w="740" w:type="dxa"/>
            <w:vAlign w:val="bottom"/>
          </w:tcPr>
          <w:p>
            <w:pPr>
              <w:spacing w:after="0"/>
              <w:rPr>
                <w:sz w:val="21"/>
                <w:szCs w:val="21"/>
                <w:color w:val="auto"/>
              </w:rPr>
            </w:pPr>
          </w:p>
        </w:tc>
        <w:tc>
          <w:tcPr>
            <w:tcW w:w="6900" w:type="dxa"/>
            <w:vAlign w:val="bottom"/>
            <w:tcBorders>
              <w:bottom w:val="single" w:sz="8" w:color="auto"/>
            </w:tcBorders>
          </w:tcPr>
          <w:p>
            <w:pPr>
              <w:ind w:left="40"/>
              <w:spacing w:after="0"/>
              <w:rPr>
                <w:sz w:val="20"/>
                <w:szCs w:val="20"/>
                <w:color w:val="auto"/>
              </w:rPr>
            </w:pPr>
            <w:r>
              <w:rPr>
                <w:rFonts w:ascii="Verdana" w:cs="Verdana" w:eastAsia="Verdana" w:hAnsi="Verdana"/>
                <w:sz w:val="14"/>
                <w:szCs w:val="14"/>
                <w:color w:val="auto"/>
              </w:rPr>
              <w:t>Cash and restricted cash at beginning of period</w:t>
            </w: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62"/>
              <w:spacing w:after="0"/>
              <w:rPr>
                <w:sz w:val="20"/>
                <w:szCs w:val="20"/>
                <w:color w:val="auto"/>
              </w:rPr>
            </w:pPr>
            <w:r>
              <w:rPr>
                <w:rFonts w:ascii="Verdana" w:cs="Verdana" w:eastAsia="Verdana" w:hAnsi="Verdana"/>
                <w:sz w:val="16"/>
                <w:szCs w:val="16"/>
                <w:color w:val="214E93"/>
              </w:rPr>
              <w:t>94,742</w:t>
            </w: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62"/>
              <w:spacing w:after="0"/>
              <w:rPr>
                <w:sz w:val="20"/>
                <w:szCs w:val="20"/>
                <w:color w:val="auto"/>
              </w:rPr>
            </w:pPr>
            <w:r>
              <w:rPr>
                <w:rFonts w:ascii="Verdana" w:cs="Verdana" w:eastAsia="Verdana" w:hAnsi="Verdana"/>
                <w:sz w:val="16"/>
                <w:szCs w:val="16"/>
                <w:color w:val="auto"/>
              </w:rPr>
              <w:t>106,298</w:t>
            </w:r>
          </w:p>
        </w:tc>
        <w:tc>
          <w:tcPr>
            <w:tcW w:w="1040" w:type="dxa"/>
            <w:vAlign w:val="bottom"/>
            <w:tcBorders>
              <w:bottom w:val="single" w:sz="8" w:color="auto"/>
            </w:tcBorders>
          </w:tcPr>
          <w:p>
            <w:pPr>
              <w:jc w:val="right"/>
              <w:ind w:right="21"/>
              <w:spacing w:after="0"/>
              <w:rPr>
                <w:sz w:val="20"/>
                <w:szCs w:val="20"/>
                <w:color w:val="auto"/>
              </w:rPr>
            </w:pPr>
            <w:r>
              <w:rPr>
                <w:rFonts w:ascii="Verdana" w:cs="Verdana" w:eastAsia="Verdana" w:hAnsi="Verdana"/>
                <w:sz w:val="16"/>
                <w:szCs w:val="16"/>
                <w:color w:val="auto"/>
              </w:rPr>
              <w:t>547,330</w:t>
            </w:r>
          </w:p>
        </w:tc>
        <w:tc>
          <w:tcPr>
            <w:tcW w:w="620" w:type="dxa"/>
            <w:vAlign w:val="bottom"/>
          </w:tcPr>
          <w:p>
            <w:pPr>
              <w:spacing w:after="0"/>
              <w:rPr>
                <w:sz w:val="21"/>
                <w:szCs w:val="21"/>
                <w:color w:val="auto"/>
              </w:rPr>
            </w:pPr>
          </w:p>
        </w:tc>
      </w:tr>
      <w:tr>
        <w:trPr>
          <w:trHeight w:val="217"/>
        </w:trPr>
        <w:tc>
          <w:tcPr>
            <w:tcW w:w="740" w:type="dxa"/>
            <w:vAlign w:val="bottom"/>
          </w:tcPr>
          <w:p>
            <w:pPr>
              <w:spacing w:after="0"/>
              <w:rPr>
                <w:sz w:val="18"/>
                <w:szCs w:val="18"/>
                <w:color w:val="auto"/>
              </w:rPr>
            </w:pPr>
          </w:p>
        </w:tc>
        <w:tc>
          <w:tcPr>
            <w:tcW w:w="6900" w:type="dxa"/>
            <w:vAlign w:val="bottom"/>
            <w:tcBorders>
              <w:bottom w:val="single" w:sz="8" w:color="214E93"/>
            </w:tcBorders>
          </w:tcPr>
          <w:p>
            <w:pPr>
              <w:ind w:left="40"/>
              <w:spacing w:after="0"/>
              <w:rPr>
                <w:sz w:val="20"/>
                <w:szCs w:val="20"/>
                <w:color w:val="auto"/>
              </w:rPr>
            </w:pPr>
            <w:r>
              <w:rPr>
                <w:rFonts w:ascii="Verdana" w:cs="Verdana" w:eastAsia="Verdana" w:hAnsi="Verdana"/>
                <w:sz w:val="14"/>
                <w:szCs w:val="14"/>
                <w:color w:val="auto"/>
              </w:rPr>
              <w:t>Cash and restricted cash at end of period</w:t>
            </w:r>
          </w:p>
        </w:tc>
        <w:tc>
          <w:tcPr>
            <w:tcW w:w="16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w:t>
            </w:r>
          </w:p>
        </w:tc>
        <w:tc>
          <w:tcPr>
            <w:tcW w:w="900" w:type="dxa"/>
            <w:vAlign w:val="bottom"/>
            <w:tcBorders>
              <w:bottom w:val="single" w:sz="8" w:color="214E93"/>
            </w:tcBorders>
          </w:tcPr>
          <w:p>
            <w:pPr>
              <w:jc w:val="right"/>
              <w:ind w:right="62"/>
              <w:spacing w:after="0"/>
              <w:rPr>
                <w:sz w:val="20"/>
                <w:szCs w:val="20"/>
                <w:color w:val="auto"/>
              </w:rPr>
            </w:pPr>
            <w:r>
              <w:rPr>
                <w:rFonts w:ascii="Verdana" w:cs="Verdana" w:eastAsia="Verdana" w:hAnsi="Verdana"/>
                <w:sz w:val="16"/>
                <w:szCs w:val="16"/>
                <w:color w:val="214E93"/>
              </w:rPr>
              <w:t>79,477</w:t>
            </w:r>
          </w:p>
        </w:tc>
        <w:tc>
          <w:tcPr>
            <w:tcW w:w="20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w:t>
            </w:r>
          </w:p>
        </w:tc>
        <w:tc>
          <w:tcPr>
            <w:tcW w:w="900" w:type="dxa"/>
            <w:vAlign w:val="bottom"/>
            <w:tcBorders>
              <w:bottom w:val="single" w:sz="8" w:color="214E93"/>
            </w:tcBorders>
          </w:tcPr>
          <w:p>
            <w:pPr>
              <w:jc w:val="right"/>
              <w:ind w:right="62"/>
              <w:spacing w:after="0"/>
              <w:rPr>
                <w:sz w:val="20"/>
                <w:szCs w:val="20"/>
                <w:color w:val="auto"/>
              </w:rPr>
            </w:pPr>
            <w:r>
              <w:rPr>
                <w:rFonts w:ascii="Verdana" w:cs="Verdana" w:eastAsia="Verdana" w:hAnsi="Verdana"/>
                <w:sz w:val="16"/>
                <w:szCs w:val="16"/>
                <w:color w:val="auto"/>
              </w:rPr>
              <w:t>94,742</w:t>
            </w:r>
          </w:p>
        </w:tc>
        <w:tc>
          <w:tcPr>
            <w:tcW w:w="1040" w:type="dxa"/>
            <w:vAlign w:val="bottom"/>
            <w:tcBorders>
              <w:bottom w:val="single" w:sz="8" w:color="214E93"/>
            </w:tcBorders>
          </w:tcPr>
          <w:p>
            <w:pPr>
              <w:jc w:val="right"/>
              <w:ind w:right="21"/>
              <w:spacing w:after="0"/>
              <w:rPr>
                <w:sz w:val="20"/>
                <w:szCs w:val="20"/>
                <w:color w:val="auto"/>
              </w:rPr>
            </w:pPr>
            <w:r>
              <w:rPr>
                <w:rFonts w:ascii="Verdana" w:cs="Verdana" w:eastAsia="Verdana" w:hAnsi="Verdana"/>
                <w:sz w:val="16"/>
                <w:szCs w:val="16"/>
                <w:color w:val="auto"/>
              </w:rPr>
              <w:t>$  106,298</w:t>
            </w:r>
          </w:p>
        </w:tc>
        <w:tc>
          <w:tcPr>
            <w:tcW w:w="6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464820</wp:posOffset>
                </wp:positionH>
                <wp:positionV relativeFrom="paragraph">
                  <wp:posOffset>-8169275</wp:posOffset>
                </wp:positionV>
                <wp:extent cx="6812280" cy="0"/>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73" o:spid="_x0000_s12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pt,-643.2499pt" to="573pt,-643.2499pt" o:allowincell="f" strokecolor="#000000" strokeweight="0pt"/>
            </w:pict>
          </mc:Fallback>
        </mc:AlternateContent>
      </w:r>
    </w:p>
    <w:p>
      <w:pPr>
        <w:spacing w:after="0" w:line="16" w:lineRule="exact"/>
        <w:rPr>
          <w:sz w:val="20"/>
          <w:szCs w:val="20"/>
          <w:color w:val="auto"/>
        </w:rPr>
      </w:pPr>
    </w:p>
    <w:p>
      <w:pPr>
        <w:ind w:left="740"/>
        <w:spacing w:after="0"/>
        <w:rPr>
          <w:sz w:val="20"/>
          <w:szCs w:val="20"/>
          <w:color w:val="auto"/>
        </w:rPr>
      </w:pPr>
      <w:r>
        <w:rPr>
          <w:rFonts w:ascii="Calibri" w:cs="Calibri" w:eastAsia="Calibri" w:hAnsi="Calibri"/>
          <w:sz w:val="18"/>
          <w:szCs w:val="18"/>
          <w:color w:val="auto"/>
        </w:rPr>
        <w:t>Supplemental disclosures of cash flow information (Note 15)</w:t>
      </w:r>
    </w:p>
    <w:p>
      <w:pPr>
        <w:spacing w:after="0" w:line="188" w:lineRule="exact"/>
        <w:rPr>
          <w:sz w:val="20"/>
          <w:szCs w:val="20"/>
          <w:color w:val="auto"/>
        </w:rPr>
      </w:pPr>
    </w:p>
    <w:p>
      <w:pPr>
        <w:ind w:left="2620"/>
        <w:spacing w:after="0"/>
        <w:rPr>
          <w:sz w:val="20"/>
          <w:szCs w:val="20"/>
          <w:color w:val="auto"/>
        </w:rPr>
      </w:pPr>
      <w:r>
        <w:rPr>
          <w:rFonts w:ascii="Calibri" w:cs="Calibri" w:eastAsia="Calibri" w:hAnsi="Calibri"/>
          <w:sz w:val="18"/>
          <w:szCs w:val="18"/>
          <w:i w:val="1"/>
          <w:iCs w:val="1"/>
          <w:color w:val="auto"/>
        </w:rPr>
        <w:t>The accompanying notes are an integral part of these consolidated financial statements.</w:t>
      </w:r>
    </w:p>
    <w:p>
      <w:pPr>
        <w:spacing w:after="0" w:line="158" w:lineRule="exact"/>
        <w:rPr>
          <w:sz w:val="20"/>
          <w:szCs w:val="20"/>
          <w:color w:val="auto"/>
        </w:rPr>
      </w:pPr>
    </w:p>
    <w:p>
      <w:pPr>
        <w:ind w:left="60"/>
        <w:spacing w:after="0"/>
        <w:rPr>
          <w:sz w:val="20"/>
          <w:szCs w:val="20"/>
          <w:color w:val="auto"/>
        </w:rPr>
      </w:pPr>
      <w:r>
        <w:rPr>
          <w:rFonts w:ascii="Calibri" w:cs="Calibri" w:eastAsia="Calibri" w:hAnsi="Calibri"/>
          <w:sz w:val="18"/>
          <w:szCs w:val="18"/>
          <w:color w:val="auto"/>
        </w:rPr>
        <w:t>Consolidated Financial Statements FORM 10-K</w:t>
      </w:r>
    </w:p>
    <w:p>
      <w:pPr>
        <w:sectPr>
          <w:pgSz w:w="11880" w:h="15480" w:orient="portrait"/>
          <w:cols w:equalWidth="0" w:num="1">
            <w:col w:w="11460"/>
          </w:cols>
          <w:pgMar w:left="420" w:top="498" w:right="0" w:bottom="0" w:gutter="0" w:footer="0" w:header="0"/>
        </w:sectPr>
      </w:pPr>
    </w:p>
    <w:bookmarkStart w:id="138" w:name="page139"/>
    <w:bookmarkEnd w:id="138"/>
    <w:tbl>
      <w:tblPr>
        <w:tblLayout w:type="fixed"/>
        <w:tblInd w:w="788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500" w:type="dxa"/>
            <w:vAlign w:val="bottom"/>
          </w:tcPr>
          <w:p>
            <w:pPr>
              <w:ind w:left="280"/>
              <w:spacing w:after="0"/>
              <w:rPr>
                <w:sz w:val="20"/>
                <w:szCs w:val="20"/>
                <w:color w:val="auto"/>
              </w:rPr>
            </w:pPr>
            <w:r>
              <w:rPr>
                <w:rFonts w:ascii="Calibri" w:cs="Calibri" w:eastAsia="Calibri" w:hAnsi="Calibri"/>
                <w:sz w:val="18"/>
                <w:szCs w:val="18"/>
                <w:color w:val="auto"/>
                <w:w w:val="87"/>
              </w:rPr>
              <w:t>F-8</w:t>
            </w:r>
          </w:p>
        </w:tc>
      </w:tr>
    </w:tbl>
    <w:p>
      <w:pPr>
        <w:spacing w:after="0" w:line="223" w:lineRule="exact"/>
        <w:rPr>
          <w:sz w:val="20"/>
          <w:szCs w:val="20"/>
          <w:color w:val="auto"/>
        </w:rPr>
      </w:pPr>
    </w:p>
    <w:p>
      <w:pPr>
        <w:ind w:left="40"/>
        <w:spacing w:after="0"/>
        <w:rPr>
          <w:sz w:val="20"/>
          <w:szCs w:val="20"/>
          <w:color w:val="auto"/>
        </w:rPr>
      </w:pPr>
      <w:r>
        <w:rPr>
          <w:rFonts w:ascii="Verdana" w:cs="Verdana" w:eastAsia="Verdana" w:hAnsi="Verdana"/>
          <w:sz w:val="21"/>
          <w:szCs w:val="21"/>
          <w:color w:val="214E93"/>
        </w:rPr>
        <w:t>Notes to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17145</wp:posOffset>
                </wp:positionV>
                <wp:extent cx="6811645" cy="0"/>
                <wp:wrapNone/>
                <wp:docPr id="274" name="Shape 2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74" o:spid="_x0000_s12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1.35pt" to="478.35pt,1.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17145</wp:posOffset>
                </wp:positionV>
                <wp:extent cx="6811645" cy="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75" o:spid="_x0000_s13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1.35pt" to="478.35pt,1.35pt" o:allowincell="f" strokecolor="#214E93" strokeweight="1pt"/>
            </w:pict>
          </mc:Fallback>
        </mc:AlternateContent>
      </w:r>
    </w:p>
    <w:p>
      <w:pPr>
        <w:spacing w:after="0" w:line="141" w:lineRule="exact"/>
        <w:rPr>
          <w:sz w:val="20"/>
          <w:szCs w:val="20"/>
          <w:color w:val="auto"/>
        </w:rPr>
      </w:pPr>
    </w:p>
    <w:p>
      <w:pPr>
        <w:spacing w:after="0"/>
        <w:rPr>
          <w:sz w:val="20"/>
          <w:szCs w:val="20"/>
          <w:color w:val="auto"/>
        </w:rPr>
      </w:pPr>
      <w:r>
        <w:rPr>
          <w:rFonts w:ascii="Verdana" w:cs="Verdana" w:eastAsia="Verdana" w:hAnsi="Verdana"/>
          <w:sz w:val="20"/>
          <w:szCs w:val="20"/>
          <w:color w:val="214E93"/>
        </w:rPr>
        <w:t>NOTE 1 — NATURE OF OPERATIONS</w:t>
      </w:r>
    </w:p>
    <w:p>
      <w:pPr>
        <w:spacing w:after="0" w:line="209" w:lineRule="exact"/>
        <w:rPr>
          <w:sz w:val="20"/>
          <w:szCs w:val="20"/>
          <w:color w:val="auto"/>
        </w:rPr>
      </w:pPr>
    </w:p>
    <w:p>
      <w:pPr>
        <w:ind w:right="740" w:firstLine="241"/>
        <w:spacing w:after="0" w:line="268" w:lineRule="auto"/>
        <w:rPr>
          <w:sz w:val="20"/>
          <w:szCs w:val="20"/>
          <w:color w:val="auto"/>
        </w:rPr>
      </w:pPr>
      <w:r>
        <w:rPr>
          <w:rFonts w:ascii="Calibri" w:cs="Calibri" w:eastAsia="Calibri" w:hAnsi="Calibri"/>
          <w:sz w:val="18"/>
          <w:szCs w:val="18"/>
          <w:color w:val="auto"/>
        </w:rPr>
        <w:t>Matador Resources Company, a Texas corporation (“Matador” and, collectively with its subsidiaries, the “Company”), is an independent energy company engaged in the exploration, development, production and acquisition of oil and natural gas resources in the United States, with an emphasis on oil and natural gas shale and other unconventional plays. The Company’s current operations are focused primarily on the oil and liquids-rich portion of the Wolfcamp and Bone Spring plays in the Delaware Basin in Southeast New Mexico and West Texas. The Company also has operations in the Haynesville shale and Cotton Valley plays in Northwest Louisiana. Additionally, the Company conducts midstream operations primarily through its midstream joint venture, San Mateo Midstream, LLC and its subsidiaries (“San Mateo”) in support of, and to provide flow assurance for, the Company’s exploration, development and production operations, and San Mateo provides natural gas processing, oil transportation services, oil, natural gas and produced water gathering services and produced water disposal services to third parties.</w:t>
      </w:r>
    </w:p>
    <w:p>
      <w:pPr>
        <w:spacing w:after="0" w:line="217" w:lineRule="exact"/>
        <w:rPr>
          <w:sz w:val="20"/>
          <w:szCs w:val="20"/>
          <w:color w:val="auto"/>
        </w:rPr>
      </w:pPr>
    </w:p>
    <w:p>
      <w:pPr>
        <w:spacing w:after="0"/>
        <w:rPr>
          <w:sz w:val="20"/>
          <w:szCs w:val="20"/>
          <w:color w:val="auto"/>
        </w:rPr>
      </w:pPr>
      <w:r>
        <w:rPr>
          <w:rFonts w:ascii="Verdana" w:cs="Verdana" w:eastAsia="Verdana" w:hAnsi="Verdana"/>
          <w:sz w:val="20"/>
          <w:szCs w:val="20"/>
          <w:color w:val="214E93"/>
        </w:rPr>
        <w:t>NOTE 2 — SUMMARY OF SIGNIFICANT ACCOUNTING POLICIES</w:t>
      </w:r>
    </w:p>
    <w:p>
      <w:pPr>
        <w:spacing w:after="0" w:line="196"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Basis of Presentation</w:t>
      </w:r>
    </w:p>
    <w:p>
      <w:pPr>
        <w:spacing w:after="0" w:line="208" w:lineRule="exact"/>
        <w:rPr>
          <w:sz w:val="20"/>
          <w:szCs w:val="20"/>
          <w:color w:val="auto"/>
        </w:rPr>
      </w:pPr>
    </w:p>
    <w:p>
      <w:pPr>
        <w:ind w:right="800" w:firstLine="241"/>
        <w:spacing w:after="0" w:line="268" w:lineRule="auto"/>
        <w:rPr>
          <w:sz w:val="20"/>
          <w:szCs w:val="20"/>
          <w:color w:val="auto"/>
        </w:rPr>
      </w:pPr>
      <w:r>
        <w:rPr>
          <w:rFonts w:ascii="Calibri" w:cs="Calibri" w:eastAsia="Calibri" w:hAnsi="Calibri"/>
          <w:sz w:val="18"/>
          <w:szCs w:val="18"/>
          <w:color w:val="auto"/>
        </w:rPr>
        <w:t>The consolidated financial statements include the accounts of Matador and its wholly-owned and majority-owned subsidiaries. These consolidated financial statements have been prepared in accordance with generally accepted accounting principles in the United States of America (“U.S. GAAP”). Accordingly, the Company consolidates certain subsidiaries and joint ventures that are less-than-wholly-owned and are not involved in oil and natural gas exploration, including San Mateo, and the net income and equity attributable to the non-controlling interest in these subsidiaries have been reported separately as required by Accounting Standards Codification (“ASC”) Topic 810, Consolidation. The Company proportionately consolidates certain joint ventures that are less-than-wholly-owned and are involved in oil and natural gas exploration. All intercompany accounts and transactions have been eliminated in consolidation.</w:t>
      </w:r>
    </w:p>
    <w:p>
      <w:pPr>
        <w:spacing w:after="0" w:line="203"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Reclassifications</w:t>
      </w:r>
    </w:p>
    <w:p>
      <w:pPr>
        <w:spacing w:after="0" w:line="208" w:lineRule="exact"/>
        <w:rPr>
          <w:sz w:val="20"/>
          <w:szCs w:val="20"/>
          <w:color w:val="auto"/>
        </w:rPr>
      </w:pPr>
    </w:p>
    <w:p>
      <w:pPr>
        <w:ind w:right="880" w:firstLine="241"/>
        <w:spacing w:after="0" w:line="261" w:lineRule="auto"/>
        <w:rPr>
          <w:sz w:val="20"/>
          <w:szCs w:val="20"/>
          <w:color w:val="auto"/>
        </w:rPr>
      </w:pPr>
      <w:r>
        <w:rPr>
          <w:rFonts w:ascii="Calibri" w:cs="Calibri" w:eastAsia="Calibri" w:hAnsi="Calibri"/>
          <w:sz w:val="18"/>
          <w:szCs w:val="18"/>
          <w:color w:val="auto"/>
        </w:rPr>
        <w:t>Certain reclassifications to captions within the consolidated balance sheets, statements of income and statements of changes in shareholders’ equity have been made to the prior years’ financial statements to conform to the current year presentation. These reclassifications had no effect on previously reported results of operations, cash flows or retained earnings.</w:t>
      </w:r>
    </w:p>
    <w:p>
      <w:pPr>
        <w:spacing w:after="0" w:line="209"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Use of Estimates</w:t>
      </w:r>
    </w:p>
    <w:p>
      <w:pPr>
        <w:spacing w:after="0" w:line="208" w:lineRule="exact"/>
        <w:rPr>
          <w:sz w:val="20"/>
          <w:szCs w:val="20"/>
          <w:color w:val="auto"/>
        </w:rPr>
      </w:pPr>
    </w:p>
    <w:p>
      <w:pPr>
        <w:ind w:right="740" w:firstLine="241"/>
        <w:spacing w:after="0" w:line="269" w:lineRule="auto"/>
        <w:rPr>
          <w:sz w:val="20"/>
          <w:szCs w:val="20"/>
          <w:color w:val="auto"/>
        </w:rPr>
      </w:pPr>
      <w:r>
        <w:rPr>
          <w:rFonts w:ascii="Calibri" w:cs="Calibri" w:eastAsia="Calibri" w:hAnsi="Calibri"/>
          <w:sz w:val="18"/>
          <w:szCs w:val="18"/>
          <w:color w:val="auto"/>
        </w:rPr>
        <w:t>The preparation of financial statements in conformity with U.S. GAAP requires management to make estimates and assumptions that affect the amounts reported in the financial statements and accompanying notes. These estimates and assumptions may also affect disclosure of contingent assets and liabilities at the date of the financial statements and the reported amounts of revenues and expenses during the reporting period. The Company’s consolidated financial statements are based on a number of significant estimates, including oil and natural gas revenues, accrued assets and liabilities, stock-based compensation, valuation of derivative instruments, deferred tax assets and liabilities, purchase price allocations and oil and natural gas reserves. The estimates of oil and natural gas reserves quantities and future net cash flows are the basis for the calculations of depletion and impairment of oil and natural gas properties, as well as estimates in the purchase price allocations and of asset retirement obligations and certain tax accruals. The Company’s oil and natural gas reserves estimates, which are inherently imprecise and based upon many factors that are beyond the Company’s control, including oil and natural gas prices, are prepared by the Company’s engineering staff in accordance with guidelines established by the Securities and Exchange Commission (“SEC”) and then audited for their reasonableness and conformance with SEC guidelines by Netherland, Sewell &amp; Associates, Inc., independent reservoir engineers. While the Company believes its estimates are reasonable, changes in facts and assumptions or the discovery of new information may result in revised estimates. Actual results could differ from these estimates.</w:t>
      </w:r>
    </w:p>
    <w:p>
      <w:pPr>
        <w:spacing w:after="0" w:line="206"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Restricted Cash</w:t>
      </w:r>
    </w:p>
    <w:p>
      <w:pPr>
        <w:spacing w:after="0" w:line="208" w:lineRule="exact"/>
        <w:rPr>
          <w:sz w:val="20"/>
          <w:szCs w:val="20"/>
          <w:color w:val="auto"/>
        </w:rPr>
      </w:pPr>
    </w:p>
    <w:p>
      <w:pPr>
        <w:ind w:right="800" w:firstLine="241"/>
        <w:spacing w:after="0" w:line="264" w:lineRule="auto"/>
        <w:rPr>
          <w:sz w:val="20"/>
          <w:szCs w:val="20"/>
          <w:color w:val="auto"/>
        </w:rPr>
      </w:pPr>
      <w:r>
        <w:rPr>
          <w:rFonts w:ascii="Calibri" w:cs="Calibri" w:eastAsia="Calibri" w:hAnsi="Calibri"/>
          <w:sz w:val="18"/>
          <w:szCs w:val="18"/>
          <w:color w:val="auto"/>
        </w:rPr>
        <w:t>Restricted cash represents a portion of the cash associated with the Company’s less-than-wholly-owned subsidiaries, primarily San Mateo. By contractual agreement, the cash in the accounts held by the Company’s less-than-wholly-owned subsidiaries is not to be commingled with other Company cash and is to be used only to fund the capital expenditures and operations of these less-than-wholly-owned subsidiaries.</w:t>
      </w:r>
    </w:p>
    <w:p>
      <w:pPr>
        <w:sectPr>
          <w:pgSz w:w="11880" w:h="15480" w:orient="portrait"/>
          <w:cols w:equalWidth="0" w:num="1">
            <w:col w:w="10300"/>
          </w:cols>
          <w:pgMar w:left="1160" w:top="498"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900"/>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0300"/>
          </w:cols>
          <w:pgMar w:left="1160" w:top="498" w:right="420" w:bottom="0" w:gutter="0" w:footer="0" w:header="0"/>
          <w:type w:val="continuous"/>
        </w:sectPr>
      </w:pPr>
    </w:p>
    <w:bookmarkStart w:id="139" w:name="page140"/>
    <w:bookmarkEnd w:id="139"/>
    <w:p>
      <w:pPr>
        <w:spacing w:after="0"/>
        <w:tabs>
          <w:tab w:leader="none" w:pos="760" w:val="left"/>
        </w:tabs>
        <w:rPr>
          <w:sz w:val="20"/>
          <w:szCs w:val="20"/>
          <w:color w:val="auto"/>
        </w:rPr>
      </w:pPr>
      <w:r>
        <w:rPr>
          <w:rFonts w:ascii="Calibri" w:cs="Calibri" w:eastAsia="Calibri" w:hAnsi="Calibri"/>
          <w:sz w:val="18"/>
          <w:szCs w:val="18"/>
          <w:color w:val="auto"/>
        </w:rPr>
        <w:t>F-9</w:t>
      </w:r>
      <w:r>
        <w:rPr>
          <w:sz w:val="20"/>
          <w:szCs w:val="20"/>
          <w:color w:val="auto"/>
        </w:rPr>
        <w:tab/>
      </w:r>
      <w:r>
        <w:rPr>
          <w:rFonts w:ascii="Calibri" w:cs="Calibri" w:eastAsia="Calibri" w:hAnsi="Calibri"/>
          <w:sz w:val="17"/>
          <w:szCs w:val="17"/>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464820</wp:posOffset>
                </wp:positionH>
                <wp:positionV relativeFrom="paragraph">
                  <wp:posOffset>320675</wp:posOffset>
                </wp:positionV>
                <wp:extent cx="6812280" cy="0"/>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76" o:spid="_x0000_s13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pt,25.25pt" to="573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464820</wp:posOffset>
                </wp:positionH>
                <wp:positionV relativeFrom="paragraph">
                  <wp:posOffset>320675</wp:posOffset>
                </wp:positionV>
                <wp:extent cx="6812280" cy="0"/>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77" o:spid="_x0000_s13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pt,25.25pt" to="573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40"/>
        <w:spacing w:after="0"/>
        <w:rPr>
          <w:sz w:val="20"/>
          <w:szCs w:val="20"/>
          <w:color w:val="auto"/>
        </w:rPr>
      </w:pPr>
      <w:r>
        <w:rPr>
          <w:rFonts w:ascii="Verdana" w:cs="Verdana" w:eastAsia="Verdana" w:hAnsi="Verdana"/>
          <w:sz w:val="20"/>
          <w:szCs w:val="20"/>
          <w:color w:val="214E93"/>
        </w:rPr>
        <w:t>NOTE 2 — SUMMARY OF SIGNIFICANT ACCOUNTING POLICIES — Continued</w:t>
      </w:r>
    </w:p>
    <w:p>
      <w:pPr>
        <w:spacing w:after="0" w:line="196" w:lineRule="exact"/>
        <w:rPr>
          <w:sz w:val="20"/>
          <w:szCs w:val="20"/>
          <w:color w:val="auto"/>
        </w:rPr>
      </w:pPr>
    </w:p>
    <w:p>
      <w:pPr>
        <w:ind w:left="740"/>
        <w:spacing w:after="0"/>
        <w:rPr>
          <w:sz w:val="20"/>
          <w:szCs w:val="20"/>
          <w:color w:val="auto"/>
        </w:rPr>
      </w:pPr>
      <w:r>
        <w:rPr>
          <w:rFonts w:ascii="Calibri" w:cs="Calibri" w:eastAsia="Calibri" w:hAnsi="Calibri"/>
          <w:sz w:val="19"/>
          <w:szCs w:val="19"/>
          <w:i w:val="1"/>
          <w:iCs w:val="1"/>
          <w:color w:val="214E93"/>
        </w:rPr>
        <w:t>Accounts Receivable</w:t>
      </w:r>
    </w:p>
    <w:p>
      <w:pPr>
        <w:spacing w:after="0" w:line="208" w:lineRule="exact"/>
        <w:rPr>
          <w:sz w:val="20"/>
          <w:szCs w:val="20"/>
          <w:color w:val="auto"/>
        </w:rPr>
      </w:pPr>
    </w:p>
    <w:p>
      <w:pPr>
        <w:ind w:left="740" w:firstLine="241"/>
        <w:spacing w:after="0" w:line="267" w:lineRule="auto"/>
        <w:rPr>
          <w:sz w:val="20"/>
          <w:szCs w:val="20"/>
          <w:color w:val="auto"/>
        </w:rPr>
      </w:pPr>
      <w:r>
        <w:rPr>
          <w:rFonts w:ascii="Calibri" w:cs="Calibri" w:eastAsia="Calibri" w:hAnsi="Calibri"/>
          <w:sz w:val="18"/>
          <w:szCs w:val="18"/>
          <w:color w:val="auto"/>
        </w:rPr>
        <w:t>The Company sells its operated oil, natural gas and natural gas liquids (“NGL”) production to various purchasers (see “— Revenues” below). In addition, the Company may participate with industry partners in the drilling, completion and operation of oil and natural gas wells. Substantially all of the Company’s accounts receivable are due from purchasers of oil, natural gas and NGLs, participants in oil and natural gas wells for which the Company serves as the operator, customers of San Mateo or the Company’s derivative counterparties. Accounts receivable are typically due within 30 to 60 days of the production date and 30 days of the billing date and are stated at amounts due from purchasers and industry partners. Amounts are considered past due if they have been outstanding for 60 days or more. No interest is typically charged on past due amounts.</w:t>
      </w:r>
    </w:p>
    <w:p>
      <w:pPr>
        <w:spacing w:after="0" w:line="220" w:lineRule="exact"/>
        <w:rPr>
          <w:sz w:val="20"/>
          <w:szCs w:val="20"/>
          <w:color w:val="auto"/>
        </w:rPr>
      </w:pPr>
    </w:p>
    <w:p>
      <w:pPr>
        <w:ind w:left="740" w:right="180" w:firstLine="241"/>
        <w:spacing w:after="0" w:line="284" w:lineRule="auto"/>
        <w:rPr>
          <w:sz w:val="20"/>
          <w:szCs w:val="20"/>
          <w:color w:val="auto"/>
        </w:rPr>
      </w:pPr>
      <w:r>
        <w:rPr>
          <w:rFonts w:ascii="Calibri" w:cs="Calibri" w:eastAsia="Calibri" w:hAnsi="Calibri"/>
          <w:sz w:val="17"/>
          <w:szCs w:val="17"/>
          <w:color w:val="auto"/>
        </w:rPr>
        <w:t>The Company reviews its need for an allowance for doubtful accounts on a periodic basis and determines the allowance, if any, by considering the length of time past due, previous loss history, future net revenues associated with the debtor’s ownership interest in oil and natural gas properties operated by the Company and the debtor’s ability to pay its obligations, among other things. The Company has no allowance for doubtful accounts related to its accounts receivable for any reporting period presented.</w:t>
      </w:r>
    </w:p>
    <w:p>
      <w:pPr>
        <w:spacing w:after="0" w:line="205" w:lineRule="exact"/>
        <w:rPr>
          <w:sz w:val="20"/>
          <w:szCs w:val="20"/>
          <w:color w:val="auto"/>
        </w:rPr>
      </w:pPr>
    </w:p>
    <w:p>
      <w:pPr>
        <w:ind w:left="740" w:right="80" w:firstLine="241"/>
        <w:spacing w:after="0" w:line="268" w:lineRule="auto"/>
        <w:rPr>
          <w:sz w:val="20"/>
          <w:szCs w:val="20"/>
          <w:color w:val="auto"/>
        </w:rPr>
      </w:pPr>
      <w:r>
        <w:rPr>
          <w:rFonts w:ascii="Calibri" w:cs="Calibri" w:eastAsia="Calibri" w:hAnsi="Calibri"/>
          <w:sz w:val="18"/>
          <w:szCs w:val="18"/>
          <w:color w:val="auto"/>
        </w:rPr>
        <w:t>For the years ended December 31, 2025, 2024 and 2023, three significant purchasers accounted for 72%, 79% and 76%, respectively, of the Company’s total oil, natural gas and NGL revenues: Plains Marketing, L.P. (49%, 53% and 42%, respectively), Exxon Mobil Corporation (13%, 15% and 24%, respectively) and Enterprise Products Partners L.P. (10%, 11% and 10%, respectively). If any one of Matador’s major customers were to stop purchasing its production, the Company believes there are a number of other purchasers to whom the Company could sell Matador’s production. If multiple significant customers were to discontinue purchasing Matador’s production abruptly, the Company believes it would have the resources needed to access alternative customers or markets and avoid or materially mitigate associated sales disruptions. At December 31, 2025, 2024 and 2023, approximately 32%, 32% and 38%, respectively, of the Company’s accounts receivable, including joint interest billings, related to the top three purchasers.</w:t>
      </w:r>
    </w:p>
    <w:p>
      <w:pPr>
        <w:spacing w:after="0" w:line="205" w:lineRule="exact"/>
        <w:rPr>
          <w:sz w:val="20"/>
          <w:szCs w:val="20"/>
          <w:color w:val="auto"/>
        </w:rPr>
      </w:pPr>
    </w:p>
    <w:p>
      <w:pPr>
        <w:ind w:left="740"/>
        <w:spacing w:after="0"/>
        <w:rPr>
          <w:sz w:val="20"/>
          <w:szCs w:val="20"/>
          <w:color w:val="auto"/>
        </w:rPr>
      </w:pPr>
      <w:r>
        <w:rPr>
          <w:rFonts w:ascii="Calibri" w:cs="Calibri" w:eastAsia="Calibri" w:hAnsi="Calibri"/>
          <w:sz w:val="19"/>
          <w:szCs w:val="19"/>
          <w:i w:val="1"/>
          <w:iCs w:val="1"/>
          <w:color w:val="214E93"/>
        </w:rPr>
        <w:t>Lease and Well Equipment Inventory</w:t>
      </w:r>
    </w:p>
    <w:p>
      <w:pPr>
        <w:spacing w:after="0" w:line="208" w:lineRule="exact"/>
        <w:rPr>
          <w:sz w:val="20"/>
          <w:szCs w:val="20"/>
          <w:color w:val="auto"/>
        </w:rPr>
      </w:pPr>
    </w:p>
    <w:p>
      <w:pPr>
        <w:ind w:left="740" w:right="400" w:firstLine="241"/>
        <w:spacing w:after="0" w:line="252" w:lineRule="auto"/>
        <w:rPr>
          <w:sz w:val="20"/>
          <w:szCs w:val="20"/>
          <w:color w:val="auto"/>
        </w:rPr>
      </w:pPr>
      <w:r>
        <w:rPr>
          <w:rFonts w:ascii="Calibri" w:cs="Calibri" w:eastAsia="Calibri" w:hAnsi="Calibri"/>
          <w:sz w:val="18"/>
          <w:szCs w:val="18"/>
          <w:color w:val="auto"/>
        </w:rPr>
        <w:t>Lease and well equipment inventory is stated at the lower of cost or net realizable value and consists entirely of materials or equipment scheduled for use in future well or midstream operations.</w:t>
      </w:r>
    </w:p>
    <w:p>
      <w:pPr>
        <w:spacing w:after="0" w:line="216" w:lineRule="exact"/>
        <w:rPr>
          <w:sz w:val="20"/>
          <w:szCs w:val="20"/>
          <w:color w:val="auto"/>
        </w:rPr>
      </w:pPr>
    </w:p>
    <w:p>
      <w:pPr>
        <w:ind w:left="740"/>
        <w:spacing w:after="0"/>
        <w:rPr>
          <w:sz w:val="20"/>
          <w:szCs w:val="20"/>
          <w:color w:val="auto"/>
        </w:rPr>
      </w:pPr>
      <w:r>
        <w:rPr>
          <w:rFonts w:ascii="Calibri" w:cs="Calibri" w:eastAsia="Calibri" w:hAnsi="Calibri"/>
          <w:sz w:val="19"/>
          <w:szCs w:val="19"/>
          <w:i w:val="1"/>
          <w:iCs w:val="1"/>
          <w:color w:val="214E93"/>
        </w:rPr>
        <w:t>Oil and Natural Gas Properties</w:t>
      </w:r>
    </w:p>
    <w:p>
      <w:pPr>
        <w:spacing w:after="0" w:line="208" w:lineRule="exact"/>
        <w:rPr>
          <w:sz w:val="20"/>
          <w:szCs w:val="20"/>
          <w:color w:val="auto"/>
        </w:rPr>
      </w:pPr>
    </w:p>
    <w:p>
      <w:pPr>
        <w:ind w:left="740" w:firstLine="241"/>
        <w:spacing w:after="0" w:line="268" w:lineRule="auto"/>
        <w:rPr>
          <w:sz w:val="20"/>
          <w:szCs w:val="20"/>
          <w:color w:val="auto"/>
        </w:rPr>
      </w:pPr>
      <w:r>
        <w:rPr>
          <w:rFonts w:ascii="Calibri" w:cs="Calibri" w:eastAsia="Calibri" w:hAnsi="Calibri"/>
          <w:sz w:val="18"/>
          <w:szCs w:val="18"/>
          <w:color w:val="auto"/>
        </w:rPr>
        <w:t>The Company uses the full-cost method of accounting for its investments in oil and natural gas properties. Under this method, all costs associated with the acquisition, exploration and development of oil and natural gas properties and reserves, including unproved and unevaluated property costs, are capitalized as incurred and accumulated in a single cost center representing the Company’s activities, which are undertaken exclusively in the United States. Such costs include lease acquisition costs, geological and geophysical expenditures, lease rentals on undeveloped properties, costs of drilling both productive and non-productive wells, capitalized interest on qualifying projects and general and administrative expenses directly related to acquisition, exploration and development activities, but do not include any costs related to production, selling or general corporate administrative activities. The Company capitalized $71.7 million, $66.6 million and $54.2 million of its general and administrative costs into oil and natural gas properties in 2025, 2024 and 2023, respectively. The Company capitalized $21.2 million, $17.5 million and $20.2 million of its interest expense into oil and natural gas properties for the years ended December 31, 2025, 2024 and 2023, respectively.</w:t>
      </w:r>
    </w:p>
    <w:p>
      <w:pPr>
        <w:spacing w:after="0" w:line="222" w:lineRule="exact"/>
        <w:rPr>
          <w:sz w:val="20"/>
          <w:szCs w:val="20"/>
          <w:color w:val="auto"/>
        </w:rPr>
      </w:pPr>
    </w:p>
    <w:p>
      <w:pPr>
        <w:ind w:left="740" w:right="20" w:firstLine="241"/>
        <w:spacing w:after="0" w:line="268" w:lineRule="auto"/>
        <w:rPr>
          <w:sz w:val="20"/>
          <w:szCs w:val="20"/>
          <w:color w:val="auto"/>
        </w:rPr>
      </w:pPr>
      <w:r>
        <w:rPr>
          <w:rFonts w:ascii="Calibri" w:cs="Calibri" w:eastAsia="Calibri" w:hAnsi="Calibri"/>
          <w:sz w:val="18"/>
          <w:szCs w:val="18"/>
          <w:color w:val="auto"/>
        </w:rPr>
        <w:t>Capitalized costs of oil and natural gas properties are depleted using the unit-of-production method based upon production and estimates of proved reserves quantities. For the years ended December 31, 2025, 2024 and 2023, the Company recorded depletion expense of $1.13 billion, $925.6 million and $672.0 million, respectively. Unproved and unevaluated property costs are excluded from the depletable base used to determine depletion. Unproved and unevaluated properties are assessed for possible impairment on a periodic basis based upon changes in operating or economic conditions. This assessment includes consideration of the following factors, among others: the assignment of proved reserves, geological and geophysical evaluations, intent to drill, remaining lease term and drilling activity and results. Upon impairment, the costs of the unproved and unevaluated properties are immediately included in the depletable base. Exploratory dry holes are included in the depletable base immediately upon determination that the well is not productive.</w:t>
      </w:r>
    </w:p>
    <w:p>
      <w:pPr>
        <w:sectPr>
          <w:pgSz w:w="11880" w:h="15480" w:orient="portrait"/>
          <w:cols w:equalWidth="0" w:num="1">
            <w:col w:w="10300"/>
          </w:cols>
          <w:pgMar w:left="420" w:top="498" w:right="1160" w:bottom="0" w:gutter="0" w:footer="0" w:header="0"/>
        </w:sect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0300"/>
          </w:cols>
          <w:pgMar w:left="420" w:top="498" w:right="1160" w:bottom="0" w:gutter="0" w:footer="0" w:header="0"/>
          <w:type w:val="continuous"/>
        </w:sectPr>
      </w:pPr>
    </w:p>
    <w:bookmarkStart w:id="140" w:name="page141"/>
    <w:bookmarkEnd w:id="140"/>
    <w:tbl>
      <w:tblPr>
        <w:tblLayout w:type="fixed"/>
        <w:tblInd w:w="7880" w:type="dxa"/>
        <w:tblCellMar>
          <w:top w:w="0" w:type="dxa"/>
          <w:left w:w="0" w:type="dxa"/>
          <w:bottom w:w="0" w:type="dxa"/>
          <w:right w:w="0" w:type="dxa"/>
        </w:tblCellMar>
      </w:tblPr>
      <w:tr>
        <w:trPr>
          <w:trHeight w:val="220"/>
        </w:trPr>
        <w:tc>
          <w:tcPr>
            <w:tcW w:w="188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580" w:type="dxa"/>
            <w:vAlign w:val="bottom"/>
          </w:tcPr>
          <w:p>
            <w:pPr>
              <w:ind w:left="260"/>
              <w:spacing w:after="0"/>
              <w:rPr>
                <w:sz w:val="20"/>
                <w:szCs w:val="20"/>
                <w:color w:val="auto"/>
              </w:rPr>
            </w:pPr>
            <w:r>
              <w:rPr>
                <w:rFonts w:ascii="Calibri" w:cs="Calibri" w:eastAsia="Calibri" w:hAnsi="Calibri"/>
                <w:sz w:val="18"/>
                <w:szCs w:val="18"/>
                <w:color w:val="auto"/>
                <w:w w:val="93"/>
              </w:rPr>
              <w:t>F-10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78" o:spid="_x0000_s13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79" o:spid="_x0000_s13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Verdana" w:cs="Verdana" w:eastAsia="Verdana" w:hAnsi="Verdana"/>
          <w:sz w:val="20"/>
          <w:szCs w:val="20"/>
          <w:color w:val="214E93"/>
        </w:rPr>
        <w:t>NOTE 2 — SUMMARY OF SIGNIFICANT ACCOUNTING POLICIES — Continued</w:t>
      </w:r>
    </w:p>
    <w:p>
      <w:pPr>
        <w:spacing w:after="0" w:line="209" w:lineRule="exact"/>
        <w:rPr>
          <w:sz w:val="20"/>
          <w:szCs w:val="20"/>
          <w:color w:val="auto"/>
        </w:rPr>
      </w:pPr>
    </w:p>
    <w:p>
      <w:pPr>
        <w:ind w:right="960" w:firstLine="241"/>
        <w:spacing w:after="0" w:line="264" w:lineRule="auto"/>
        <w:rPr>
          <w:sz w:val="20"/>
          <w:szCs w:val="20"/>
          <w:color w:val="auto"/>
        </w:rPr>
      </w:pPr>
      <w:r>
        <w:rPr>
          <w:rFonts w:ascii="Calibri" w:cs="Calibri" w:eastAsia="Calibri" w:hAnsi="Calibri"/>
          <w:sz w:val="18"/>
          <w:szCs w:val="18"/>
          <w:color w:val="auto"/>
        </w:rPr>
        <w:t>Sales of oil and natural gas properties are accounted for as adjustments to net capitalized costs with no gain or loss recognized, unless such adjustments would significantly alter the relationship between net capitalized costs and proved reserves of oil and natural gas. All costs related to production activities and maintenance and repairs are expensed as incurred. Significant workovers that increase the properties’ reserves are capitalized.</w:t>
      </w:r>
    </w:p>
    <w:p>
      <w:pPr>
        <w:spacing w:after="0" w:line="207"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Ceiling Test</w:t>
      </w:r>
    </w:p>
    <w:p>
      <w:pPr>
        <w:spacing w:after="0" w:line="208" w:lineRule="exact"/>
        <w:rPr>
          <w:sz w:val="20"/>
          <w:szCs w:val="20"/>
          <w:color w:val="auto"/>
        </w:rPr>
      </w:pPr>
    </w:p>
    <w:p>
      <w:pPr>
        <w:ind w:right="1180" w:firstLine="241"/>
        <w:spacing w:after="0" w:line="252" w:lineRule="auto"/>
        <w:rPr>
          <w:sz w:val="20"/>
          <w:szCs w:val="20"/>
          <w:color w:val="auto"/>
        </w:rPr>
      </w:pPr>
      <w:r>
        <w:rPr>
          <w:rFonts w:ascii="Calibri" w:cs="Calibri" w:eastAsia="Calibri" w:hAnsi="Calibri"/>
          <w:sz w:val="18"/>
          <w:szCs w:val="18"/>
          <w:color w:val="auto"/>
        </w:rPr>
        <w:t>The net capitalized costs of oil and natural gas properties are limited to the lower of unamortized costs less related deferred income taxes or the cost center “ceiling.” The cost center ceiling is defined as the sum of:</w:t>
      </w:r>
    </w:p>
    <w:p>
      <w:pPr>
        <w:spacing w:after="0" w:line="230" w:lineRule="exact"/>
        <w:rPr>
          <w:sz w:val="20"/>
          <w:szCs w:val="20"/>
          <w:color w:val="auto"/>
        </w:rPr>
      </w:pPr>
    </w:p>
    <w:p>
      <w:pPr>
        <w:ind w:left="700" w:right="780" w:hanging="349"/>
        <w:spacing w:after="0" w:line="252" w:lineRule="auto"/>
        <w:tabs>
          <w:tab w:leader="none" w:pos="700" w:val="left"/>
        </w:tabs>
        <w:numPr>
          <w:ilvl w:val="1"/>
          <w:numId w:val="77"/>
        </w:numPr>
        <w:rPr>
          <w:rFonts w:ascii="Calibri" w:cs="Calibri" w:eastAsia="Calibri" w:hAnsi="Calibri"/>
          <w:sz w:val="18"/>
          <w:szCs w:val="18"/>
          <w:color w:val="auto"/>
        </w:rPr>
      </w:pPr>
      <w:r>
        <w:rPr>
          <w:rFonts w:ascii="Calibri" w:cs="Calibri" w:eastAsia="Calibri" w:hAnsi="Calibri"/>
          <w:sz w:val="18"/>
          <w:szCs w:val="18"/>
          <w:color w:val="auto"/>
        </w:rPr>
        <w:t>the present value, discounted at 10%, of future net revenues of proved oil and natural gas reserves, reduced by the estimated costs of developing these reserves, plus</w:t>
      </w:r>
    </w:p>
    <w:p>
      <w:pPr>
        <w:spacing w:after="0" w:line="213" w:lineRule="exact"/>
        <w:rPr>
          <w:rFonts w:ascii="Calibri" w:cs="Calibri" w:eastAsia="Calibri" w:hAnsi="Calibri"/>
          <w:sz w:val="18"/>
          <w:szCs w:val="18"/>
          <w:color w:val="auto"/>
        </w:rPr>
      </w:pPr>
    </w:p>
    <w:p>
      <w:pPr>
        <w:ind w:left="700" w:hanging="349"/>
        <w:spacing w:after="0"/>
        <w:tabs>
          <w:tab w:leader="none" w:pos="700" w:val="left"/>
        </w:tabs>
        <w:numPr>
          <w:ilvl w:val="1"/>
          <w:numId w:val="77"/>
        </w:numPr>
        <w:rPr>
          <w:rFonts w:ascii="Calibri" w:cs="Calibri" w:eastAsia="Calibri" w:hAnsi="Calibri"/>
          <w:sz w:val="18"/>
          <w:szCs w:val="18"/>
          <w:color w:val="auto"/>
        </w:rPr>
      </w:pPr>
      <w:r>
        <w:rPr>
          <w:rFonts w:ascii="Calibri" w:cs="Calibri" w:eastAsia="Calibri" w:hAnsi="Calibri"/>
          <w:sz w:val="18"/>
          <w:szCs w:val="18"/>
          <w:color w:val="auto"/>
        </w:rPr>
        <w:t>unproved and unevaluated property costs not being amortized, plus</w:t>
      </w:r>
    </w:p>
    <w:p>
      <w:pPr>
        <w:spacing w:after="0" w:line="240" w:lineRule="exact"/>
        <w:rPr>
          <w:rFonts w:ascii="Calibri" w:cs="Calibri" w:eastAsia="Calibri" w:hAnsi="Calibri"/>
          <w:sz w:val="18"/>
          <w:szCs w:val="18"/>
          <w:color w:val="auto"/>
        </w:rPr>
      </w:pPr>
    </w:p>
    <w:p>
      <w:pPr>
        <w:ind w:left="700" w:right="880" w:hanging="349"/>
        <w:spacing w:after="0" w:line="252" w:lineRule="auto"/>
        <w:tabs>
          <w:tab w:leader="none" w:pos="700" w:val="left"/>
        </w:tabs>
        <w:numPr>
          <w:ilvl w:val="1"/>
          <w:numId w:val="77"/>
        </w:numPr>
        <w:rPr>
          <w:rFonts w:ascii="Calibri" w:cs="Calibri" w:eastAsia="Calibri" w:hAnsi="Calibri"/>
          <w:sz w:val="18"/>
          <w:szCs w:val="18"/>
          <w:color w:val="auto"/>
        </w:rPr>
      </w:pPr>
      <w:r>
        <w:rPr>
          <w:rFonts w:ascii="Calibri" w:cs="Calibri" w:eastAsia="Calibri" w:hAnsi="Calibri"/>
          <w:sz w:val="18"/>
          <w:szCs w:val="18"/>
          <w:color w:val="auto"/>
        </w:rPr>
        <w:t>the lower of cost or estimated fair value of unproved and unevaluated properties included in the costs being amortized, if any, less</w:t>
      </w:r>
    </w:p>
    <w:p>
      <w:pPr>
        <w:spacing w:after="0" w:line="213" w:lineRule="exact"/>
        <w:rPr>
          <w:rFonts w:ascii="Calibri" w:cs="Calibri" w:eastAsia="Calibri" w:hAnsi="Calibri"/>
          <w:sz w:val="18"/>
          <w:szCs w:val="18"/>
          <w:color w:val="auto"/>
        </w:rPr>
      </w:pPr>
    </w:p>
    <w:p>
      <w:pPr>
        <w:ind w:left="480" w:hanging="242"/>
        <w:spacing w:after="0"/>
        <w:tabs>
          <w:tab w:leader="none" w:pos="480" w:val="left"/>
        </w:tabs>
        <w:numPr>
          <w:ilvl w:val="0"/>
          <w:numId w:val="78"/>
        </w:numPr>
        <w:rPr>
          <w:rFonts w:ascii="Calibri" w:cs="Calibri" w:eastAsia="Calibri" w:hAnsi="Calibri"/>
          <w:sz w:val="18"/>
          <w:szCs w:val="18"/>
          <w:color w:val="auto"/>
        </w:rPr>
      </w:pPr>
      <w:r>
        <w:rPr>
          <w:rFonts w:ascii="Calibri" w:cs="Calibri" w:eastAsia="Calibri" w:hAnsi="Calibri"/>
          <w:sz w:val="18"/>
          <w:szCs w:val="18"/>
          <w:color w:val="auto"/>
        </w:rPr>
        <w:t>any income tax effects related to the properties involved.</w:t>
      </w:r>
    </w:p>
    <w:p>
      <w:pPr>
        <w:spacing w:after="0" w:line="241" w:lineRule="exact"/>
        <w:rPr>
          <w:sz w:val="20"/>
          <w:szCs w:val="20"/>
          <w:color w:val="auto"/>
        </w:rPr>
      </w:pPr>
    </w:p>
    <w:p>
      <w:pPr>
        <w:ind w:right="900" w:firstLine="241"/>
        <w:spacing w:after="0" w:line="261" w:lineRule="auto"/>
        <w:rPr>
          <w:sz w:val="20"/>
          <w:szCs w:val="20"/>
          <w:color w:val="auto"/>
        </w:rPr>
      </w:pPr>
      <w:r>
        <w:rPr>
          <w:rFonts w:ascii="Calibri" w:cs="Calibri" w:eastAsia="Calibri" w:hAnsi="Calibri"/>
          <w:sz w:val="18"/>
          <w:szCs w:val="18"/>
          <w:color w:val="auto"/>
        </w:rPr>
        <w:t>Any excess of the Company’s net capitalized costs above the cost center ceiling as described above is charged to operations as a full-cost ceiling impairment. The Company’s derivative instruments are not considered in the ceiling test computations as the Company does not designate these instruments as hedge instruments for accounting purposes.</w:t>
      </w:r>
    </w:p>
    <w:p>
      <w:pPr>
        <w:spacing w:after="0" w:line="223" w:lineRule="exact"/>
        <w:rPr>
          <w:sz w:val="20"/>
          <w:szCs w:val="20"/>
          <w:color w:val="auto"/>
        </w:rPr>
      </w:pPr>
    </w:p>
    <w:p>
      <w:pPr>
        <w:ind w:right="780" w:firstLine="241"/>
        <w:spacing w:after="0" w:line="269" w:lineRule="auto"/>
        <w:rPr>
          <w:sz w:val="20"/>
          <w:szCs w:val="20"/>
          <w:color w:val="auto"/>
        </w:rPr>
      </w:pPr>
      <w:r>
        <w:rPr>
          <w:rFonts w:ascii="Calibri" w:cs="Calibri" w:eastAsia="Calibri" w:hAnsi="Calibri"/>
          <w:sz w:val="18"/>
          <w:szCs w:val="18"/>
          <w:color w:val="auto"/>
        </w:rPr>
        <w:t>The estimated present value of after-tax future net cash flows from proved oil and natural gas reserves is highly dependent upon the quantities of proved reserves, the estimation of which requires substantial judgment. The associated commodity prices and the applicable discount rate used in these estimates are in accordance with guidelines established by the SEC. Under these guidelines, oil and natural gas reserves are estimated using then-current operating and economic conditions, with no provision for price and cost changes in future periods except by contractual arrangements. Future net revenues are calculated using prices that represent the arithmetic averages of the first-day-of-the-month oil and natural gas prices for the previous 12-month period, and a 10% discount factor is used to determine the present value of future net revenues. For the period from January through December 2025, these average oil and natural gas prices were $61.82 per Bbl and $3.39 per MMBtu, respectively. For the period from January through December 2024, these average oil and natural gas prices were $71.96 per Bbl and $2.13 per MMBtu, respectively. For the period from January through December 2023, these average oil and natural gas prices were $74.70 per Bbl and $2.64 per MMBtu, respectively. In estimating the present value of after-tax future net cash flows from proved oil and natural gas reserves, the average oil prices were further adjusted by property for quality, transportation and marketing fees and regional price differentials, and the average natural gas prices were further adjusted by property for energy content, transportation and marketing fees and regional price differentials.</w:t>
      </w:r>
    </w:p>
    <w:p>
      <w:pPr>
        <w:spacing w:after="0" w:line="220" w:lineRule="exact"/>
        <w:rPr>
          <w:sz w:val="20"/>
          <w:szCs w:val="20"/>
          <w:color w:val="auto"/>
        </w:rPr>
      </w:pPr>
    </w:p>
    <w:p>
      <w:pPr>
        <w:ind w:right="780" w:firstLine="241"/>
        <w:spacing w:after="0" w:line="266" w:lineRule="auto"/>
        <w:rPr>
          <w:sz w:val="20"/>
          <w:szCs w:val="20"/>
          <w:color w:val="auto"/>
        </w:rPr>
      </w:pPr>
      <w:r>
        <w:rPr>
          <w:rFonts w:ascii="Calibri" w:cs="Calibri" w:eastAsia="Calibri" w:hAnsi="Calibri"/>
          <w:sz w:val="18"/>
          <w:szCs w:val="18"/>
          <w:color w:val="auto"/>
        </w:rPr>
        <w:t>During the years ended December 31, 2025, 2024 and 2023, the Company’s full-cost ceiling exceeded the net capitalized costs less related deferred income taxes. As a result, the Company recorded no impairment to its net capitalized costs during the years ended December 31, 2025, 2024 and 2023. Changes in oil and natural gas production rates, oil and natural gas prices, reserves estimates, future development costs and other factors will determine the Company’s actual ceiling test computation and impairment analyses in future periods.</w:t>
      </w:r>
    </w:p>
    <w:p>
      <w:pPr>
        <w:sectPr>
          <w:pgSz w:w="11880" w:h="15480" w:orient="portrait"/>
          <w:cols w:equalWidth="0" w:num="1">
            <w:col w:w="10340"/>
          </w:cols>
          <w:pgMar w:left="1160" w:top="498"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900"/>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0340"/>
          </w:cols>
          <w:pgMar w:left="1160" w:top="498" w:right="380" w:bottom="0" w:gutter="0" w:footer="0" w:header="0"/>
          <w:type w:val="continuous"/>
        </w:sectPr>
      </w:pPr>
    </w:p>
    <w:bookmarkStart w:id="141" w:name="page142"/>
    <w:bookmarkEnd w:id="141"/>
    <w:p>
      <w:pPr>
        <w:spacing w:after="0"/>
        <w:tabs>
          <w:tab w:leader="none" w:pos="800" w:val="left"/>
        </w:tabs>
        <w:rPr>
          <w:sz w:val="20"/>
          <w:szCs w:val="20"/>
          <w:color w:val="auto"/>
        </w:rPr>
      </w:pPr>
      <w:r>
        <w:rPr>
          <w:rFonts w:ascii="Calibri" w:cs="Calibri" w:eastAsia="Calibri" w:hAnsi="Calibri"/>
          <w:sz w:val="18"/>
          <w:szCs w:val="18"/>
          <w:color w:val="auto"/>
        </w:rPr>
        <w:t>F-11</w:t>
      </w:r>
      <w:r>
        <w:rPr>
          <w:sz w:val="20"/>
          <w:szCs w:val="20"/>
          <w:color w:val="auto"/>
        </w:rPr>
        <w:tab/>
      </w:r>
      <w:r>
        <w:rPr>
          <w:rFonts w:ascii="Calibri" w:cs="Calibri" w:eastAsia="Calibri" w:hAnsi="Calibri"/>
          <w:sz w:val="17"/>
          <w:szCs w:val="17"/>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490220</wp:posOffset>
                </wp:positionH>
                <wp:positionV relativeFrom="paragraph">
                  <wp:posOffset>320675</wp:posOffset>
                </wp:positionV>
                <wp:extent cx="6812280" cy="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80" o:spid="_x0000_s13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25.25pt" to="57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490220</wp:posOffset>
                </wp:positionH>
                <wp:positionV relativeFrom="paragraph">
                  <wp:posOffset>320675</wp:posOffset>
                </wp:positionV>
                <wp:extent cx="6812280" cy="0"/>
                <wp:wrapNone/>
                <wp:docPr id="281" name="Shape 2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81" o:spid="_x0000_s13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25.25pt" to="57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80"/>
        <w:spacing w:after="0"/>
        <w:rPr>
          <w:sz w:val="20"/>
          <w:szCs w:val="20"/>
          <w:color w:val="auto"/>
        </w:rPr>
      </w:pPr>
      <w:r>
        <w:rPr>
          <w:rFonts w:ascii="Verdana" w:cs="Verdana" w:eastAsia="Verdana" w:hAnsi="Verdana"/>
          <w:sz w:val="20"/>
          <w:szCs w:val="20"/>
          <w:color w:val="214E93"/>
        </w:rPr>
        <w:t>NOTE 2 — SUMMARY OF SIGNIFICANT ACCOUNTING POLICIES — Continued</w:t>
      </w:r>
    </w:p>
    <w:p>
      <w:pPr>
        <w:spacing w:after="0" w:line="196" w:lineRule="exact"/>
        <w:rPr>
          <w:sz w:val="20"/>
          <w:szCs w:val="20"/>
          <w:color w:val="auto"/>
        </w:rPr>
      </w:pPr>
    </w:p>
    <w:p>
      <w:pPr>
        <w:ind w:left="780"/>
        <w:spacing w:after="0"/>
        <w:rPr>
          <w:sz w:val="20"/>
          <w:szCs w:val="20"/>
          <w:color w:val="auto"/>
        </w:rPr>
      </w:pPr>
      <w:r>
        <w:rPr>
          <w:rFonts w:ascii="Calibri" w:cs="Calibri" w:eastAsia="Calibri" w:hAnsi="Calibri"/>
          <w:sz w:val="19"/>
          <w:szCs w:val="19"/>
          <w:i w:val="1"/>
          <w:iCs w:val="1"/>
          <w:color w:val="214E93"/>
        </w:rPr>
        <w:t>Midstream Properties and Other Property and Equipment</w:t>
      </w:r>
    </w:p>
    <w:p>
      <w:pPr>
        <w:spacing w:after="0" w:line="208" w:lineRule="exact"/>
        <w:rPr>
          <w:sz w:val="20"/>
          <w:szCs w:val="20"/>
          <w:color w:val="auto"/>
        </w:rPr>
      </w:pPr>
    </w:p>
    <w:p>
      <w:pPr>
        <w:ind w:left="780" w:right="40" w:firstLine="241"/>
        <w:spacing w:after="0" w:line="286" w:lineRule="auto"/>
        <w:rPr>
          <w:sz w:val="20"/>
          <w:szCs w:val="20"/>
          <w:color w:val="auto"/>
        </w:rPr>
      </w:pPr>
      <w:r>
        <w:rPr>
          <w:rFonts w:ascii="Calibri" w:cs="Calibri" w:eastAsia="Calibri" w:hAnsi="Calibri"/>
          <w:sz w:val="17"/>
          <w:szCs w:val="17"/>
          <w:color w:val="auto"/>
        </w:rPr>
        <w:t>Midstream properties and other property and equipment are recorded at historical cost or acquisition date fair value and include midstream equipment and facilities, including the Company’s pipelines, processing facilities and produced water disposal systems, and corporate assets, including furniture, fixtures, equipment, land and leasehold improvements. Midstream equipment and facilities are depreciated over a 30-year useful life using the straight-line, mid-month convention method. Leasehold improvements are depreciated over the lesser of their useful lives or the term of the lease. Software, furniture, fixtures and other equipment are depreciated over their useful life (five to 30 years) using the straight-line method. The Company capitalized $3.5 million, $3.4 million and $2.9 million of general and administrative costs into midstream properties in 2025, 2024 and 2023, respectively. The Company capitalized $7.6 million, $12.2 million and $2.1 million of interest expense into midstream properties for the years ended December 31, 2025, 2024 and 2023, respectively. Maintenance and repair costs that do not extend the useful life of the property or equipment are expensed as incurred. See Note 3 for a detail of midstream properties and other property and equipment.</w:t>
      </w:r>
    </w:p>
    <w:p>
      <w:pPr>
        <w:spacing w:after="0" w:line="203" w:lineRule="exact"/>
        <w:rPr>
          <w:sz w:val="20"/>
          <w:szCs w:val="20"/>
          <w:color w:val="auto"/>
        </w:rPr>
      </w:pPr>
    </w:p>
    <w:p>
      <w:pPr>
        <w:ind w:left="780" w:firstLine="241"/>
        <w:spacing w:after="0" w:line="284" w:lineRule="auto"/>
        <w:rPr>
          <w:sz w:val="20"/>
          <w:szCs w:val="20"/>
          <w:color w:val="auto"/>
        </w:rPr>
      </w:pPr>
      <w:r>
        <w:rPr>
          <w:rFonts w:ascii="Calibri" w:cs="Calibri" w:eastAsia="Calibri" w:hAnsi="Calibri"/>
          <w:sz w:val="17"/>
          <w:szCs w:val="17"/>
          <w:color w:val="auto"/>
        </w:rPr>
        <w:t>The Company evaluates midstream properties and other property and equipment for potential impairment whenever events or changes in circumstances indicate that their carrying value may not be recoverable. The carrying amount of a long-lived asset is not recoverable when it exceeds the undiscounted sum of the future cash flows expected to result from the use and eventual disposition of the asset. Expected future cash flows represent management’s estimates based on reasonable and supportable assumptions.</w:t>
      </w:r>
    </w:p>
    <w:p>
      <w:pPr>
        <w:spacing w:after="0" w:line="205" w:lineRule="exact"/>
        <w:rPr>
          <w:sz w:val="20"/>
          <w:szCs w:val="20"/>
          <w:color w:val="auto"/>
        </w:rPr>
      </w:pPr>
    </w:p>
    <w:p>
      <w:pPr>
        <w:ind w:left="780" w:right="100" w:firstLine="241"/>
        <w:spacing w:after="0" w:line="252" w:lineRule="auto"/>
        <w:rPr>
          <w:sz w:val="20"/>
          <w:szCs w:val="20"/>
          <w:color w:val="auto"/>
        </w:rPr>
      </w:pPr>
      <w:r>
        <w:rPr>
          <w:rFonts w:ascii="Calibri" w:cs="Calibri" w:eastAsia="Calibri" w:hAnsi="Calibri"/>
          <w:sz w:val="18"/>
          <w:szCs w:val="18"/>
          <w:color w:val="auto"/>
        </w:rPr>
        <w:t>Gains and losses associated with the disposition of midstream properties and other property and equipment are recognized as a component of other income (expense) in the consolidated statements of income.</w:t>
      </w:r>
    </w:p>
    <w:p>
      <w:pPr>
        <w:spacing w:after="0" w:line="216" w:lineRule="exact"/>
        <w:rPr>
          <w:sz w:val="20"/>
          <w:szCs w:val="20"/>
          <w:color w:val="auto"/>
        </w:rPr>
      </w:pPr>
    </w:p>
    <w:p>
      <w:pPr>
        <w:ind w:left="780"/>
        <w:spacing w:after="0"/>
        <w:rPr>
          <w:sz w:val="20"/>
          <w:szCs w:val="20"/>
          <w:color w:val="auto"/>
        </w:rPr>
      </w:pPr>
      <w:r>
        <w:rPr>
          <w:rFonts w:ascii="Calibri" w:cs="Calibri" w:eastAsia="Calibri" w:hAnsi="Calibri"/>
          <w:sz w:val="19"/>
          <w:szCs w:val="19"/>
          <w:i w:val="1"/>
          <w:iCs w:val="1"/>
          <w:color w:val="214E93"/>
        </w:rPr>
        <w:t>Asset Retirement Obligations</w:t>
      </w:r>
    </w:p>
    <w:p>
      <w:pPr>
        <w:spacing w:after="0" w:line="208" w:lineRule="exact"/>
        <w:rPr>
          <w:sz w:val="20"/>
          <w:szCs w:val="20"/>
          <w:color w:val="auto"/>
        </w:rPr>
      </w:pPr>
    </w:p>
    <w:p>
      <w:pPr>
        <w:ind w:left="780" w:right="200" w:firstLine="241"/>
        <w:spacing w:after="0" w:line="266" w:lineRule="auto"/>
        <w:rPr>
          <w:sz w:val="20"/>
          <w:szCs w:val="20"/>
          <w:color w:val="auto"/>
        </w:rPr>
      </w:pPr>
      <w:r>
        <w:rPr>
          <w:rFonts w:ascii="Calibri" w:cs="Calibri" w:eastAsia="Calibri" w:hAnsi="Calibri"/>
          <w:sz w:val="18"/>
          <w:szCs w:val="18"/>
          <w:color w:val="auto"/>
        </w:rPr>
        <w:t>The Company recognizes the fair value of an asset retirement obligation in the period in which it is incurred if a reasonable estimate of fair value can be made. The asset retirement obligation is recorded as a liability at its estimated present value, with an offsetting increase recognized in oil and natural gas properties, midstream properties or other property and equipment on the consolidated balance sheets. Periodic accretion of the discounted value of the estimated liability is recorded as an expense in the consolidated statements of income.</w:t>
      </w:r>
    </w:p>
    <w:p>
      <w:pPr>
        <w:spacing w:after="0" w:line="204" w:lineRule="exact"/>
        <w:rPr>
          <w:sz w:val="20"/>
          <w:szCs w:val="20"/>
          <w:color w:val="auto"/>
        </w:rPr>
      </w:pPr>
    </w:p>
    <w:p>
      <w:pPr>
        <w:ind w:left="780"/>
        <w:spacing w:after="0"/>
        <w:rPr>
          <w:sz w:val="20"/>
          <w:szCs w:val="20"/>
          <w:color w:val="auto"/>
        </w:rPr>
      </w:pPr>
      <w:r>
        <w:rPr>
          <w:rFonts w:ascii="Calibri" w:cs="Calibri" w:eastAsia="Calibri" w:hAnsi="Calibri"/>
          <w:sz w:val="19"/>
          <w:szCs w:val="19"/>
          <w:i w:val="1"/>
          <w:iCs w:val="1"/>
          <w:color w:val="214E93"/>
        </w:rPr>
        <w:t>Derivative Financial Instruments</w:t>
      </w:r>
    </w:p>
    <w:p>
      <w:pPr>
        <w:spacing w:after="0" w:line="208" w:lineRule="exact"/>
        <w:rPr>
          <w:sz w:val="20"/>
          <w:szCs w:val="20"/>
          <w:color w:val="auto"/>
        </w:rPr>
      </w:pPr>
    </w:p>
    <w:p>
      <w:pPr>
        <w:ind w:left="780" w:firstLine="241"/>
        <w:spacing w:after="0" w:line="269" w:lineRule="auto"/>
        <w:rPr>
          <w:sz w:val="20"/>
          <w:szCs w:val="20"/>
          <w:color w:val="auto"/>
        </w:rPr>
      </w:pPr>
      <w:r>
        <w:rPr>
          <w:rFonts w:ascii="Calibri" w:cs="Calibri" w:eastAsia="Calibri" w:hAnsi="Calibri"/>
          <w:sz w:val="18"/>
          <w:szCs w:val="18"/>
          <w:color w:val="auto"/>
        </w:rPr>
        <w:t>From time to time, the Company uses derivative financial instruments to mitigate its exposure to commodity price risk associated with oil, natural gas and NGL prices. The Company’s derivative financial instruments are recorded on the consolidated balance sheets as either an asset or a liability measured at fair value. The Company has elected not to apply hedge accounting for its existing derivative financial instruments, and as a result, the Company recognizes the change in derivative fair value between reporting periods currently in its consolidated statements of income. The fair value of the Company’s derivative financial instruments is determined using industry-standard models that consider various inputs including: (i) quoted forward prices for commodities, (ii) time value of money and (iii) current market and contractual prices for the underlying instruments, as well as other relevant economic measures. Realized gains and losses from the settlement of derivative financial instruments and unrealized gains and unrealized losses from valuation changes in the remaining unsettled derivative financial instruments are reported as a component of revenues in the consolidated statements of income. See Note 12 for additional information about the Company’s derivative instruments.</w:t>
      </w:r>
    </w:p>
    <w:p>
      <w:pPr>
        <w:spacing w:after="0" w:line="201" w:lineRule="exact"/>
        <w:rPr>
          <w:sz w:val="20"/>
          <w:szCs w:val="20"/>
          <w:color w:val="auto"/>
        </w:rPr>
      </w:pPr>
    </w:p>
    <w:p>
      <w:pPr>
        <w:ind w:left="780"/>
        <w:spacing w:after="0"/>
        <w:rPr>
          <w:sz w:val="20"/>
          <w:szCs w:val="20"/>
          <w:color w:val="auto"/>
        </w:rPr>
      </w:pPr>
      <w:r>
        <w:rPr>
          <w:rFonts w:ascii="Calibri" w:cs="Calibri" w:eastAsia="Calibri" w:hAnsi="Calibri"/>
          <w:sz w:val="19"/>
          <w:szCs w:val="19"/>
          <w:i w:val="1"/>
          <w:iCs w:val="1"/>
          <w:color w:val="214E93"/>
        </w:rPr>
        <w:t>Revenues</w:t>
      </w:r>
    </w:p>
    <w:p>
      <w:pPr>
        <w:spacing w:after="0" w:line="208" w:lineRule="exact"/>
        <w:rPr>
          <w:sz w:val="20"/>
          <w:szCs w:val="20"/>
          <w:color w:val="auto"/>
        </w:rPr>
      </w:pPr>
    </w:p>
    <w:p>
      <w:pPr>
        <w:ind w:left="780" w:right="40" w:firstLine="241"/>
        <w:spacing w:after="0" w:line="267" w:lineRule="auto"/>
        <w:rPr>
          <w:sz w:val="20"/>
          <w:szCs w:val="20"/>
          <w:color w:val="auto"/>
        </w:rPr>
      </w:pPr>
      <w:r>
        <w:rPr>
          <w:rFonts w:ascii="Calibri" w:cs="Calibri" w:eastAsia="Calibri" w:hAnsi="Calibri"/>
          <w:sz w:val="18"/>
          <w:szCs w:val="18"/>
          <w:color w:val="auto"/>
        </w:rPr>
        <w:t>The Company enters into contracts with customers to sell its oil and natural gas production. Revenue from these contracts is recognized when the Company’s performance obligations under these contracts are satisfied, which generally occurs with the transfer of control of the oil and natural gas to the purchaser. Control is generally considered transferred when the following criteria are met: (i) transfer of physical custody, (ii) transfer of title, (iii) transfer of risk of loss and (iv) relinquishment of any repurchase rights or other similar rights. Given the nature of the products sold, revenue is recognized at a point in time based on the amount of consideration the Company expects to receive in accordance with the price specified in the contract. Consideration under oil and natural gas marketing contracts is typically received from the purchaser one to two months after production.</w:t>
      </w:r>
    </w:p>
    <w:p>
      <w:pPr>
        <w:sectPr>
          <w:pgSz w:w="11880" w:h="15480" w:orient="portrait"/>
          <w:cols w:equalWidth="0" w:num="1">
            <w:col w:w="10340"/>
          </w:cols>
          <w:pgMar w:left="38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0340"/>
          </w:cols>
          <w:pgMar w:left="380" w:top="498" w:right="1160" w:bottom="0" w:gutter="0" w:footer="0" w:header="0"/>
          <w:type w:val="continuous"/>
        </w:sectPr>
      </w:pPr>
    </w:p>
    <w:bookmarkStart w:id="142" w:name="page143"/>
    <w:bookmarkEnd w:id="142"/>
    <w:tbl>
      <w:tblPr>
        <w:tblLayout w:type="fixed"/>
        <w:tblInd w:w="7880" w:type="dxa"/>
        <w:tblCellMar>
          <w:top w:w="0" w:type="dxa"/>
          <w:left w:w="0" w:type="dxa"/>
          <w:bottom w:w="0" w:type="dxa"/>
          <w:right w:w="0" w:type="dxa"/>
        </w:tblCellMar>
      </w:tblPr>
      <w:tr>
        <w:trPr>
          <w:trHeight w:val="220"/>
        </w:trPr>
        <w:tc>
          <w:tcPr>
            <w:tcW w:w="188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580" w:type="dxa"/>
            <w:vAlign w:val="bottom"/>
          </w:tcPr>
          <w:p>
            <w:pPr>
              <w:ind w:left="260"/>
              <w:spacing w:after="0"/>
              <w:rPr>
                <w:sz w:val="20"/>
                <w:szCs w:val="20"/>
                <w:color w:val="auto"/>
              </w:rPr>
            </w:pPr>
            <w:r>
              <w:rPr>
                <w:rFonts w:ascii="Calibri" w:cs="Calibri" w:eastAsia="Calibri" w:hAnsi="Calibri"/>
                <w:sz w:val="18"/>
                <w:szCs w:val="18"/>
                <w:color w:val="auto"/>
                <w:w w:val="93"/>
              </w:rPr>
              <w:t>F-12</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282" name="Shape 2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82" o:spid="_x0000_s13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283" name="Shape 2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83" o:spid="_x0000_s13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Verdana" w:cs="Verdana" w:eastAsia="Verdana" w:hAnsi="Verdana"/>
          <w:sz w:val="20"/>
          <w:szCs w:val="20"/>
          <w:color w:val="214E93"/>
        </w:rPr>
        <w:t>NOTE 2 — SUMMARY OF SIGNIFICANT ACCOUNTING POLICIES — Continued</w:t>
      </w:r>
    </w:p>
    <w:p>
      <w:pPr>
        <w:spacing w:after="0" w:line="209" w:lineRule="exact"/>
        <w:rPr>
          <w:sz w:val="20"/>
          <w:szCs w:val="20"/>
          <w:color w:val="auto"/>
        </w:rPr>
      </w:pPr>
    </w:p>
    <w:p>
      <w:pPr>
        <w:ind w:right="980" w:firstLine="241"/>
        <w:spacing w:after="0" w:line="268" w:lineRule="auto"/>
        <w:rPr>
          <w:sz w:val="20"/>
          <w:szCs w:val="20"/>
          <w:color w:val="auto"/>
        </w:rPr>
      </w:pPr>
      <w:r>
        <w:rPr>
          <w:rFonts w:ascii="Calibri" w:cs="Calibri" w:eastAsia="Calibri" w:hAnsi="Calibri"/>
          <w:sz w:val="18"/>
          <w:szCs w:val="18"/>
          <w:color w:val="auto"/>
        </w:rPr>
        <w:t>The majority of the Company’s oil marketing contracts transfer physical custody and title at or near the wellhead or a central delivery point, which is generally when control of the oil has been transferred to the purchaser. The majority of the oil produced is sold under contracts using market-based pricing, which price is then adjusted for differentials based upon delivery location and oil quality. To the extent the differentials are incurred at or after the transfer of control of the oil, the differentials are included in oil revenues on the statements of income, as they represent part of the transaction price of the contract. If the differentials, or other related costs, are incurred prior to the transfer of control of the oil, those costs are included in transportation and processing expenses on the Company’s consolidated statements of income, as they represent payment for services performed outside of the contract with the customer.</w:t>
      </w:r>
    </w:p>
    <w:p>
      <w:pPr>
        <w:spacing w:after="0" w:line="217" w:lineRule="exact"/>
        <w:rPr>
          <w:sz w:val="20"/>
          <w:szCs w:val="20"/>
          <w:color w:val="auto"/>
        </w:rPr>
      </w:pPr>
    </w:p>
    <w:p>
      <w:pPr>
        <w:ind w:right="840" w:firstLine="241"/>
        <w:spacing w:after="0" w:line="268" w:lineRule="auto"/>
        <w:rPr>
          <w:sz w:val="20"/>
          <w:szCs w:val="20"/>
          <w:color w:val="auto"/>
        </w:rPr>
      </w:pPr>
      <w:r>
        <w:rPr>
          <w:rFonts w:ascii="Calibri" w:cs="Calibri" w:eastAsia="Calibri" w:hAnsi="Calibri"/>
          <w:sz w:val="18"/>
          <w:szCs w:val="18"/>
          <w:color w:val="auto"/>
        </w:rPr>
        <w:t>The Company’s natural gas is sold at the lease location, at the inlet or outlet of a natural gas processing plant or at an interconnect near a marketing hub following transportation from a processing plant. The majority of the Company’s natural gas is sold under fee-based contracts. When the natural gas is sold at the lease, the purchaser gathers the natural gas via pipeline to natural gas processing plants where, if necessary, NGLs are extracted. The NGLs and remaining residue natural gas are then sold by the purchaser, or if the Company elects to take in-kind the natural gas or the NGLs, the Company sells the natural gas or the NGLs to a third party. Under the fee-based contracts, the Company receives NGL and residue natural gas value, less the fee component, or is invoiced the fee component. To the extent control of the natural gas transfers upstream of the gathering and processing activities, revenue is recognized as the net amount received from the purchaser. To the extent that control transfers downstream of those services, revenue is recognized on a gross basis, and the related costs are included in transportation and processing expenses on the Company’s consolidated statements of income.</w:t>
      </w:r>
    </w:p>
    <w:p>
      <w:pPr>
        <w:spacing w:after="0" w:line="222" w:lineRule="exact"/>
        <w:rPr>
          <w:sz w:val="20"/>
          <w:szCs w:val="20"/>
          <w:color w:val="auto"/>
        </w:rPr>
      </w:pPr>
    </w:p>
    <w:p>
      <w:pPr>
        <w:ind w:right="780" w:firstLine="241"/>
        <w:spacing w:after="0" w:line="268" w:lineRule="auto"/>
        <w:rPr>
          <w:sz w:val="20"/>
          <w:szCs w:val="20"/>
          <w:color w:val="auto"/>
        </w:rPr>
      </w:pPr>
      <w:r>
        <w:rPr>
          <w:rFonts w:ascii="Calibri" w:cs="Calibri" w:eastAsia="Calibri" w:hAnsi="Calibri"/>
          <w:sz w:val="18"/>
          <w:szCs w:val="18"/>
          <w:color w:val="auto"/>
        </w:rPr>
        <w:t>The Company recognizes midstream services revenues at the time services have been rendered and the price is fixed and determinable. Third-party midstream services revenues are those revenues from midstream operations related to third parties, including working interest owners in the Company’s operated wells. All midstream services revenues related to the Company’s working interest are eliminated in consolidation. Since the Company has a right to payment from its customers in amounts that correspond directly to the value that the customer receives from the performance completed on each contract, the Company applies the practical expedient in ASC Topic 606, Revenue from Contracts with Customers that allows recognition of revenue in the amount for which there is a right to invoice the customer without estimating a transaction price for each contract and allocating that transaction price to the performance obligations within each contract.</w:t>
      </w:r>
    </w:p>
    <w:p>
      <w:pPr>
        <w:spacing w:after="0" w:line="217" w:lineRule="exact"/>
        <w:rPr>
          <w:sz w:val="20"/>
          <w:szCs w:val="20"/>
          <w:color w:val="auto"/>
        </w:rPr>
      </w:pPr>
    </w:p>
    <w:p>
      <w:pPr>
        <w:ind w:right="780" w:firstLine="241"/>
        <w:spacing w:after="0" w:line="268" w:lineRule="auto"/>
        <w:rPr>
          <w:sz w:val="20"/>
          <w:szCs w:val="20"/>
          <w:color w:val="auto"/>
        </w:rPr>
      </w:pPr>
      <w:r>
        <w:rPr>
          <w:rFonts w:ascii="Calibri" w:cs="Calibri" w:eastAsia="Calibri" w:hAnsi="Calibri"/>
          <w:sz w:val="18"/>
          <w:szCs w:val="18"/>
          <w:color w:val="auto"/>
        </w:rPr>
        <w:t>The Company periodically enters into natural gas purchase transactions with third parties whereby the Company (i) purchases the third party’s natural gas and subsequently sells the natural gas to other purchasers or (ii) processes the third party’s natural gas at San Mateo’s Marlan cryogenic natural gas processing plant in Eddy County, New Mexico (the “Marlan Processing Plant”) or Black River cryogenic natural gas processing plant in Eddy County, New Mexico (the “Black River Processing Plant”) and then purchases, and subsequently sells, the residue natural gas and NGLs to other purchasers. Revenues and expenses from these transactions are presented on a gross basis on the Company’s consolidated statements of income as the Company acts as a principal in the transactions by assuming the risk and rewards of ownership, including credit risk, of the natural gas purchased and by assuming the responsibility to deliver and process the natural gas volumes to be sold.</w:t>
      </w:r>
    </w:p>
    <w:p>
      <w:pPr>
        <w:sectPr>
          <w:pgSz w:w="11880" w:h="15480" w:orient="portrait"/>
          <w:cols w:equalWidth="0" w:num="1">
            <w:col w:w="10340"/>
          </w:cols>
          <w:pgMar w:left="1160" w:top="498"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900"/>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0340"/>
          </w:cols>
          <w:pgMar w:left="1160" w:top="498" w:right="380" w:bottom="0" w:gutter="0" w:footer="0" w:header="0"/>
          <w:type w:val="continuous"/>
        </w:sectPr>
      </w:pPr>
    </w:p>
    <w:bookmarkStart w:id="143" w:name="page144"/>
    <w:bookmarkEnd w:id="143"/>
    <w:p>
      <w:pPr>
        <w:spacing w:after="0"/>
        <w:tabs>
          <w:tab w:leader="none" w:pos="800" w:val="left"/>
        </w:tabs>
        <w:rPr>
          <w:sz w:val="20"/>
          <w:szCs w:val="20"/>
          <w:color w:val="auto"/>
        </w:rPr>
      </w:pPr>
      <w:r>
        <w:rPr>
          <w:rFonts w:ascii="Calibri" w:cs="Calibri" w:eastAsia="Calibri" w:hAnsi="Calibri"/>
          <w:sz w:val="18"/>
          <w:szCs w:val="18"/>
          <w:color w:val="auto"/>
        </w:rPr>
        <w:t>F-13</w:t>
      </w:r>
      <w:r>
        <w:rPr>
          <w:sz w:val="20"/>
          <w:szCs w:val="20"/>
          <w:color w:val="auto"/>
        </w:rPr>
        <w:tab/>
      </w:r>
      <w:r>
        <w:rPr>
          <w:rFonts w:ascii="Calibri" w:cs="Calibri" w:eastAsia="Calibri" w:hAnsi="Calibri"/>
          <w:sz w:val="17"/>
          <w:szCs w:val="17"/>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490220</wp:posOffset>
                </wp:positionH>
                <wp:positionV relativeFrom="paragraph">
                  <wp:posOffset>320675</wp:posOffset>
                </wp:positionV>
                <wp:extent cx="6812280" cy="0"/>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84" o:spid="_x0000_s13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25.25pt" to="57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490220</wp:posOffset>
                </wp:positionH>
                <wp:positionV relativeFrom="paragraph">
                  <wp:posOffset>320675</wp:posOffset>
                </wp:positionV>
                <wp:extent cx="6812280" cy="0"/>
                <wp:wrapNone/>
                <wp:docPr id="285" name="Shape 2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85" o:spid="_x0000_s13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25.25pt" to="57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80"/>
        <w:spacing w:after="0"/>
        <w:rPr>
          <w:sz w:val="20"/>
          <w:szCs w:val="20"/>
          <w:color w:val="auto"/>
        </w:rPr>
      </w:pPr>
      <w:r>
        <w:rPr>
          <w:rFonts w:ascii="Verdana" w:cs="Verdana" w:eastAsia="Verdana" w:hAnsi="Verdana"/>
          <w:sz w:val="20"/>
          <w:szCs w:val="20"/>
          <w:color w:val="214E93"/>
        </w:rPr>
        <w:t>NOTE 2 — SUMMARY OF SIGNIFICANT ACCOUNTING POLICIES — Continued</w:t>
      </w:r>
    </w:p>
    <w:p>
      <w:pPr>
        <w:spacing w:after="0" w:line="209" w:lineRule="exact"/>
        <w:rPr>
          <w:sz w:val="20"/>
          <w:szCs w:val="20"/>
          <w:color w:val="auto"/>
        </w:rPr>
      </w:pPr>
    </w:p>
    <w:p>
      <w:pPr>
        <w:ind w:left="780" w:right="180" w:firstLine="241"/>
        <w:spacing w:after="0" w:line="252" w:lineRule="auto"/>
        <w:rPr>
          <w:sz w:val="20"/>
          <w:szCs w:val="20"/>
          <w:color w:val="auto"/>
        </w:rPr>
      </w:pPr>
      <w:r>
        <w:rPr>
          <w:rFonts w:ascii="Calibri" w:cs="Calibri" w:eastAsia="Calibri" w:hAnsi="Calibri"/>
          <w:sz w:val="18"/>
          <w:szCs w:val="18"/>
          <w:color w:val="auto"/>
        </w:rPr>
        <w:t>The following table summarizes the Company’s total revenues and revenues from contracts with customers on a disaggregated basis for the years ended December 31, 2025, 2024 and 2023 (in thousands).</w:t>
      </w:r>
    </w:p>
    <w:p>
      <w:pPr>
        <w:spacing w:after="0" w:line="306" w:lineRule="exact"/>
        <w:rPr>
          <w:sz w:val="20"/>
          <w:szCs w:val="20"/>
          <w:color w:val="auto"/>
        </w:rPr>
      </w:pPr>
    </w:p>
    <w:tbl>
      <w:tblPr>
        <w:tblLayout w:type="fixed"/>
        <w:tblInd w:w="780" w:type="dxa"/>
        <w:tblCellMar>
          <w:top w:w="0" w:type="dxa"/>
          <w:left w:w="0" w:type="dxa"/>
          <w:bottom w:w="0" w:type="dxa"/>
          <w:right w:w="0" w:type="dxa"/>
        </w:tblCellMar>
      </w:tblPr>
      <w:tr>
        <w:trPr>
          <w:trHeight w:val="193"/>
        </w:trPr>
        <w:tc>
          <w:tcPr>
            <w:tcW w:w="6380" w:type="dxa"/>
            <w:vAlign w:val="bottom"/>
          </w:tcPr>
          <w:p>
            <w:pPr>
              <w:spacing w:after="0"/>
              <w:rPr>
                <w:sz w:val="16"/>
                <w:szCs w:val="16"/>
                <w:color w:val="auto"/>
              </w:rPr>
            </w:pPr>
          </w:p>
        </w:tc>
        <w:tc>
          <w:tcPr>
            <w:tcW w:w="3180" w:type="dxa"/>
            <w:vAlign w:val="bottom"/>
            <w:tcBorders>
              <w:bottom w:val="single" w:sz="8" w:color="214E93"/>
            </w:tcBorders>
            <w:gridSpan w:val="3"/>
          </w:tcPr>
          <w:p>
            <w:pPr>
              <w:jc w:val="center"/>
              <w:spacing w:after="0"/>
              <w:rPr>
                <w:sz w:val="20"/>
                <w:szCs w:val="20"/>
                <w:color w:val="auto"/>
              </w:rPr>
            </w:pPr>
            <w:r>
              <w:rPr>
                <w:rFonts w:ascii="Verdana" w:cs="Verdana" w:eastAsia="Verdana" w:hAnsi="Verdana"/>
                <w:sz w:val="14"/>
                <w:szCs w:val="14"/>
                <w:color w:val="auto"/>
                <w:w w:val="97"/>
              </w:rPr>
              <w:t>Year Ended December 31,</w:t>
            </w:r>
          </w:p>
        </w:tc>
      </w:tr>
      <w:tr>
        <w:trPr>
          <w:trHeight w:val="201"/>
        </w:trPr>
        <w:tc>
          <w:tcPr>
            <w:tcW w:w="6380" w:type="dxa"/>
            <w:vAlign w:val="bottom"/>
            <w:tcBorders>
              <w:bottom w:val="single" w:sz="8" w:color="214E93"/>
            </w:tcBorders>
          </w:tcPr>
          <w:p>
            <w:pPr>
              <w:spacing w:after="0"/>
              <w:rPr>
                <w:sz w:val="17"/>
                <w:szCs w:val="17"/>
                <w:color w:val="auto"/>
              </w:rPr>
            </w:pPr>
          </w:p>
        </w:tc>
        <w:tc>
          <w:tcPr>
            <w:tcW w:w="106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214E93"/>
              </w:rPr>
              <w:t>2025</w:t>
            </w:r>
          </w:p>
        </w:tc>
        <w:tc>
          <w:tcPr>
            <w:tcW w:w="108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auto"/>
              </w:rPr>
              <w:t>2024</w:t>
            </w:r>
          </w:p>
        </w:tc>
        <w:tc>
          <w:tcPr>
            <w:tcW w:w="104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auto"/>
                <w:w w:val="95"/>
              </w:rPr>
              <w:t>2023</w:t>
            </w:r>
          </w:p>
        </w:tc>
      </w:tr>
      <w:tr>
        <w:trPr>
          <w:trHeight w:val="211"/>
        </w:trPr>
        <w:tc>
          <w:tcPr>
            <w:tcW w:w="6380" w:type="dxa"/>
            <w:vAlign w:val="bottom"/>
          </w:tcPr>
          <w:p>
            <w:pPr>
              <w:ind w:left="40"/>
              <w:spacing w:after="0"/>
              <w:rPr>
                <w:sz w:val="20"/>
                <w:szCs w:val="20"/>
                <w:color w:val="auto"/>
              </w:rPr>
            </w:pPr>
            <w:r>
              <w:rPr>
                <w:rFonts w:ascii="Verdana" w:cs="Verdana" w:eastAsia="Verdana" w:hAnsi="Verdana"/>
                <w:sz w:val="16"/>
                <w:szCs w:val="16"/>
                <w:color w:val="auto"/>
              </w:rPr>
              <w:t>Revenues from contracts with customers</w:t>
            </w:r>
          </w:p>
        </w:tc>
        <w:tc>
          <w:tcPr>
            <w:tcW w:w="1060" w:type="dxa"/>
            <w:vAlign w:val="bottom"/>
          </w:tcPr>
          <w:p>
            <w:pPr>
              <w:jc w:val="center"/>
              <w:spacing w:after="0"/>
              <w:rPr>
                <w:sz w:val="20"/>
                <w:szCs w:val="20"/>
                <w:color w:val="auto"/>
              </w:rPr>
            </w:pPr>
            <w:r>
              <w:rPr>
                <w:rFonts w:ascii="Verdana" w:cs="Verdana" w:eastAsia="Verdana" w:hAnsi="Verdana"/>
                <w:sz w:val="16"/>
                <w:szCs w:val="16"/>
                <w:color w:val="214E93"/>
                <w:w w:val="98"/>
              </w:rPr>
              <w:t>$3,656,514</w:t>
            </w:r>
          </w:p>
        </w:tc>
        <w:tc>
          <w:tcPr>
            <w:tcW w:w="1080" w:type="dxa"/>
            <w:vAlign w:val="bottom"/>
          </w:tcPr>
          <w:p>
            <w:pPr>
              <w:jc w:val="center"/>
              <w:spacing w:after="0"/>
              <w:rPr>
                <w:sz w:val="20"/>
                <w:szCs w:val="20"/>
                <w:color w:val="auto"/>
              </w:rPr>
            </w:pPr>
            <w:r>
              <w:rPr>
                <w:rFonts w:ascii="Verdana" w:cs="Verdana" w:eastAsia="Verdana" w:hAnsi="Verdana"/>
                <w:sz w:val="16"/>
                <w:szCs w:val="16"/>
                <w:color w:val="auto"/>
                <w:w w:val="96"/>
              </w:rPr>
              <w:t>$3,478,958</w:t>
            </w:r>
          </w:p>
        </w:tc>
        <w:tc>
          <w:tcPr>
            <w:tcW w:w="1040" w:type="dxa"/>
            <w:vAlign w:val="bottom"/>
          </w:tcPr>
          <w:p>
            <w:pPr>
              <w:jc w:val="center"/>
              <w:spacing w:after="0"/>
              <w:rPr>
                <w:sz w:val="20"/>
                <w:szCs w:val="20"/>
                <w:color w:val="auto"/>
              </w:rPr>
            </w:pPr>
            <w:r>
              <w:rPr>
                <w:rFonts w:ascii="Verdana" w:cs="Verdana" w:eastAsia="Verdana" w:hAnsi="Verdana"/>
                <w:sz w:val="16"/>
                <w:szCs w:val="16"/>
                <w:color w:val="auto"/>
                <w:w w:val="98"/>
              </w:rPr>
              <w:t>$2,817,621</w:t>
            </w:r>
          </w:p>
        </w:tc>
      </w:tr>
      <w:tr>
        <w:trPr>
          <w:trHeight w:val="235"/>
        </w:trPr>
        <w:tc>
          <w:tcPr>
            <w:tcW w:w="6380" w:type="dxa"/>
            <w:vAlign w:val="bottom"/>
          </w:tcPr>
          <w:p>
            <w:pPr>
              <w:ind w:left="40"/>
              <w:spacing w:after="0"/>
              <w:rPr>
                <w:sz w:val="20"/>
                <w:szCs w:val="20"/>
                <w:color w:val="auto"/>
              </w:rPr>
            </w:pPr>
            <w:r>
              <w:rPr>
                <w:rFonts w:ascii="Verdana" w:cs="Verdana" w:eastAsia="Verdana" w:hAnsi="Verdana"/>
                <w:sz w:val="16"/>
                <w:szCs w:val="16"/>
                <w:color w:val="auto"/>
              </w:rPr>
              <w:t>Realized gain (loss) on derivatives</w:t>
            </w:r>
          </w:p>
        </w:tc>
        <w:tc>
          <w:tcPr>
            <w:tcW w:w="1060" w:type="dxa"/>
            <w:vAlign w:val="bottom"/>
          </w:tcPr>
          <w:p>
            <w:pPr>
              <w:jc w:val="right"/>
              <w:ind w:right="44"/>
              <w:spacing w:after="0"/>
              <w:rPr>
                <w:sz w:val="20"/>
                <w:szCs w:val="20"/>
                <w:color w:val="auto"/>
              </w:rPr>
            </w:pPr>
            <w:r>
              <w:rPr>
                <w:rFonts w:ascii="Verdana" w:cs="Verdana" w:eastAsia="Verdana" w:hAnsi="Verdana"/>
                <w:sz w:val="16"/>
                <w:szCs w:val="16"/>
                <w:color w:val="214E93"/>
              </w:rPr>
              <w:t>21,679</w:t>
            </w:r>
          </w:p>
        </w:tc>
        <w:tc>
          <w:tcPr>
            <w:tcW w:w="1080" w:type="dxa"/>
            <w:vAlign w:val="bottom"/>
          </w:tcPr>
          <w:p>
            <w:pPr>
              <w:jc w:val="right"/>
              <w:ind w:right="43"/>
              <w:spacing w:after="0"/>
              <w:rPr>
                <w:sz w:val="20"/>
                <w:szCs w:val="20"/>
                <w:color w:val="auto"/>
              </w:rPr>
            </w:pPr>
            <w:r>
              <w:rPr>
                <w:rFonts w:ascii="Verdana" w:cs="Verdana" w:eastAsia="Verdana" w:hAnsi="Verdana"/>
                <w:sz w:val="16"/>
                <w:szCs w:val="16"/>
                <w:color w:val="auto"/>
              </w:rPr>
              <w:t>12,724</w:t>
            </w:r>
          </w:p>
        </w:tc>
        <w:tc>
          <w:tcPr>
            <w:tcW w:w="1040" w:type="dxa"/>
            <w:vAlign w:val="bottom"/>
          </w:tcPr>
          <w:p>
            <w:pPr>
              <w:jc w:val="right"/>
              <w:spacing w:after="0"/>
              <w:rPr>
                <w:sz w:val="20"/>
                <w:szCs w:val="20"/>
                <w:color w:val="auto"/>
              </w:rPr>
            </w:pPr>
            <w:r>
              <w:rPr>
                <w:rFonts w:ascii="Verdana" w:cs="Verdana" w:eastAsia="Verdana" w:hAnsi="Verdana"/>
                <w:sz w:val="16"/>
                <w:szCs w:val="16"/>
                <w:color w:val="auto"/>
              </w:rPr>
              <w:t>(9,575)</w:t>
            </w:r>
          </w:p>
        </w:tc>
      </w:tr>
      <w:tr>
        <w:trPr>
          <w:trHeight w:val="242"/>
        </w:trPr>
        <w:tc>
          <w:tcPr>
            <w:tcW w:w="638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Unrealized gain (loss) on derivatives</w:t>
            </w:r>
          </w:p>
        </w:tc>
        <w:tc>
          <w:tcPr>
            <w:tcW w:w="1060" w:type="dxa"/>
            <w:vAlign w:val="bottom"/>
            <w:tcBorders>
              <w:bottom w:val="single" w:sz="8" w:color="auto"/>
            </w:tcBorders>
          </w:tcPr>
          <w:p>
            <w:pPr>
              <w:jc w:val="right"/>
              <w:ind w:right="44"/>
              <w:spacing w:after="0"/>
              <w:rPr>
                <w:sz w:val="20"/>
                <w:szCs w:val="20"/>
                <w:color w:val="auto"/>
              </w:rPr>
            </w:pPr>
            <w:r>
              <w:rPr>
                <w:rFonts w:ascii="Verdana" w:cs="Verdana" w:eastAsia="Verdana" w:hAnsi="Verdana"/>
                <w:sz w:val="16"/>
                <w:szCs w:val="16"/>
                <w:color w:val="214E93"/>
              </w:rPr>
              <w:t>18,084</w:t>
            </w:r>
          </w:p>
        </w:tc>
        <w:tc>
          <w:tcPr>
            <w:tcW w:w="1080" w:type="dxa"/>
            <w:vAlign w:val="bottom"/>
            <w:tcBorders>
              <w:bottom w:val="single" w:sz="8" w:color="auto"/>
            </w:tcBorders>
          </w:tcPr>
          <w:p>
            <w:pPr>
              <w:jc w:val="right"/>
              <w:ind w:right="43"/>
              <w:spacing w:after="0"/>
              <w:rPr>
                <w:sz w:val="20"/>
                <w:szCs w:val="20"/>
                <w:color w:val="auto"/>
              </w:rPr>
            </w:pPr>
            <w:r>
              <w:rPr>
                <w:rFonts w:ascii="Verdana" w:cs="Verdana" w:eastAsia="Verdana" w:hAnsi="Verdana"/>
                <w:sz w:val="16"/>
                <w:szCs w:val="16"/>
                <w:color w:val="auto"/>
              </w:rPr>
              <w:t>13,299</w:t>
            </w:r>
          </w:p>
        </w:tc>
        <w:tc>
          <w:tcPr>
            <w:tcW w:w="10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(1,261)</w:t>
            </w:r>
          </w:p>
        </w:tc>
      </w:tr>
      <w:tr>
        <w:trPr>
          <w:trHeight w:val="217"/>
        </w:trPr>
        <w:tc>
          <w:tcPr>
            <w:tcW w:w="6380" w:type="dxa"/>
            <w:vAlign w:val="bottom"/>
            <w:tcBorders>
              <w:bottom w:val="single" w:sz="8" w:color="214E93"/>
            </w:tcBorders>
          </w:tcPr>
          <w:p>
            <w:pPr>
              <w:ind w:left="160"/>
              <w:spacing w:after="0"/>
              <w:rPr>
                <w:sz w:val="20"/>
                <w:szCs w:val="20"/>
                <w:color w:val="auto"/>
              </w:rPr>
            </w:pPr>
            <w:r>
              <w:rPr>
                <w:rFonts w:ascii="Verdana" w:cs="Verdana" w:eastAsia="Verdana" w:hAnsi="Verdana"/>
                <w:sz w:val="16"/>
                <w:szCs w:val="16"/>
                <w:color w:val="auto"/>
              </w:rPr>
              <w:t>Total revenues</w:t>
            </w:r>
          </w:p>
        </w:tc>
        <w:tc>
          <w:tcPr>
            <w:tcW w:w="1060" w:type="dxa"/>
            <w:vAlign w:val="bottom"/>
            <w:tcBorders>
              <w:bottom w:val="single" w:sz="8" w:color="214E93"/>
            </w:tcBorders>
          </w:tcPr>
          <w:p>
            <w:pPr>
              <w:jc w:val="center"/>
              <w:spacing w:after="0"/>
              <w:rPr>
                <w:sz w:val="20"/>
                <w:szCs w:val="20"/>
                <w:color w:val="auto"/>
              </w:rPr>
            </w:pPr>
            <w:r>
              <w:rPr>
                <w:rFonts w:ascii="Verdana" w:cs="Verdana" w:eastAsia="Verdana" w:hAnsi="Verdana"/>
                <w:sz w:val="16"/>
                <w:szCs w:val="16"/>
                <w:color w:val="214E93"/>
                <w:w w:val="98"/>
              </w:rPr>
              <w:t>$3,696,277</w:t>
            </w:r>
          </w:p>
        </w:tc>
        <w:tc>
          <w:tcPr>
            <w:tcW w:w="1080" w:type="dxa"/>
            <w:vAlign w:val="bottom"/>
            <w:tcBorders>
              <w:bottom w:val="single" w:sz="8" w:color="214E93"/>
            </w:tcBorders>
          </w:tcPr>
          <w:p>
            <w:pPr>
              <w:jc w:val="center"/>
              <w:spacing w:after="0"/>
              <w:rPr>
                <w:sz w:val="20"/>
                <w:szCs w:val="20"/>
                <w:color w:val="auto"/>
              </w:rPr>
            </w:pPr>
            <w:r>
              <w:rPr>
                <w:rFonts w:ascii="Verdana" w:cs="Verdana" w:eastAsia="Verdana" w:hAnsi="Verdana"/>
                <w:sz w:val="16"/>
                <w:szCs w:val="16"/>
                <w:color w:val="auto"/>
                <w:w w:val="96"/>
              </w:rPr>
              <w:t>$3,504,981</w:t>
            </w:r>
          </w:p>
        </w:tc>
        <w:tc>
          <w:tcPr>
            <w:tcW w:w="1040" w:type="dxa"/>
            <w:vAlign w:val="bottom"/>
            <w:tcBorders>
              <w:bottom w:val="single" w:sz="8" w:color="214E93"/>
            </w:tcBorders>
          </w:tcPr>
          <w:p>
            <w:pPr>
              <w:jc w:val="center"/>
              <w:spacing w:after="0"/>
              <w:rPr>
                <w:sz w:val="20"/>
                <w:szCs w:val="20"/>
                <w:color w:val="auto"/>
              </w:rPr>
            </w:pPr>
            <w:r>
              <w:rPr>
                <w:rFonts w:ascii="Verdana" w:cs="Verdana" w:eastAsia="Verdana" w:hAnsi="Verdana"/>
                <w:sz w:val="16"/>
                <w:szCs w:val="16"/>
                <w:color w:val="auto"/>
                <w:w w:val="98"/>
              </w:rPr>
              <w:t>$2,806,785</w:t>
            </w:r>
          </w:p>
        </w:tc>
      </w:tr>
      <w:tr>
        <w:trPr>
          <w:trHeight w:val="516"/>
        </w:trPr>
        <w:tc>
          <w:tcPr>
            <w:tcW w:w="6380" w:type="dxa"/>
            <w:vAlign w:val="bottom"/>
          </w:tcPr>
          <w:p>
            <w:pPr>
              <w:spacing w:after="0"/>
              <w:rPr>
                <w:sz w:val="24"/>
                <w:szCs w:val="24"/>
                <w:color w:val="auto"/>
              </w:rPr>
            </w:pPr>
          </w:p>
        </w:tc>
        <w:tc>
          <w:tcPr>
            <w:tcW w:w="3180" w:type="dxa"/>
            <w:vAlign w:val="bottom"/>
            <w:tcBorders>
              <w:bottom w:val="single" w:sz="8" w:color="214E93"/>
            </w:tcBorders>
            <w:gridSpan w:val="3"/>
          </w:tcPr>
          <w:p>
            <w:pPr>
              <w:jc w:val="center"/>
              <w:spacing w:after="0"/>
              <w:rPr>
                <w:sz w:val="20"/>
                <w:szCs w:val="20"/>
                <w:color w:val="auto"/>
              </w:rPr>
            </w:pPr>
            <w:r>
              <w:rPr>
                <w:rFonts w:ascii="Verdana" w:cs="Verdana" w:eastAsia="Verdana" w:hAnsi="Verdana"/>
                <w:sz w:val="14"/>
                <w:szCs w:val="14"/>
                <w:color w:val="auto"/>
                <w:w w:val="98"/>
              </w:rPr>
              <w:t>Year Ended December 31,</w:t>
            </w:r>
          </w:p>
        </w:tc>
      </w:tr>
      <w:tr>
        <w:trPr>
          <w:trHeight w:val="201"/>
        </w:trPr>
        <w:tc>
          <w:tcPr>
            <w:tcW w:w="6380" w:type="dxa"/>
            <w:vAlign w:val="bottom"/>
            <w:tcBorders>
              <w:bottom w:val="single" w:sz="8" w:color="214E93"/>
            </w:tcBorders>
          </w:tcPr>
          <w:p>
            <w:pPr>
              <w:spacing w:after="0"/>
              <w:rPr>
                <w:sz w:val="17"/>
                <w:szCs w:val="17"/>
                <w:color w:val="auto"/>
              </w:rPr>
            </w:pPr>
          </w:p>
        </w:tc>
        <w:tc>
          <w:tcPr>
            <w:tcW w:w="106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214E93"/>
              </w:rPr>
              <w:t>2025</w:t>
            </w:r>
          </w:p>
        </w:tc>
        <w:tc>
          <w:tcPr>
            <w:tcW w:w="108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auto"/>
              </w:rPr>
              <w:t>2024</w:t>
            </w:r>
          </w:p>
        </w:tc>
        <w:tc>
          <w:tcPr>
            <w:tcW w:w="104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auto"/>
                <w:w w:val="95"/>
              </w:rPr>
              <w:t>2023</w:t>
            </w:r>
          </w:p>
        </w:tc>
      </w:tr>
      <w:tr>
        <w:trPr>
          <w:trHeight w:val="211"/>
        </w:trPr>
        <w:tc>
          <w:tcPr>
            <w:tcW w:w="6380" w:type="dxa"/>
            <w:vAlign w:val="bottom"/>
          </w:tcPr>
          <w:p>
            <w:pPr>
              <w:ind w:left="40"/>
              <w:spacing w:after="0"/>
              <w:rPr>
                <w:sz w:val="20"/>
                <w:szCs w:val="20"/>
                <w:color w:val="auto"/>
              </w:rPr>
            </w:pPr>
            <w:r>
              <w:rPr>
                <w:rFonts w:ascii="Verdana" w:cs="Verdana" w:eastAsia="Verdana" w:hAnsi="Verdana"/>
                <w:sz w:val="16"/>
                <w:szCs w:val="16"/>
                <w:color w:val="auto"/>
              </w:rPr>
              <w:t>Oil revenues</w:t>
            </w:r>
          </w:p>
        </w:tc>
        <w:tc>
          <w:tcPr>
            <w:tcW w:w="1060" w:type="dxa"/>
            <w:vAlign w:val="bottom"/>
          </w:tcPr>
          <w:p>
            <w:pPr>
              <w:jc w:val="center"/>
              <w:spacing w:after="0"/>
              <w:rPr>
                <w:sz w:val="20"/>
                <w:szCs w:val="20"/>
                <w:color w:val="auto"/>
              </w:rPr>
            </w:pPr>
            <w:r>
              <w:rPr>
                <w:rFonts w:ascii="Verdana" w:cs="Verdana" w:eastAsia="Verdana" w:hAnsi="Verdana"/>
                <w:sz w:val="16"/>
                <w:szCs w:val="16"/>
                <w:color w:val="214E93"/>
                <w:w w:val="98"/>
              </w:rPr>
              <w:t>$2,840,167</w:t>
            </w:r>
          </w:p>
        </w:tc>
        <w:tc>
          <w:tcPr>
            <w:tcW w:w="1080" w:type="dxa"/>
            <w:vAlign w:val="bottom"/>
          </w:tcPr>
          <w:p>
            <w:pPr>
              <w:jc w:val="center"/>
              <w:spacing w:after="0"/>
              <w:rPr>
                <w:sz w:val="20"/>
                <w:szCs w:val="20"/>
                <w:color w:val="auto"/>
              </w:rPr>
            </w:pPr>
            <w:r>
              <w:rPr>
                <w:rFonts w:ascii="Verdana" w:cs="Verdana" w:eastAsia="Verdana" w:hAnsi="Verdana"/>
                <w:sz w:val="16"/>
                <w:szCs w:val="16"/>
                <w:color w:val="auto"/>
                <w:w w:val="98"/>
              </w:rPr>
              <w:t>$2,772,360</w:t>
            </w:r>
          </w:p>
        </w:tc>
        <w:tc>
          <w:tcPr>
            <w:tcW w:w="1040" w:type="dxa"/>
            <w:vAlign w:val="bottom"/>
          </w:tcPr>
          <w:p>
            <w:pPr>
              <w:jc w:val="center"/>
              <w:spacing w:after="0"/>
              <w:rPr>
                <w:sz w:val="20"/>
                <w:szCs w:val="20"/>
                <w:color w:val="auto"/>
              </w:rPr>
            </w:pPr>
            <w:r>
              <w:rPr>
                <w:rFonts w:ascii="Verdana" w:cs="Verdana" w:eastAsia="Verdana" w:hAnsi="Verdana"/>
                <w:sz w:val="16"/>
                <w:szCs w:val="16"/>
                <w:color w:val="auto"/>
                <w:w w:val="98"/>
              </w:rPr>
              <w:t>$2,144,894</w:t>
            </w:r>
          </w:p>
        </w:tc>
      </w:tr>
      <w:tr>
        <w:trPr>
          <w:trHeight w:val="235"/>
        </w:trPr>
        <w:tc>
          <w:tcPr>
            <w:tcW w:w="6380" w:type="dxa"/>
            <w:vAlign w:val="bottom"/>
          </w:tcPr>
          <w:p>
            <w:pPr>
              <w:ind w:left="40"/>
              <w:spacing w:after="0"/>
              <w:rPr>
                <w:sz w:val="20"/>
                <w:szCs w:val="20"/>
                <w:color w:val="auto"/>
              </w:rPr>
            </w:pPr>
            <w:r>
              <w:rPr>
                <w:rFonts w:ascii="Verdana" w:cs="Verdana" w:eastAsia="Verdana" w:hAnsi="Verdana"/>
                <w:sz w:val="16"/>
                <w:szCs w:val="16"/>
                <w:color w:val="auto"/>
              </w:rPr>
              <w:t>Natural gas revenues</w:t>
            </w:r>
          </w:p>
        </w:tc>
        <w:tc>
          <w:tcPr>
            <w:tcW w:w="1060" w:type="dxa"/>
            <w:vAlign w:val="bottom"/>
          </w:tcPr>
          <w:p>
            <w:pPr>
              <w:jc w:val="right"/>
              <w:ind w:right="64"/>
              <w:spacing w:after="0"/>
              <w:rPr>
                <w:sz w:val="20"/>
                <w:szCs w:val="20"/>
                <w:color w:val="auto"/>
              </w:rPr>
            </w:pPr>
            <w:r>
              <w:rPr>
                <w:rFonts w:ascii="Verdana" w:cs="Verdana" w:eastAsia="Verdana" w:hAnsi="Verdana"/>
                <w:sz w:val="16"/>
                <w:szCs w:val="16"/>
                <w:color w:val="214E93"/>
              </w:rPr>
              <w:t>398,583</w:t>
            </w:r>
          </w:p>
        </w:tc>
        <w:tc>
          <w:tcPr>
            <w:tcW w:w="1080" w:type="dxa"/>
            <w:vAlign w:val="bottom"/>
          </w:tcPr>
          <w:p>
            <w:pPr>
              <w:jc w:val="right"/>
              <w:ind w:right="43"/>
              <w:spacing w:after="0"/>
              <w:rPr>
                <w:sz w:val="20"/>
                <w:szCs w:val="20"/>
                <w:color w:val="auto"/>
              </w:rPr>
            </w:pPr>
            <w:r>
              <w:rPr>
                <w:rFonts w:ascii="Verdana" w:cs="Verdana" w:eastAsia="Verdana" w:hAnsi="Verdana"/>
                <w:sz w:val="16"/>
                <w:szCs w:val="16"/>
                <w:color w:val="auto"/>
              </w:rPr>
              <w:t>371,474</w:t>
            </w:r>
          </w:p>
        </w:tc>
        <w:tc>
          <w:tcPr>
            <w:tcW w:w="1040" w:type="dxa"/>
            <w:vAlign w:val="bottom"/>
          </w:tcPr>
          <w:p>
            <w:pPr>
              <w:jc w:val="right"/>
              <w:ind w:right="3"/>
              <w:spacing w:after="0"/>
              <w:rPr>
                <w:sz w:val="20"/>
                <w:szCs w:val="20"/>
                <w:color w:val="auto"/>
              </w:rPr>
            </w:pPr>
            <w:r>
              <w:rPr>
                <w:rFonts w:ascii="Verdana" w:cs="Verdana" w:eastAsia="Verdana" w:hAnsi="Verdana"/>
                <w:sz w:val="16"/>
                <w:szCs w:val="16"/>
                <w:color w:val="auto"/>
              </w:rPr>
              <w:t>400,705</w:t>
            </w:r>
          </w:p>
        </w:tc>
      </w:tr>
      <w:tr>
        <w:trPr>
          <w:trHeight w:val="236"/>
        </w:trPr>
        <w:tc>
          <w:tcPr>
            <w:tcW w:w="6380" w:type="dxa"/>
            <w:vAlign w:val="bottom"/>
          </w:tcPr>
          <w:p>
            <w:pPr>
              <w:ind w:left="40"/>
              <w:spacing w:after="0"/>
              <w:rPr>
                <w:sz w:val="20"/>
                <w:szCs w:val="20"/>
                <w:color w:val="auto"/>
              </w:rPr>
            </w:pPr>
            <w:r>
              <w:rPr>
                <w:rFonts w:ascii="Verdana" w:cs="Verdana" w:eastAsia="Verdana" w:hAnsi="Verdana"/>
                <w:sz w:val="16"/>
                <w:szCs w:val="16"/>
                <w:color w:val="auto"/>
              </w:rPr>
              <w:t>Third-party midstream services revenues</w:t>
            </w:r>
          </w:p>
        </w:tc>
        <w:tc>
          <w:tcPr>
            <w:tcW w:w="1060" w:type="dxa"/>
            <w:vAlign w:val="bottom"/>
          </w:tcPr>
          <w:p>
            <w:pPr>
              <w:jc w:val="right"/>
              <w:ind w:right="64"/>
              <w:spacing w:after="0"/>
              <w:rPr>
                <w:sz w:val="20"/>
                <w:szCs w:val="20"/>
                <w:color w:val="auto"/>
              </w:rPr>
            </w:pPr>
            <w:r>
              <w:rPr>
                <w:rFonts w:ascii="Verdana" w:cs="Verdana" w:eastAsia="Verdana" w:hAnsi="Verdana"/>
                <w:sz w:val="16"/>
                <w:szCs w:val="16"/>
                <w:color w:val="214E93"/>
              </w:rPr>
              <w:t>164,733</w:t>
            </w:r>
          </w:p>
        </w:tc>
        <w:tc>
          <w:tcPr>
            <w:tcW w:w="1080" w:type="dxa"/>
            <w:vAlign w:val="bottom"/>
          </w:tcPr>
          <w:p>
            <w:pPr>
              <w:jc w:val="right"/>
              <w:ind w:right="43"/>
              <w:spacing w:after="0"/>
              <w:rPr>
                <w:sz w:val="20"/>
                <w:szCs w:val="20"/>
                <w:color w:val="auto"/>
              </w:rPr>
            </w:pPr>
            <w:r>
              <w:rPr>
                <w:rFonts w:ascii="Verdana" w:cs="Verdana" w:eastAsia="Verdana" w:hAnsi="Verdana"/>
                <w:sz w:val="16"/>
                <w:szCs w:val="16"/>
                <w:color w:val="auto"/>
              </w:rPr>
              <w:t>141,027</w:t>
            </w:r>
          </w:p>
        </w:tc>
        <w:tc>
          <w:tcPr>
            <w:tcW w:w="1040" w:type="dxa"/>
            <w:vAlign w:val="bottom"/>
          </w:tcPr>
          <w:p>
            <w:pPr>
              <w:jc w:val="right"/>
              <w:ind w:right="3"/>
              <w:spacing w:after="0"/>
              <w:rPr>
                <w:sz w:val="20"/>
                <w:szCs w:val="20"/>
                <w:color w:val="auto"/>
              </w:rPr>
            </w:pPr>
            <w:r>
              <w:rPr>
                <w:rFonts w:ascii="Verdana" w:cs="Verdana" w:eastAsia="Verdana" w:hAnsi="Verdana"/>
                <w:sz w:val="16"/>
                <w:szCs w:val="16"/>
                <w:color w:val="auto"/>
              </w:rPr>
              <w:t>122,153</w:t>
            </w:r>
          </w:p>
        </w:tc>
      </w:tr>
      <w:tr>
        <w:trPr>
          <w:trHeight w:val="242"/>
        </w:trPr>
        <w:tc>
          <w:tcPr>
            <w:tcW w:w="638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Sales of purchased natural gas</w:t>
            </w:r>
          </w:p>
        </w:tc>
        <w:tc>
          <w:tcPr>
            <w:tcW w:w="1060" w:type="dxa"/>
            <w:vAlign w:val="bottom"/>
            <w:tcBorders>
              <w:bottom w:val="single" w:sz="8" w:color="auto"/>
            </w:tcBorders>
          </w:tcPr>
          <w:p>
            <w:pPr>
              <w:jc w:val="right"/>
              <w:ind w:right="64"/>
              <w:spacing w:after="0"/>
              <w:rPr>
                <w:sz w:val="20"/>
                <w:szCs w:val="20"/>
                <w:color w:val="auto"/>
              </w:rPr>
            </w:pPr>
            <w:r>
              <w:rPr>
                <w:rFonts w:ascii="Verdana" w:cs="Verdana" w:eastAsia="Verdana" w:hAnsi="Verdana"/>
                <w:sz w:val="16"/>
                <w:szCs w:val="16"/>
                <w:color w:val="214E93"/>
              </w:rPr>
              <w:t>253,031</w:t>
            </w:r>
          </w:p>
        </w:tc>
        <w:tc>
          <w:tcPr>
            <w:tcW w:w="1080" w:type="dxa"/>
            <w:vAlign w:val="bottom"/>
            <w:tcBorders>
              <w:bottom w:val="single" w:sz="8" w:color="auto"/>
            </w:tcBorders>
          </w:tcPr>
          <w:p>
            <w:pPr>
              <w:jc w:val="right"/>
              <w:ind w:right="43"/>
              <w:spacing w:after="0"/>
              <w:rPr>
                <w:sz w:val="20"/>
                <w:szCs w:val="20"/>
                <w:color w:val="auto"/>
              </w:rPr>
            </w:pPr>
            <w:r>
              <w:rPr>
                <w:rFonts w:ascii="Verdana" w:cs="Verdana" w:eastAsia="Verdana" w:hAnsi="Verdana"/>
                <w:sz w:val="16"/>
                <w:szCs w:val="16"/>
                <w:color w:val="auto"/>
              </w:rPr>
              <w:t>194,097</w:t>
            </w:r>
          </w:p>
        </w:tc>
        <w:tc>
          <w:tcPr>
            <w:tcW w:w="1040" w:type="dxa"/>
            <w:vAlign w:val="bottom"/>
            <w:tcBorders>
              <w:bottom w:val="single" w:sz="8" w:color="auto"/>
            </w:tcBorders>
          </w:tcPr>
          <w:p>
            <w:pPr>
              <w:jc w:val="right"/>
              <w:ind w:right="3"/>
              <w:spacing w:after="0"/>
              <w:rPr>
                <w:sz w:val="20"/>
                <w:szCs w:val="20"/>
                <w:color w:val="auto"/>
              </w:rPr>
            </w:pPr>
            <w:r>
              <w:rPr>
                <w:rFonts w:ascii="Verdana" w:cs="Verdana" w:eastAsia="Verdana" w:hAnsi="Verdana"/>
                <w:sz w:val="16"/>
                <w:szCs w:val="16"/>
                <w:color w:val="auto"/>
              </w:rPr>
              <w:t>149,869</w:t>
            </w:r>
          </w:p>
        </w:tc>
      </w:tr>
      <w:tr>
        <w:trPr>
          <w:trHeight w:val="217"/>
        </w:trPr>
        <w:tc>
          <w:tcPr>
            <w:tcW w:w="6380" w:type="dxa"/>
            <w:vAlign w:val="bottom"/>
            <w:tcBorders>
              <w:bottom w:val="single" w:sz="8" w:color="214E93"/>
            </w:tcBorders>
          </w:tcPr>
          <w:p>
            <w:pPr>
              <w:ind w:left="160"/>
              <w:spacing w:after="0"/>
              <w:rPr>
                <w:sz w:val="20"/>
                <w:szCs w:val="20"/>
                <w:color w:val="auto"/>
              </w:rPr>
            </w:pPr>
            <w:r>
              <w:rPr>
                <w:rFonts w:ascii="Verdana" w:cs="Verdana" w:eastAsia="Verdana" w:hAnsi="Verdana"/>
                <w:sz w:val="16"/>
                <w:szCs w:val="16"/>
                <w:color w:val="auto"/>
              </w:rPr>
              <w:t>Total revenues from contracts with customers</w:t>
            </w:r>
          </w:p>
        </w:tc>
        <w:tc>
          <w:tcPr>
            <w:tcW w:w="1060" w:type="dxa"/>
            <w:vAlign w:val="bottom"/>
            <w:tcBorders>
              <w:bottom w:val="single" w:sz="8" w:color="214E93"/>
            </w:tcBorders>
          </w:tcPr>
          <w:p>
            <w:pPr>
              <w:jc w:val="center"/>
              <w:spacing w:after="0"/>
              <w:rPr>
                <w:sz w:val="20"/>
                <w:szCs w:val="20"/>
                <w:color w:val="auto"/>
              </w:rPr>
            </w:pPr>
            <w:r>
              <w:rPr>
                <w:rFonts w:ascii="Verdana" w:cs="Verdana" w:eastAsia="Verdana" w:hAnsi="Verdana"/>
                <w:sz w:val="16"/>
                <w:szCs w:val="16"/>
                <w:color w:val="214E93"/>
                <w:w w:val="98"/>
              </w:rPr>
              <w:t>$3,656,514</w:t>
            </w:r>
          </w:p>
        </w:tc>
        <w:tc>
          <w:tcPr>
            <w:tcW w:w="1080" w:type="dxa"/>
            <w:vAlign w:val="bottom"/>
            <w:tcBorders>
              <w:bottom w:val="single" w:sz="8" w:color="214E93"/>
            </w:tcBorders>
          </w:tcPr>
          <w:p>
            <w:pPr>
              <w:jc w:val="center"/>
              <w:spacing w:after="0"/>
              <w:rPr>
                <w:sz w:val="20"/>
                <w:szCs w:val="20"/>
                <w:color w:val="auto"/>
              </w:rPr>
            </w:pPr>
            <w:r>
              <w:rPr>
                <w:rFonts w:ascii="Verdana" w:cs="Verdana" w:eastAsia="Verdana" w:hAnsi="Verdana"/>
                <w:sz w:val="16"/>
                <w:szCs w:val="16"/>
                <w:color w:val="auto"/>
                <w:w w:val="98"/>
              </w:rPr>
              <w:t>$3,478,958</w:t>
            </w:r>
          </w:p>
        </w:tc>
        <w:tc>
          <w:tcPr>
            <w:tcW w:w="1040" w:type="dxa"/>
            <w:vAlign w:val="bottom"/>
            <w:tcBorders>
              <w:bottom w:val="single" w:sz="8" w:color="214E93"/>
            </w:tcBorders>
          </w:tcPr>
          <w:p>
            <w:pPr>
              <w:jc w:val="center"/>
              <w:spacing w:after="0"/>
              <w:rPr>
                <w:sz w:val="20"/>
                <w:szCs w:val="20"/>
                <w:color w:val="auto"/>
              </w:rPr>
            </w:pPr>
            <w:r>
              <w:rPr>
                <w:rFonts w:ascii="Verdana" w:cs="Verdana" w:eastAsia="Verdana" w:hAnsi="Verdana"/>
                <w:sz w:val="16"/>
                <w:szCs w:val="16"/>
                <w:color w:val="auto"/>
                <w:w w:val="98"/>
              </w:rPr>
              <w:t>$2,817,621</w:t>
            </w:r>
          </w:p>
        </w:tc>
      </w:tr>
    </w:tbl>
    <w:p>
      <w:pPr>
        <w:spacing w:after="0" w:line="2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80" w:right="100" w:firstLine="241"/>
        <w:spacing w:after="0" w:line="266" w:lineRule="auto"/>
        <w:rPr>
          <w:sz w:val="20"/>
          <w:szCs w:val="20"/>
          <w:color w:val="auto"/>
        </w:rPr>
      </w:pPr>
      <w:r>
        <w:rPr>
          <w:rFonts w:ascii="Calibri" w:cs="Calibri" w:eastAsia="Calibri" w:hAnsi="Calibri"/>
          <w:sz w:val="18"/>
          <w:szCs w:val="18"/>
          <w:color w:val="auto"/>
        </w:rPr>
        <w:t>The Company does not disclose the value of unsatisfied performance obligations under its contracts with customers as it applies the practical expedient in accordance with ASC 606. The expedient,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spacing w:after="0" w:line="204" w:lineRule="exact"/>
        <w:rPr>
          <w:sz w:val="20"/>
          <w:szCs w:val="20"/>
          <w:color w:val="auto"/>
        </w:rPr>
      </w:pPr>
    </w:p>
    <w:p>
      <w:pPr>
        <w:ind w:left="780"/>
        <w:spacing w:after="0"/>
        <w:rPr>
          <w:sz w:val="20"/>
          <w:szCs w:val="20"/>
          <w:color w:val="auto"/>
        </w:rPr>
      </w:pPr>
      <w:r>
        <w:rPr>
          <w:rFonts w:ascii="Calibri" w:cs="Calibri" w:eastAsia="Calibri" w:hAnsi="Calibri"/>
          <w:sz w:val="19"/>
          <w:szCs w:val="19"/>
          <w:i w:val="1"/>
          <w:iCs w:val="1"/>
          <w:color w:val="214E93"/>
        </w:rPr>
        <w:t>Stock-Based Compensation</w:t>
      </w:r>
    </w:p>
    <w:p>
      <w:pPr>
        <w:spacing w:after="0" w:line="208" w:lineRule="exact"/>
        <w:rPr>
          <w:sz w:val="20"/>
          <w:szCs w:val="20"/>
          <w:color w:val="auto"/>
        </w:rPr>
      </w:pPr>
    </w:p>
    <w:p>
      <w:pPr>
        <w:ind w:left="780" w:right="20" w:firstLine="241"/>
        <w:spacing w:after="0" w:line="286" w:lineRule="auto"/>
        <w:rPr>
          <w:sz w:val="20"/>
          <w:szCs w:val="20"/>
          <w:color w:val="auto"/>
        </w:rPr>
      </w:pPr>
      <w:r>
        <w:rPr>
          <w:rFonts w:ascii="Calibri" w:cs="Calibri" w:eastAsia="Calibri" w:hAnsi="Calibri"/>
          <w:sz w:val="17"/>
          <w:szCs w:val="17"/>
          <w:color w:val="auto"/>
        </w:rPr>
        <w:t>The Company may grant equity-based and liability-based common stock, stock options, restricted stock, restricted stock units, performance stock units and other awards permitted under any long-term incentive plan of the Company then in effect to members of its Board of Directors (the “Board”) and certain employees, contractors and advisors. All equity-based awards are measured at fair value on the date of grant and are recognized on a straight-line basis over the awards’ vesting periods as either a component of general and administrative expenses in the consolidated statements of income or capitalized in accordance with the Company’s policy on capitalizing general and administrative expenses for employees involved in acquisition, exploration, development and midstream activities. Awards that are expected to be settled in cash are liability-based awards, which are measured at fair value at each reporting date and are recognized over the awards’ vesting periods either as a component of general and administrative expenses in the consolidated statements of income or capitalized in accordance with the Company’s policy on capitalizing general and administrative expenses for employees involved in acquisition, exploration, development and midstream activities.</w:t>
      </w:r>
    </w:p>
    <w:p>
      <w:pPr>
        <w:spacing w:after="0" w:line="203" w:lineRule="exact"/>
        <w:rPr>
          <w:sz w:val="20"/>
          <w:szCs w:val="20"/>
          <w:color w:val="auto"/>
        </w:rPr>
      </w:pPr>
    </w:p>
    <w:p>
      <w:pPr>
        <w:ind w:left="780" w:right="480" w:firstLine="241"/>
        <w:spacing w:after="0" w:line="261" w:lineRule="auto"/>
        <w:rPr>
          <w:sz w:val="20"/>
          <w:szCs w:val="20"/>
          <w:color w:val="auto"/>
        </w:rPr>
      </w:pPr>
      <w:r>
        <w:rPr>
          <w:rFonts w:ascii="Calibri" w:cs="Calibri" w:eastAsia="Calibri" w:hAnsi="Calibri"/>
          <w:sz w:val="18"/>
          <w:szCs w:val="18"/>
          <w:color w:val="auto"/>
        </w:rPr>
        <w:t>The Company uses the Monte Carlo simulation method to measure the fair value of performance units. The closing price of Matador’s common stock on the trading day prior to the grant date is used to measure the fair value of restricted stock and restricted stock unit awards granted under the 2019 Long-Term Incentive Plan (the “2019 Incentive Plan”).</w:t>
      </w:r>
    </w:p>
    <w:p>
      <w:pPr>
        <w:spacing w:after="0" w:line="223" w:lineRule="exact"/>
        <w:rPr>
          <w:sz w:val="20"/>
          <w:szCs w:val="20"/>
          <w:color w:val="auto"/>
        </w:rPr>
      </w:pPr>
    </w:p>
    <w:p>
      <w:pPr>
        <w:ind w:left="780" w:right="40" w:firstLine="241"/>
        <w:spacing w:after="0" w:line="266" w:lineRule="auto"/>
        <w:rPr>
          <w:sz w:val="20"/>
          <w:szCs w:val="20"/>
          <w:color w:val="auto"/>
        </w:rPr>
      </w:pPr>
      <w:r>
        <w:rPr>
          <w:rFonts w:ascii="Calibri" w:cs="Calibri" w:eastAsia="Calibri" w:hAnsi="Calibri"/>
          <w:sz w:val="18"/>
          <w:szCs w:val="18"/>
          <w:color w:val="auto"/>
        </w:rPr>
        <w:t>The Company’s consolidated statements of income for the years ended December 31, 2025, 2024 and 2023 include equity-based compensation (non-cash) expense of $18.3 million, $15.0 million and $13.7 million, respectively. This equity-based compensation expense includes common stock awards granted to employees and restricted stock units paid to independent members of the Board and advisors as compensation for their services to the Company totaling $1.7 million, $1.3 million and $1.2 million for the years ended December 31, 2025, 2024 and 2023, respectively.</w:t>
      </w:r>
    </w:p>
    <w:p>
      <w:pPr>
        <w:sectPr>
          <w:pgSz w:w="11880" w:h="15480" w:orient="portrait"/>
          <w:cols w:equalWidth="0" w:num="1">
            <w:col w:w="10340"/>
          </w:cols>
          <w:pgMar w:left="38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0"/>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0340"/>
          </w:cols>
          <w:pgMar w:left="380" w:top="498" w:right="1160" w:bottom="0" w:gutter="0" w:footer="0" w:header="0"/>
          <w:type w:val="continuous"/>
        </w:sectPr>
      </w:pPr>
    </w:p>
    <w:bookmarkStart w:id="144" w:name="page145"/>
    <w:bookmarkEnd w:id="144"/>
    <w:tbl>
      <w:tblPr>
        <w:tblLayout w:type="fixed"/>
        <w:tblInd w:w="7880" w:type="dxa"/>
        <w:tblCellMar>
          <w:top w:w="0" w:type="dxa"/>
          <w:left w:w="0" w:type="dxa"/>
          <w:bottom w:w="0" w:type="dxa"/>
          <w:right w:w="0" w:type="dxa"/>
        </w:tblCellMar>
      </w:tblPr>
      <w:tr>
        <w:trPr>
          <w:trHeight w:val="220"/>
        </w:trPr>
        <w:tc>
          <w:tcPr>
            <w:tcW w:w="188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580" w:type="dxa"/>
            <w:vAlign w:val="bottom"/>
          </w:tcPr>
          <w:p>
            <w:pPr>
              <w:ind w:left="260"/>
              <w:spacing w:after="0"/>
              <w:rPr>
                <w:sz w:val="20"/>
                <w:szCs w:val="20"/>
                <w:color w:val="auto"/>
              </w:rPr>
            </w:pPr>
            <w:r>
              <w:rPr>
                <w:rFonts w:ascii="Calibri" w:cs="Calibri" w:eastAsia="Calibri" w:hAnsi="Calibri"/>
                <w:sz w:val="18"/>
                <w:szCs w:val="18"/>
                <w:color w:val="auto"/>
                <w:w w:val="93"/>
              </w:rPr>
              <w:t>F-14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86" o:spid="_x0000_s13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287" name="Shape 2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87" o:spid="_x0000_s13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Verdana" w:cs="Verdana" w:eastAsia="Verdana" w:hAnsi="Verdana"/>
          <w:sz w:val="20"/>
          <w:szCs w:val="20"/>
          <w:color w:val="214E93"/>
        </w:rPr>
        <w:t>NOTE 2 — SUMMARY OF SIGNIFICANT ACCOUNTING POLICIES — Continued</w:t>
      </w:r>
    </w:p>
    <w:p>
      <w:pPr>
        <w:spacing w:after="0" w:line="196"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Income Taxes</w:t>
      </w:r>
    </w:p>
    <w:p>
      <w:pPr>
        <w:spacing w:after="0" w:line="208" w:lineRule="exact"/>
        <w:rPr>
          <w:sz w:val="20"/>
          <w:szCs w:val="20"/>
          <w:color w:val="auto"/>
        </w:rPr>
      </w:pPr>
    </w:p>
    <w:p>
      <w:pPr>
        <w:ind w:right="780" w:firstLine="241"/>
        <w:spacing w:after="0" w:line="283" w:lineRule="auto"/>
        <w:rPr>
          <w:sz w:val="20"/>
          <w:szCs w:val="20"/>
          <w:color w:val="auto"/>
        </w:rPr>
      </w:pPr>
      <w:r>
        <w:rPr>
          <w:rFonts w:ascii="Calibri" w:cs="Calibri" w:eastAsia="Calibri" w:hAnsi="Calibri"/>
          <w:sz w:val="17"/>
          <w:szCs w:val="17"/>
          <w:color w:val="auto"/>
        </w:rPr>
        <w:t>The Company accounts for income taxes using the asset and liability approach for financial accounting and reporting. The Company evaluates the probability of realizing the future benefits of its deferred tax assets and records a valuation allowance for the portion of any deferred tax assets for which it is more likely than not that the benefit from the deferred tax asset will not be realized.</w:t>
      </w:r>
    </w:p>
    <w:p>
      <w:pPr>
        <w:spacing w:after="0" w:line="206" w:lineRule="exact"/>
        <w:rPr>
          <w:sz w:val="20"/>
          <w:szCs w:val="20"/>
          <w:color w:val="auto"/>
        </w:rPr>
      </w:pPr>
    </w:p>
    <w:p>
      <w:pPr>
        <w:ind w:right="880" w:firstLine="241"/>
        <w:spacing w:after="0" w:line="266" w:lineRule="auto"/>
        <w:rPr>
          <w:sz w:val="20"/>
          <w:szCs w:val="20"/>
          <w:color w:val="auto"/>
        </w:rPr>
      </w:pPr>
      <w:r>
        <w:rPr>
          <w:rFonts w:ascii="Calibri" w:cs="Calibri" w:eastAsia="Calibri" w:hAnsi="Calibri"/>
          <w:sz w:val="18"/>
          <w:szCs w:val="18"/>
          <w:color w:val="auto"/>
        </w:rPr>
        <w:t>The Company recognizes tax benefits from an uncertain tax position on the basis of a two-step process in which (i) the Company determines whether it is more likely than not that the tax position will be sustained upon examination by the taxing authorities based upon the technical merits of the position and (ii) for those tax positions that meet the more-likely-than-not recognition threshold, the Company recognizes the largest amount of tax benefit that is more than 50% likely to be realized upon ultimate settlement with the related tax authority.</w:t>
      </w:r>
    </w:p>
    <w:p>
      <w:pPr>
        <w:spacing w:after="0" w:line="218" w:lineRule="exact"/>
        <w:rPr>
          <w:sz w:val="20"/>
          <w:szCs w:val="20"/>
          <w:color w:val="auto"/>
        </w:rPr>
      </w:pPr>
    </w:p>
    <w:p>
      <w:pPr>
        <w:jc w:val="both"/>
        <w:ind w:right="860" w:firstLine="241"/>
        <w:spacing w:after="0" w:line="261" w:lineRule="auto"/>
        <w:rPr>
          <w:sz w:val="20"/>
          <w:szCs w:val="20"/>
          <w:color w:val="auto"/>
        </w:rPr>
      </w:pPr>
      <w:r>
        <w:rPr>
          <w:rFonts w:ascii="Calibri" w:cs="Calibri" w:eastAsia="Calibri" w:hAnsi="Calibri"/>
          <w:sz w:val="18"/>
          <w:szCs w:val="18"/>
          <w:color w:val="auto"/>
        </w:rPr>
        <w:t>When necessary, the Company would include interest assessed by taxing authorities in “Interest expense” and penalties related to income taxes in “Other expense” on its consolidated statements of income. The Company did not record any interest or penalties related to income taxes for the years ended December 31, 2025, 2024 and 2023.</w:t>
      </w:r>
    </w:p>
    <w:p>
      <w:pPr>
        <w:spacing w:after="0" w:line="209"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Allocation of Purchase Price in Business Combinations</w:t>
      </w:r>
    </w:p>
    <w:p>
      <w:pPr>
        <w:spacing w:after="0" w:line="208" w:lineRule="exact"/>
        <w:rPr>
          <w:sz w:val="20"/>
          <w:szCs w:val="20"/>
          <w:color w:val="auto"/>
        </w:rPr>
      </w:pPr>
    </w:p>
    <w:p>
      <w:pPr>
        <w:ind w:right="880" w:firstLine="241"/>
        <w:spacing w:after="0" w:line="285" w:lineRule="auto"/>
        <w:rPr>
          <w:sz w:val="20"/>
          <w:szCs w:val="20"/>
          <w:color w:val="auto"/>
        </w:rPr>
      </w:pPr>
      <w:r>
        <w:rPr>
          <w:rFonts w:ascii="Calibri" w:cs="Calibri" w:eastAsia="Calibri" w:hAnsi="Calibri"/>
          <w:sz w:val="17"/>
          <w:szCs w:val="17"/>
          <w:color w:val="auto"/>
        </w:rPr>
        <w:t>As part of the Company’s business strategy, it periodically pursues the acquisition of midstream assets and oil and natural gas properties. The purchase price in a business combination is allocated to the assets acquired and liabilities assumed based on their fair values as of the acquisition date, which may occur many months after the announcement date. Therefore, while the consideration to be paid may be fixed, the fair value of the assets acquired and liabilities assumed is subject to change during the period between the announcement date and the acquisition date. The most significant estimates in the allocation typically relate to the value assigned to proved oil and natural gas reserves and unproved and unevaluated properties. As the allocation of the purchase price is subject to significant estimates and subjective judgments, the accuracy of this assessment is inherently uncertain.</w:t>
      </w:r>
    </w:p>
    <w:p>
      <w:pPr>
        <w:spacing w:after="0" w:line="193"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Earnings Per Common Share</w:t>
      </w:r>
    </w:p>
    <w:p>
      <w:pPr>
        <w:spacing w:after="0" w:line="208" w:lineRule="exact"/>
        <w:rPr>
          <w:sz w:val="20"/>
          <w:szCs w:val="20"/>
          <w:color w:val="auto"/>
        </w:rPr>
      </w:pPr>
    </w:p>
    <w:p>
      <w:pPr>
        <w:ind w:right="900" w:firstLine="241"/>
        <w:spacing w:after="0" w:line="261" w:lineRule="auto"/>
        <w:rPr>
          <w:sz w:val="20"/>
          <w:szCs w:val="20"/>
          <w:color w:val="auto"/>
        </w:rPr>
      </w:pPr>
      <w:r>
        <w:rPr>
          <w:rFonts w:ascii="Calibri" w:cs="Calibri" w:eastAsia="Calibri" w:hAnsi="Calibri"/>
          <w:sz w:val="18"/>
          <w:szCs w:val="18"/>
          <w:color w:val="auto"/>
        </w:rPr>
        <w:t>The Company reports basic earnings attributable to Matador Resources Company shareholders per common share, which excludes the effect of potentially dilutive securities, and diluted earnings attributable to Matador Resources Company shareholders per common share, which includes the effect of all potentially dilutive securities, unless their impact is anti-dilutive.</w:t>
      </w:r>
    </w:p>
    <w:p>
      <w:pPr>
        <w:spacing w:after="0" w:line="223" w:lineRule="exact"/>
        <w:rPr>
          <w:sz w:val="20"/>
          <w:szCs w:val="20"/>
          <w:color w:val="auto"/>
        </w:rPr>
      </w:pPr>
    </w:p>
    <w:p>
      <w:pPr>
        <w:ind w:right="1120" w:firstLine="241"/>
        <w:spacing w:after="0" w:line="261" w:lineRule="auto"/>
        <w:rPr>
          <w:sz w:val="20"/>
          <w:szCs w:val="20"/>
          <w:color w:val="auto"/>
        </w:rPr>
      </w:pPr>
      <w:r>
        <w:rPr>
          <w:rFonts w:ascii="Calibri" w:cs="Calibri" w:eastAsia="Calibri" w:hAnsi="Calibri"/>
          <w:sz w:val="18"/>
          <w:szCs w:val="18"/>
          <w:color w:val="auto"/>
        </w:rPr>
        <w:t>The following are reconciliations of the numerators and denominators used to compute the Company’s basic and diluted earnings per common share as reported for the years ended December 31, 2025, 2024 and 2023 (in thousands, except per share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40" w:type="dxa"/>
            <w:vAlign w:val="bottom"/>
          </w:tcPr>
          <w:p>
            <w:pPr>
              <w:spacing w:after="0"/>
              <w:rPr>
                <w:sz w:val="16"/>
                <w:szCs w:val="16"/>
                <w:color w:val="auto"/>
              </w:rPr>
            </w:pPr>
          </w:p>
        </w:tc>
        <w:tc>
          <w:tcPr>
            <w:tcW w:w="200" w:type="dxa"/>
            <w:vAlign w:val="bottom"/>
            <w:tcBorders>
              <w:bottom w:val="single" w:sz="8" w:color="214E93"/>
            </w:tcBorders>
          </w:tcPr>
          <w:p>
            <w:pPr>
              <w:spacing w:after="0"/>
              <w:rPr>
                <w:sz w:val="16"/>
                <w:szCs w:val="16"/>
                <w:color w:val="auto"/>
              </w:rPr>
            </w:pPr>
          </w:p>
        </w:tc>
        <w:tc>
          <w:tcPr>
            <w:tcW w:w="2920" w:type="dxa"/>
            <w:vAlign w:val="bottom"/>
            <w:tcBorders>
              <w:bottom w:val="single" w:sz="8" w:color="214E93"/>
            </w:tcBorders>
            <w:gridSpan w:val="5"/>
          </w:tcPr>
          <w:p>
            <w:pPr>
              <w:jc w:val="right"/>
              <w:ind w:right="563"/>
              <w:spacing w:after="0"/>
              <w:rPr>
                <w:sz w:val="20"/>
                <w:szCs w:val="20"/>
                <w:color w:val="auto"/>
              </w:rPr>
            </w:pPr>
            <w:r>
              <w:rPr>
                <w:rFonts w:ascii="Verdana" w:cs="Verdana" w:eastAsia="Verdana" w:hAnsi="Verdana"/>
                <w:sz w:val="14"/>
                <w:szCs w:val="14"/>
                <w:color w:val="auto"/>
              </w:rPr>
              <w:t>Year Ended December 31,</w:t>
            </w:r>
          </w:p>
        </w:tc>
      </w:tr>
      <w:tr>
        <w:trPr>
          <w:trHeight w:val="231"/>
        </w:trPr>
        <w:tc>
          <w:tcPr>
            <w:tcW w:w="6440" w:type="dxa"/>
            <w:vAlign w:val="bottom"/>
            <w:tcBorders>
              <w:bottom w:val="single" w:sz="8" w:color="214E93"/>
            </w:tcBorders>
          </w:tcPr>
          <w:p>
            <w:pPr>
              <w:spacing w:after="0"/>
              <w:rPr>
                <w:sz w:val="20"/>
                <w:szCs w:val="20"/>
                <w:color w:val="auto"/>
              </w:rPr>
            </w:pPr>
          </w:p>
        </w:tc>
        <w:tc>
          <w:tcPr>
            <w:tcW w:w="200" w:type="dxa"/>
            <w:vAlign w:val="bottom"/>
            <w:tcBorders>
              <w:bottom w:val="single" w:sz="8" w:color="214E93"/>
            </w:tcBorders>
          </w:tcPr>
          <w:p>
            <w:pPr>
              <w:spacing w:after="0"/>
              <w:rPr>
                <w:sz w:val="20"/>
                <w:szCs w:val="20"/>
                <w:color w:val="auto"/>
              </w:rPr>
            </w:pPr>
          </w:p>
        </w:tc>
        <w:tc>
          <w:tcPr>
            <w:tcW w:w="820" w:type="dxa"/>
            <w:vAlign w:val="bottom"/>
            <w:tcBorders>
              <w:bottom w:val="single" w:sz="8" w:color="214E93"/>
            </w:tcBorders>
          </w:tcPr>
          <w:p>
            <w:pPr>
              <w:jc w:val="right"/>
              <w:ind w:right="264"/>
              <w:spacing w:after="0"/>
              <w:rPr>
                <w:sz w:val="20"/>
                <w:szCs w:val="20"/>
                <w:color w:val="auto"/>
              </w:rPr>
            </w:pPr>
            <w:r>
              <w:rPr>
                <w:rFonts w:ascii="Verdana" w:cs="Verdana" w:eastAsia="Verdana" w:hAnsi="Verdana"/>
                <w:sz w:val="14"/>
                <w:szCs w:val="14"/>
                <w:color w:val="214E93"/>
              </w:rPr>
              <w:t>2025</w:t>
            </w:r>
          </w:p>
        </w:tc>
        <w:tc>
          <w:tcPr>
            <w:tcW w:w="240" w:type="dxa"/>
            <w:vAlign w:val="bottom"/>
            <w:tcBorders>
              <w:bottom w:val="single" w:sz="8" w:color="214E93"/>
            </w:tcBorders>
          </w:tcPr>
          <w:p>
            <w:pPr>
              <w:spacing w:after="0"/>
              <w:rPr>
                <w:sz w:val="20"/>
                <w:szCs w:val="20"/>
                <w:color w:val="auto"/>
              </w:rPr>
            </w:pPr>
          </w:p>
        </w:tc>
        <w:tc>
          <w:tcPr>
            <w:tcW w:w="820" w:type="dxa"/>
            <w:vAlign w:val="bottom"/>
            <w:tcBorders>
              <w:bottom w:val="single" w:sz="8" w:color="214E93"/>
            </w:tcBorders>
          </w:tcPr>
          <w:p>
            <w:pPr>
              <w:jc w:val="right"/>
              <w:ind w:right="263"/>
              <w:spacing w:after="0"/>
              <w:rPr>
                <w:sz w:val="20"/>
                <w:szCs w:val="20"/>
                <w:color w:val="auto"/>
              </w:rPr>
            </w:pPr>
            <w:r>
              <w:rPr>
                <w:rFonts w:ascii="Verdana" w:cs="Verdana" w:eastAsia="Verdana" w:hAnsi="Verdana"/>
                <w:sz w:val="14"/>
                <w:szCs w:val="14"/>
                <w:color w:val="auto"/>
              </w:rPr>
              <w:t>2024</w:t>
            </w:r>
          </w:p>
        </w:tc>
        <w:tc>
          <w:tcPr>
            <w:tcW w:w="260" w:type="dxa"/>
            <w:vAlign w:val="bottom"/>
            <w:tcBorders>
              <w:bottom w:val="single" w:sz="8" w:color="214E93"/>
            </w:tcBorders>
          </w:tcPr>
          <w:p>
            <w:pPr>
              <w:spacing w:after="0"/>
              <w:rPr>
                <w:sz w:val="20"/>
                <w:szCs w:val="20"/>
                <w:color w:val="auto"/>
              </w:rPr>
            </w:pPr>
          </w:p>
        </w:tc>
        <w:tc>
          <w:tcPr>
            <w:tcW w:w="780" w:type="dxa"/>
            <w:vAlign w:val="bottom"/>
            <w:tcBorders>
              <w:bottom w:val="single" w:sz="8" w:color="214E93"/>
            </w:tcBorders>
          </w:tcPr>
          <w:p>
            <w:pPr>
              <w:jc w:val="right"/>
              <w:ind w:right="243"/>
              <w:spacing w:after="0"/>
              <w:rPr>
                <w:sz w:val="20"/>
                <w:szCs w:val="20"/>
                <w:color w:val="auto"/>
              </w:rPr>
            </w:pPr>
            <w:r>
              <w:rPr>
                <w:rFonts w:ascii="Verdana" w:cs="Verdana" w:eastAsia="Verdana" w:hAnsi="Verdana"/>
                <w:sz w:val="14"/>
                <w:szCs w:val="14"/>
                <w:color w:val="auto"/>
              </w:rPr>
              <w:t>2023</w:t>
            </w:r>
          </w:p>
        </w:tc>
      </w:tr>
      <w:tr>
        <w:trPr>
          <w:trHeight w:val="185"/>
        </w:trPr>
        <w:tc>
          <w:tcPr>
            <w:tcW w:w="6440" w:type="dxa"/>
            <w:vAlign w:val="bottom"/>
          </w:tcPr>
          <w:p>
            <w:pPr>
              <w:ind w:left="40"/>
              <w:spacing w:after="0" w:line="185" w:lineRule="exact"/>
              <w:rPr>
                <w:sz w:val="20"/>
                <w:szCs w:val="20"/>
                <w:color w:val="auto"/>
              </w:rPr>
            </w:pPr>
            <w:r>
              <w:rPr>
                <w:rFonts w:ascii="Verdana" w:cs="Verdana" w:eastAsia="Verdana" w:hAnsi="Verdana"/>
                <w:sz w:val="16"/>
                <w:szCs w:val="16"/>
                <w:color w:val="auto"/>
              </w:rPr>
              <w:t>Net income attributable to Matador Resources Company shareholders —</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7"/>
        </w:trPr>
        <w:tc>
          <w:tcPr>
            <w:tcW w:w="6440" w:type="dxa"/>
            <w:vAlign w:val="bottom"/>
          </w:tcPr>
          <w:p>
            <w:pPr>
              <w:ind w:left="40"/>
              <w:spacing w:after="0"/>
              <w:rPr>
                <w:sz w:val="20"/>
                <w:szCs w:val="20"/>
                <w:color w:val="auto"/>
              </w:rPr>
            </w:pPr>
            <w:r>
              <w:rPr>
                <w:rFonts w:ascii="Verdana" w:cs="Verdana" w:eastAsia="Verdana" w:hAnsi="Verdana"/>
                <w:sz w:val="16"/>
                <w:szCs w:val="16"/>
                <w:color w:val="auto"/>
              </w:rPr>
              <w:t>numerator</w:t>
            </w:r>
          </w:p>
        </w:tc>
        <w:tc>
          <w:tcPr>
            <w:tcW w:w="20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820" w:type="dxa"/>
            <w:vAlign w:val="bottom"/>
          </w:tcPr>
          <w:p>
            <w:pPr>
              <w:jc w:val="right"/>
              <w:ind w:right="24"/>
              <w:spacing w:after="0"/>
              <w:rPr>
                <w:sz w:val="20"/>
                <w:szCs w:val="20"/>
                <w:color w:val="auto"/>
              </w:rPr>
            </w:pPr>
            <w:r>
              <w:rPr>
                <w:rFonts w:ascii="Verdana" w:cs="Verdana" w:eastAsia="Verdana" w:hAnsi="Verdana"/>
                <w:sz w:val="16"/>
                <w:szCs w:val="16"/>
                <w:color w:val="214E93"/>
              </w:rPr>
              <w:t>759,221</w:t>
            </w:r>
          </w:p>
        </w:tc>
        <w:tc>
          <w:tcPr>
            <w:tcW w:w="240" w:type="dxa"/>
            <w:vAlign w:val="bottom"/>
          </w:tcPr>
          <w:p>
            <w:pPr>
              <w:jc w:val="right"/>
              <w:spacing w:after="0"/>
              <w:rPr>
                <w:sz w:val="20"/>
                <w:szCs w:val="20"/>
                <w:color w:val="auto"/>
              </w:rPr>
            </w:pPr>
            <w:r>
              <w:rPr>
                <w:rFonts w:ascii="Verdana" w:cs="Verdana" w:eastAsia="Verdana" w:hAnsi="Verdana"/>
                <w:sz w:val="16"/>
                <w:szCs w:val="16"/>
                <w:color w:val="auto"/>
              </w:rPr>
              <w:t>$</w:t>
            </w:r>
          </w:p>
        </w:tc>
        <w:tc>
          <w:tcPr>
            <w:tcW w:w="820" w:type="dxa"/>
            <w:vAlign w:val="bottom"/>
          </w:tcPr>
          <w:p>
            <w:pPr>
              <w:jc w:val="right"/>
              <w:ind w:right="23"/>
              <w:spacing w:after="0"/>
              <w:rPr>
                <w:sz w:val="20"/>
                <w:szCs w:val="20"/>
                <w:color w:val="auto"/>
              </w:rPr>
            </w:pPr>
            <w:r>
              <w:rPr>
                <w:rFonts w:ascii="Verdana" w:cs="Verdana" w:eastAsia="Verdana" w:hAnsi="Verdana"/>
                <w:sz w:val="16"/>
                <w:szCs w:val="16"/>
                <w:color w:val="auto"/>
              </w:rPr>
              <w:t>885,322</w:t>
            </w:r>
          </w:p>
        </w:tc>
        <w:tc>
          <w:tcPr>
            <w:tcW w:w="260" w:type="dxa"/>
            <w:vAlign w:val="bottom"/>
          </w:tcPr>
          <w:p>
            <w:pPr>
              <w:jc w:val="right"/>
              <w:spacing w:after="0"/>
              <w:rPr>
                <w:sz w:val="20"/>
                <w:szCs w:val="20"/>
                <w:color w:val="auto"/>
              </w:rPr>
            </w:pPr>
            <w:r>
              <w:rPr>
                <w:rFonts w:ascii="Verdana" w:cs="Verdana" w:eastAsia="Verdana" w:hAnsi="Verdana"/>
                <w:sz w:val="16"/>
                <w:szCs w:val="16"/>
                <w:color w:val="auto"/>
              </w:rPr>
              <w:t>$</w:t>
            </w:r>
          </w:p>
        </w:tc>
        <w:tc>
          <w:tcPr>
            <w:tcW w:w="780" w:type="dxa"/>
            <w:vAlign w:val="bottom"/>
          </w:tcPr>
          <w:p>
            <w:pPr>
              <w:jc w:val="right"/>
              <w:ind w:right="3"/>
              <w:spacing w:after="0"/>
              <w:rPr>
                <w:sz w:val="20"/>
                <w:szCs w:val="20"/>
                <w:color w:val="auto"/>
              </w:rPr>
            </w:pPr>
            <w:r>
              <w:rPr>
                <w:rFonts w:ascii="Verdana" w:cs="Verdana" w:eastAsia="Verdana" w:hAnsi="Verdana"/>
                <w:sz w:val="16"/>
                <w:szCs w:val="16"/>
                <w:color w:val="auto"/>
              </w:rPr>
              <w:t>846,074</w:t>
            </w:r>
          </w:p>
        </w:tc>
      </w:tr>
      <w:tr>
        <w:trPr>
          <w:trHeight w:val="234"/>
        </w:trPr>
        <w:tc>
          <w:tcPr>
            <w:tcW w:w="6440" w:type="dxa"/>
            <w:vAlign w:val="bottom"/>
          </w:tcPr>
          <w:p>
            <w:pPr>
              <w:ind w:left="40"/>
              <w:spacing w:after="0"/>
              <w:rPr>
                <w:sz w:val="20"/>
                <w:szCs w:val="20"/>
                <w:color w:val="auto"/>
              </w:rPr>
            </w:pPr>
            <w:r>
              <w:rPr>
                <w:rFonts w:ascii="Verdana" w:cs="Verdana" w:eastAsia="Verdana" w:hAnsi="Verdana"/>
                <w:sz w:val="16"/>
                <w:szCs w:val="16"/>
                <w:color w:val="auto"/>
              </w:rPr>
              <w:t>Weighted average common shares outstanding — denominator</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8"/>
        </w:trPr>
        <w:tc>
          <w:tcPr>
            <w:tcW w:w="6440" w:type="dxa"/>
            <w:vAlign w:val="bottom"/>
          </w:tcPr>
          <w:p>
            <w:pPr>
              <w:ind w:left="160"/>
              <w:spacing w:after="0"/>
              <w:rPr>
                <w:sz w:val="20"/>
                <w:szCs w:val="20"/>
                <w:color w:val="auto"/>
              </w:rPr>
            </w:pPr>
            <w:r>
              <w:rPr>
                <w:rFonts w:ascii="Verdana" w:cs="Verdana" w:eastAsia="Verdana" w:hAnsi="Verdana"/>
                <w:sz w:val="16"/>
                <w:szCs w:val="16"/>
                <w:color w:val="auto"/>
              </w:rPr>
              <w:t>Basic</w:t>
            </w:r>
          </w:p>
        </w:tc>
        <w:tc>
          <w:tcPr>
            <w:tcW w:w="200" w:type="dxa"/>
            <w:vAlign w:val="bottom"/>
          </w:tcPr>
          <w:p>
            <w:pPr>
              <w:spacing w:after="0"/>
              <w:rPr>
                <w:sz w:val="20"/>
                <w:szCs w:val="20"/>
                <w:color w:val="auto"/>
              </w:rPr>
            </w:pPr>
          </w:p>
        </w:tc>
        <w:tc>
          <w:tcPr>
            <w:tcW w:w="820" w:type="dxa"/>
            <w:vAlign w:val="bottom"/>
          </w:tcPr>
          <w:p>
            <w:pPr>
              <w:jc w:val="right"/>
              <w:ind w:right="24"/>
              <w:spacing w:after="0"/>
              <w:rPr>
                <w:sz w:val="20"/>
                <w:szCs w:val="20"/>
                <w:color w:val="auto"/>
              </w:rPr>
            </w:pPr>
            <w:r>
              <w:rPr>
                <w:rFonts w:ascii="Verdana" w:cs="Verdana" w:eastAsia="Verdana" w:hAnsi="Verdana"/>
                <w:sz w:val="16"/>
                <w:szCs w:val="16"/>
                <w:color w:val="214E93"/>
              </w:rPr>
              <w:t>124,556</w:t>
            </w:r>
          </w:p>
        </w:tc>
        <w:tc>
          <w:tcPr>
            <w:tcW w:w="240" w:type="dxa"/>
            <w:vAlign w:val="bottom"/>
          </w:tcPr>
          <w:p>
            <w:pPr>
              <w:spacing w:after="0"/>
              <w:rPr>
                <w:sz w:val="20"/>
                <w:szCs w:val="20"/>
                <w:color w:val="auto"/>
              </w:rPr>
            </w:pPr>
          </w:p>
        </w:tc>
        <w:tc>
          <w:tcPr>
            <w:tcW w:w="820" w:type="dxa"/>
            <w:vAlign w:val="bottom"/>
          </w:tcPr>
          <w:p>
            <w:pPr>
              <w:jc w:val="right"/>
              <w:ind w:right="23"/>
              <w:spacing w:after="0"/>
              <w:rPr>
                <w:sz w:val="20"/>
                <w:szCs w:val="20"/>
                <w:color w:val="auto"/>
              </w:rPr>
            </w:pPr>
            <w:r>
              <w:rPr>
                <w:rFonts w:ascii="Verdana" w:cs="Verdana" w:eastAsia="Verdana" w:hAnsi="Verdana"/>
                <w:sz w:val="16"/>
                <w:szCs w:val="16"/>
                <w:color w:val="auto"/>
              </w:rPr>
              <w:t>123,568</w:t>
            </w:r>
          </w:p>
        </w:tc>
        <w:tc>
          <w:tcPr>
            <w:tcW w:w="260" w:type="dxa"/>
            <w:vAlign w:val="bottom"/>
          </w:tcPr>
          <w:p>
            <w:pPr>
              <w:spacing w:after="0"/>
              <w:rPr>
                <w:sz w:val="20"/>
                <w:szCs w:val="20"/>
                <w:color w:val="auto"/>
              </w:rPr>
            </w:pPr>
          </w:p>
        </w:tc>
        <w:tc>
          <w:tcPr>
            <w:tcW w:w="780" w:type="dxa"/>
            <w:vAlign w:val="bottom"/>
          </w:tcPr>
          <w:p>
            <w:pPr>
              <w:jc w:val="right"/>
              <w:ind w:right="3"/>
              <w:spacing w:after="0"/>
              <w:rPr>
                <w:sz w:val="20"/>
                <w:szCs w:val="20"/>
                <w:color w:val="auto"/>
              </w:rPr>
            </w:pPr>
            <w:r>
              <w:rPr>
                <w:rFonts w:ascii="Verdana" w:cs="Verdana" w:eastAsia="Verdana" w:hAnsi="Verdana"/>
                <w:sz w:val="16"/>
                <w:szCs w:val="16"/>
                <w:color w:val="auto"/>
              </w:rPr>
              <w:t>119,139</w:t>
            </w:r>
          </w:p>
        </w:tc>
      </w:tr>
      <w:tr>
        <w:trPr>
          <w:trHeight w:val="242"/>
        </w:trPr>
        <w:tc>
          <w:tcPr>
            <w:tcW w:w="6440" w:type="dxa"/>
            <w:vAlign w:val="bottom"/>
            <w:tcBorders>
              <w:bottom w:val="single" w:sz="8" w:color="auto"/>
            </w:tcBorders>
          </w:tcPr>
          <w:p>
            <w:pPr>
              <w:ind w:left="160"/>
              <w:spacing w:after="0"/>
              <w:rPr>
                <w:sz w:val="20"/>
                <w:szCs w:val="20"/>
                <w:color w:val="auto"/>
              </w:rPr>
            </w:pPr>
            <w:r>
              <w:rPr>
                <w:rFonts w:ascii="Verdana" w:cs="Verdana" w:eastAsia="Verdana" w:hAnsi="Verdana"/>
                <w:sz w:val="16"/>
                <w:szCs w:val="16"/>
                <w:color w:val="auto"/>
              </w:rPr>
              <w:t>Dilutive effect of options and restricted stock units</w:t>
            </w: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4"/>
              <w:spacing w:after="0"/>
              <w:rPr>
                <w:sz w:val="20"/>
                <w:szCs w:val="20"/>
                <w:color w:val="auto"/>
              </w:rPr>
            </w:pPr>
            <w:r>
              <w:rPr>
                <w:rFonts w:ascii="Verdana" w:cs="Verdana" w:eastAsia="Verdana" w:hAnsi="Verdana"/>
                <w:sz w:val="16"/>
                <w:szCs w:val="16"/>
                <w:color w:val="214E93"/>
              </w:rPr>
              <w:t>30</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3"/>
              <w:spacing w:after="0"/>
              <w:rPr>
                <w:sz w:val="20"/>
                <w:szCs w:val="20"/>
                <w:color w:val="auto"/>
              </w:rPr>
            </w:pPr>
            <w:r>
              <w:rPr>
                <w:rFonts w:ascii="Verdana" w:cs="Verdana" w:eastAsia="Verdana" w:hAnsi="Verdana"/>
                <w:sz w:val="16"/>
                <w:szCs w:val="16"/>
                <w:color w:val="auto"/>
              </w:rPr>
              <w:t>508</w:t>
            </w: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
              <w:spacing w:after="0"/>
              <w:rPr>
                <w:sz w:val="20"/>
                <w:szCs w:val="20"/>
                <w:color w:val="auto"/>
              </w:rPr>
            </w:pPr>
            <w:r>
              <w:rPr>
                <w:rFonts w:ascii="Verdana" w:cs="Verdana" w:eastAsia="Verdana" w:hAnsi="Verdana"/>
                <w:sz w:val="16"/>
                <w:szCs w:val="16"/>
                <w:color w:val="auto"/>
              </w:rPr>
              <w:t>841</w:t>
            </w:r>
          </w:p>
        </w:tc>
      </w:tr>
      <w:tr>
        <w:trPr>
          <w:trHeight w:val="217"/>
        </w:trPr>
        <w:tc>
          <w:tcPr>
            <w:tcW w:w="6440" w:type="dxa"/>
            <w:vAlign w:val="bottom"/>
            <w:tcBorders>
              <w:bottom w:val="single" w:sz="8" w:color="214E93"/>
            </w:tcBorders>
          </w:tcPr>
          <w:p>
            <w:pPr>
              <w:ind w:left="280"/>
              <w:spacing w:after="0"/>
              <w:rPr>
                <w:sz w:val="20"/>
                <w:szCs w:val="20"/>
                <w:color w:val="auto"/>
              </w:rPr>
            </w:pPr>
            <w:r>
              <w:rPr>
                <w:rFonts w:ascii="Verdana" w:cs="Verdana" w:eastAsia="Verdana" w:hAnsi="Verdana"/>
                <w:sz w:val="16"/>
                <w:szCs w:val="16"/>
                <w:color w:val="auto"/>
              </w:rPr>
              <w:t>Diluted weighted average common shares outstanding</w:t>
            </w:r>
          </w:p>
        </w:tc>
        <w:tc>
          <w:tcPr>
            <w:tcW w:w="200" w:type="dxa"/>
            <w:vAlign w:val="bottom"/>
            <w:tcBorders>
              <w:bottom w:val="single" w:sz="8" w:color="214E93"/>
            </w:tcBorders>
          </w:tcPr>
          <w:p>
            <w:pPr>
              <w:spacing w:after="0"/>
              <w:rPr>
                <w:sz w:val="18"/>
                <w:szCs w:val="18"/>
                <w:color w:val="auto"/>
              </w:rPr>
            </w:pPr>
          </w:p>
        </w:tc>
        <w:tc>
          <w:tcPr>
            <w:tcW w:w="820" w:type="dxa"/>
            <w:vAlign w:val="bottom"/>
            <w:tcBorders>
              <w:bottom w:val="single" w:sz="8" w:color="214E93"/>
            </w:tcBorders>
          </w:tcPr>
          <w:p>
            <w:pPr>
              <w:jc w:val="right"/>
              <w:ind w:right="24"/>
              <w:spacing w:after="0"/>
              <w:rPr>
                <w:sz w:val="20"/>
                <w:szCs w:val="20"/>
                <w:color w:val="auto"/>
              </w:rPr>
            </w:pPr>
            <w:r>
              <w:rPr>
                <w:rFonts w:ascii="Verdana" w:cs="Verdana" w:eastAsia="Verdana" w:hAnsi="Verdana"/>
                <w:sz w:val="16"/>
                <w:szCs w:val="16"/>
                <w:color w:val="214E93"/>
              </w:rPr>
              <w:t>124,586</w:t>
            </w:r>
          </w:p>
        </w:tc>
        <w:tc>
          <w:tcPr>
            <w:tcW w:w="240" w:type="dxa"/>
            <w:vAlign w:val="bottom"/>
            <w:tcBorders>
              <w:bottom w:val="single" w:sz="8" w:color="214E93"/>
            </w:tcBorders>
          </w:tcPr>
          <w:p>
            <w:pPr>
              <w:spacing w:after="0"/>
              <w:rPr>
                <w:sz w:val="18"/>
                <w:szCs w:val="18"/>
                <w:color w:val="auto"/>
              </w:rPr>
            </w:pPr>
          </w:p>
        </w:tc>
        <w:tc>
          <w:tcPr>
            <w:tcW w:w="820" w:type="dxa"/>
            <w:vAlign w:val="bottom"/>
            <w:tcBorders>
              <w:bottom w:val="single" w:sz="8" w:color="214E93"/>
            </w:tcBorders>
          </w:tcPr>
          <w:p>
            <w:pPr>
              <w:jc w:val="right"/>
              <w:ind w:right="23"/>
              <w:spacing w:after="0"/>
              <w:rPr>
                <w:sz w:val="20"/>
                <w:szCs w:val="20"/>
                <w:color w:val="auto"/>
              </w:rPr>
            </w:pPr>
            <w:r>
              <w:rPr>
                <w:rFonts w:ascii="Verdana" w:cs="Verdana" w:eastAsia="Verdana" w:hAnsi="Verdana"/>
                <w:sz w:val="16"/>
                <w:szCs w:val="16"/>
                <w:color w:val="auto"/>
              </w:rPr>
              <w:t>124,076</w:t>
            </w:r>
          </w:p>
        </w:tc>
        <w:tc>
          <w:tcPr>
            <w:tcW w:w="260" w:type="dxa"/>
            <w:vAlign w:val="bottom"/>
            <w:tcBorders>
              <w:bottom w:val="single" w:sz="8" w:color="214E93"/>
            </w:tcBorders>
          </w:tcPr>
          <w:p>
            <w:pPr>
              <w:spacing w:after="0"/>
              <w:rPr>
                <w:sz w:val="18"/>
                <w:szCs w:val="18"/>
                <w:color w:val="auto"/>
              </w:rPr>
            </w:pPr>
          </w:p>
        </w:tc>
        <w:tc>
          <w:tcPr>
            <w:tcW w:w="780" w:type="dxa"/>
            <w:vAlign w:val="bottom"/>
            <w:tcBorders>
              <w:bottom w:val="single" w:sz="8" w:color="214E93"/>
            </w:tcBorders>
          </w:tcPr>
          <w:p>
            <w:pPr>
              <w:jc w:val="right"/>
              <w:ind w:right="3"/>
              <w:spacing w:after="0"/>
              <w:rPr>
                <w:sz w:val="20"/>
                <w:szCs w:val="20"/>
                <w:color w:val="auto"/>
              </w:rPr>
            </w:pPr>
            <w:r>
              <w:rPr>
                <w:rFonts w:ascii="Verdana" w:cs="Verdana" w:eastAsia="Verdana" w:hAnsi="Verdana"/>
                <w:sz w:val="16"/>
                <w:szCs w:val="16"/>
                <w:color w:val="auto"/>
              </w:rPr>
              <w:t>119,980</w:t>
            </w:r>
          </w:p>
        </w:tc>
      </w:tr>
      <w:tr>
        <w:trPr>
          <w:trHeight w:val="185"/>
        </w:trPr>
        <w:tc>
          <w:tcPr>
            <w:tcW w:w="6440" w:type="dxa"/>
            <w:vAlign w:val="bottom"/>
          </w:tcPr>
          <w:p>
            <w:pPr>
              <w:ind w:left="40"/>
              <w:spacing w:after="0" w:line="185" w:lineRule="exact"/>
              <w:rPr>
                <w:sz w:val="20"/>
                <w:szCs w:val="20"/>
                <w:color w:val="auto"/>
              </w:rPr>
            </w:pPr>
            <w:r>
              <w:rPr>
                <w:rFonts w:ascii="Verdana" w:cs="Verdana" w:eastAsia="Verdana" w:hAnsi="Verdana"/>
                <w:sz w:val="16"/>
                <w:szCs w:val="16"/>
                <w:color w:val="auto"/>
              </w:rPr>
              <w:t>Earnings per common share attributable to Matador Resources Company</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1"/>
        </w:trPr>
        <w:tc>
          <w:tcPr>
            <w:tcW w:w="6440" w:type="dxa"/>
            <w:vAlign w:val="bottom"/>
          </w:tcPr>
          <w:p>
            <w:pPr>
              <w:ind w:left="40"/>
              <w:spacing w:after="0"/>
              <w:rPr>
                <w:sz w:val="20"/>
                <w:szCs w:val="20"/>
                <w:color w:val="auto"/>
              </w:rPr>
            </w:pPr>
            <w:r>
              <w:rPr>
                <w:rFonts w:ascii="Verdana" w:cs="Verdana" w:eastAsia="Verdana" w:hAnsi="Verdana"/>
                <w:sz w:val="16"/>
                <w:szCs w:val="16"/>
                <w:color w:val="auto"/>
              </w:rPr>
              <w:t>shareholders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47"/>
        </w:trPr>
        <w:tc>
          <w:tcPr>
            <w:tcW w:w="6440" w:type="dxa"/>
            <w:vAlign w:val="bottom"/>
            <w:tcBorders>
              <w:bottom w:val="single" w:sz="8" w:color="214E93"/>
            </w:tcBorders>
          </w:tcPr>
          <w:p>
            <w:pPr>
              <w:ind w:left="160"/>
              <w:spacing w:after="0"/>
              <w:rPr>
                <w:sz w:val="20"/>
                <w:szCs w:val="20"/>
                <w:color w:val="auto"/>
              </w:rPr>
            </w:pPr>
            <w:r>
              <w:rPr>
                <w:rFonts w:ascii="Verdana" w:cs="Verdana" w:eastAsia="Verdana" w:hAnsi="Verdana"/>
                <w:sz w:val="16"/>
                <w:szCs w:val="16"/>
                <w:color w:val="auto"/>
              </w:rPr>
              <w:t>Basic</w:t>
            </w:r>
          </w:p>
        </w:tc>
        <w:tc>
          <w:tcPr>
            <w:tcW w:w="20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w:t>
            </w:r>
          </w:p>
        </w:tc>
        <w:tc>
          <w:tcPr>
            <w:tcW w:w="820" w:type="dxa"/>
            <w:vAlign w:val="bottom"/>
            <w:tcBorders>
              <w:bottom w:val="single" w:sz="8" w:color="214E93"/>
            </w:tcBorders>
          </w:tcPr>
          <w:p>
            <w:pPr>
              <w:jc w:val="right"/>
              <w:ind w:right="24"/>
              <w:spacing w:after="0"/>
              <w:rPr>
                <w:sz w:val="20"/>
                <w:szCs w:val="20"/>
                <w:color w:val="auto"/>
              </w:rPr>
            </w:pPr>
            <w:r>
              <w:rPr>
                <w:rFonts w:ascii="Verdana" w:cs="Verdana" w:eastAsia="Verdana" w:hAnsi="Verdana"/>
                <w:sz w:val="16"/>
                <w:szCs w:val="16"/>
                <w:color w:val="214E93"/>
              </w:rPr>
              <w:t>6.10</w:t>
            </w:r>
          </w:p>
        </w:tc>
        <w:tc>
          <w:tcPr>
            <w:tcW w:w="24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w:t>
            </w:r>
          </w:p>
        </w:tc>
        <w:tc>
          <w:tcPr>
            <w:tcW w:w="820" w:type="dxa"/>
            <w:vAlign w:val="bottom"/>
            <w:tcBorders>
              <w:bottom w:val="single" w:sz="8" w:color="214E93"/>
            </w:tcBorders>
          </w:tcPr>
          <w:p>
            <w:pPr>
              <w:jc w:val="right"/>
              <w:ind w:right="23"/>
              <w:spacing w:after="0"/>
              <w:rPr>
                <w:sz w:val="20"/>
                <w:szCs w:val="20"/>
                <w:color w:val="auto"/>
              </w:rPr>
            </w:pPr>
            <w:r>
              <w:rPr>
                <w:rFonts w:ascii="Verdana" w:cs="Verdana" w:eastAsia="Verdana" w:hAnsi="Verdana"/>
                <w:sz w:val="16"/>
                <w:szCs w:val="16"/>
                <w:color w:val="auto"/>
              </w:rPr>
              <w:t>7.16</w:t>
            </w:r>
          </w:p>
        </w:tc>
        <w:tc>
          <w:tcPr>
            <w:tcW w:w="26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w:t>
            </w:r>
          </w:p>
        </w:tc>
        <w:tc>
          <w:tcPr>
            <w:tcW w:w="780" w:type="dxa"/>
            <w:vAlign w:val="bottom"/>
            <w:tcBorders>
              <w:bottom w:val="single" w:sz="8" w:color="214E93"/>
            </w:tcBorders>
          </w:tcPr>
          <w:p>
            <w:pPr>
              <w:jc w:val="right"/>
              <w:ind w:right="3"/>
              <w:spacing w:after="0"/>
              <w:rPr>
                <w:sz w:val="20"/>
                <w:szCs w:val="20"/>
                <w:color w:val="auto"/>
              </w:rPr>
            </w:pPr>
            <w:r>
              <w:rPr>
                <w:rFonts w:ascii="Verdana" w:cs="Verdana" w:eastAsia="Verdana" w:hAnsi="Verdana"/>
                <w:sz w:val="16"/>
                <w:szCs w:val="16"/>
                <w:color w:val="auto"/>
              </w:rPr>
              <w:t>7.10</w:t>
            </w:r>
          </w:p>
        </w:tc>
      </w:tr>
      <w:tr>
        <w:trPr>
          <w:trHeight w:val="216"/>
        </w:trPr>
        <w:tc>
          <w:tcPr>
            <w:tcW w:w="6440" w:type="dxa"/>
            <w:vAlign w:val="bottom"/>
            <w:tcBorders>
              <w:bottom w:val="single" w:sz="8" w:color="214E93"/>
            </w:tcBorders>
          </w:tcPr>
          <w:p>
            <w:pPr>
              <w:ind w:left="160"/>
              <w:spacing w:after="0"/>
              <w:rPr>
                <w:sz w:val="20"/>
                <w:szCs w:val="20"/>
                <w:color w:val="auto"/>
              </w:rPr>
            </w:pPr>
            <w:r>
              <w:rPr>
                <w:rFonts w:ascii="Verdana" w:cs="Verdana" w:eastAsia="Verdana" w:hAnsi="Verdana"/>
                <w:sz w:val="16"/>
                <w:szCs w:val="16"/>
                <w:color w:val="auto"/>
              </w:rPr>
              <w:t>Diluted</w:t>
            </w:r>
          </w:p>
        </w:tc>
        <w:tc>
          <w:tcPr>
            <w:tcW w:w="20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w:t>
            </w:r>
          </w:p>
        </w:tc>
        <w:tc>
          <w:tcPr>
            <w:tcW w:w="820" w:type="dxa"/>
            <w:vAlign w:val="bottom"/>
            <w:tcBorders>
              <w:bottom w:val="single" w:sz="8" w:color="214E93"/>
            </w:tcBorders>
          </w:tcPr>
          <w:p>
            <w:pPr>
              <w:jc w:val="right"/>
              <w:ind w:right="24"/>
              <w:spacing w:after="0"/>
              <w:rPr>
                <w:sz w:val="20"/>
                <w:szCs w:val="20"/>
                <w:color w:val="auto"/>
              </w:rPr>
            </w:pPr>
            <w:r>
              <w:rPr>
                <w:rFonts w:ascii="Verdana" w:cs="Verdana" w:eastAsia="Verdana" w:hAnsi="Verdana"/>
                <w:sz w:val="16"/>
                <w:szCs w:val="16"/>
                <w:color w:val="214E93"/>
              </w:rPr>
              <w:t>6.09</w:t>
            </w:r>
          </w:p>
        </w:tc>
        <w:tc>
          <w:tcPr>
            <w:tcW w:w="24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w:t>
            </w:r>
          </w:p>
        </w:tc>
        <w:tc>
          <w:tcPr>
            <w:tcW w:w="820" w:type="dxa"/>
            <w:vAlign w:val="bottom"/>
            <w:tcBorders>
              <w:bottom w:val="single" w:sz="8" w:color="214E93"/>
            </w:tcBorders>
          </w:tcPr>
          <w:p>
            <w:pPr>
              <w:jc w:val="right"/>
              <w:ind w:right="23"/>
              <w:spacing w:after="0"/>
              <w:rPr>
                <w:sz w:val="20"/>
                <w:szCs w:val="20"/>
                <w:color w:val="auto"/>
              </w:rPr>
            </w:pPr>
            <w:r>
              <w:rPr>
                <w:rFonts w:ascii="Verdana" w:cs="Verdana" w:eastAsia="Verdana" w:hAnsi="Verdana"/>
                <w:sz w:val="16"/>
                <w:szCs w:val="16"/>
                <w:color w:val="auto"/>
              </w:rPr>
              <w:t>7.14</w:t>
            </w:r>
          </w:p>
        </w:tc>
        <w:tc>
          <w:tcPr>
            <w:tcW w:w="26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w:t>
            </w:r>
          </w:p>
        </w:tc>
        <w:tc>
          <w:tcPr>
            <w:tcW w:w="780" w:type="dxa"/>
            <w:vAlign w:val="bottom"/>
            <w:tcBorders>
              <w:bottom w:val="single" w:sz="8" w:color="214E93"/>
            </w:tcBorders>
          </w:tcPr>
          <w:p>
            <w:pPr>
              <w:jc w:val="right"/>
              <w:ind w:right="3"/>
              <w:spacing w:after="0"/>
              <w:rPr>
                <w:sz w:val="20"/>
                <w:szCs w:val="20"/>
                <w:color w:val="auto"/>
              </w:rPr>
            </w:pPr>
            <w:r>
              <w:rPr>
                <w:rFonts w:ascii="Verdana" w:cs="Verdana" w:eastAsia="Verdana" w:hAnsi="Verdana"/>
                <w:sz w:val="16"/>
                <w:szCs w:val="16"/>
                <w:color w:val="auto"/>
              </w:rPr>
              <w:t>7.05</w:t>
            </w:r>
          </w:p>
        </w:tc>
      </w:tr>
    </w:tbl>
    <w:p>
      <w:pPr>
        <w:spacing w:after="0" w:line="2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Calibri" w:cs="Calibri" w:eastAsia="Calibri" w:hAnsi="Calibri"/>
          <w:sz w:val="19"/>
          <w:szCs w:val="19"/>
          <w:i w:val="1"/>
          <w:iCs w:val="1"/>
          <w:color w:val="214E93"/>
        </w:rPr>
        <w:t>Credit Risk</w:t>
      </w:r>
    </w:p>
    <w:p>
      <w:pPr>
        <w:spacing w:after="0" w:line="208" w:lineRule="exact"/>
        <w:rPr>
          <w:sz w:val="20"/>
          <w:szCs w:val="20"/>
          <w:color w:val="auto"/>
        </w:rPr>
      </w:pPr>
    </w:p>
    <w:p>
      <w:pPr>
        <w:jc w:val="both"/>
        <w:ind w:right="780" w:firstLine="241"/>
        <w:spacing w:after="0" w:line="261" w:lineRule="auto"/>
        <w:rPr>
          <w:sz w:val="20"/>
          <w:szCs w:val="20"/>
          <w:color w:val="auto"/>
        </w:rPr>
      </w:pPr>
      <w:r>
        <w:rPr>
          <w:rFonts w:ascii="Calibri" w:cs="Calibri" w:eastAsia="Calibri" w:hAnsi="Calibri"/>
          <w:sz w:val="18"/>
          <w:szCs w:val="18"/>
          <w:color w:val="auto"/>
        </w:rPr>
        <w:t>The Company’s cash is held in financial institutions and at times these amounts exceed the insurance limits of the Federal Deposit Insurance Corporation. Management believes, however, that the Company’s counterparty risks are minimal based on the reputation and history of the institutions selected.</w:t>
      </w:r>
    </w:p>
    <w:p>
      <w:pPr>
        <w:sectPr>
          <w:pgSz w:w="11880" w:h="15480" w:orient="portrait"/>
          <w:cols w:equalWidth="0" w:num="1">
            <w:col w:w="10340"/>
          </w:cols>
          <w:pgMar w:left="1160" w:top="498" w:right="380" w:bottom="0" w:gutter="0" w:footer="0" w:header="0"/>
        </w:sectPr>
      </w:pPr>
    </w:p>
    <w:p>
      <w:pPr>
        <w:spacing w:after="0" w:line="200" w:lineRule="exact"/>
        <w:rPr>
          <w:sz w:val="20"/>
          <w:szCs w:val="20"/>
          <w:color w:val="auto"/>
        </w:rPr>
      </w:pPr>
    </w:p>
    <w:p>
      <w:pPr>
        <w:spacing w:after="0" w:line="394" w:lineRule="exact"/>
        <w:rPr>
          <w:sz w:val="20"/>
          <w:szCs w:val="20"/>
          <w:color w:val="auto"/>
        </w:rPr>
      </w:pPr>
    </w:p>
    <w:p>
      <w:pPr>
        <w:ind w:left="6900"/>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0340"/>
          </w:cols>
          <w:pgMar w:left="1160" w:top="498" w:right="380" w:bottom="0" w:gutter="0" w:footer="0" w:header="0"/>
          <w:type w:val="continuous"/>
        </w:sectPr>
      </w:pPr>
    </w:p>
    <w:bookmarkStart w:id="145" w:name="page146"/>
    <w:bookmarkEnd w:id="145"/>
    <w:p>
      <w:pPr>
        <w:spacing w:after="0"/>
        <w:tabs>
          <w:tab w:leader="none" w:pos="800" w:val="left"/>
        </w:tabs>
        <w:rPr>
          <w:sz w:val="20"/>
          <w:szCs w:val="20"/>
          <w:color w:val="auto"/>
        </w:rPr>
      </w:pPr>
      <w:r>
        <w:rPr>
          <w:rFonts w:ascii="Calibri" w:cs="Calibri" w:eastAsia="Calibri" w:hAnsi="Calibri"/>
          <w:sz w:val="18"/>
          <w:szCs w:val="18"/>
          <w:color w:val="auto"/>
        </w:rPr>
        <w:t>F-15</w:t>
      </w:r>
      <w:r>
        <w:rPr>
          <w:sz w:val="20"/>
          <w:szCs w:val="20"/>
          <w:color w:val="auto"/>
        </w:rPr>
        <w:tab/>
      </w:r>
      <w:r>
        <w:rPr>
          <w:rFonts w:ascii="Calibri" w:cs="Calibri" w:eastAsia="Calibri" w:hAnsi="Calibri"/>
          <w:sz w:val="17"/>
          <w:szCs w:val="17"/>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490220</wp:posOffset>
                </wp:positionH>
                <wp:positionV relativeFrom="paragraph">
                  <wp:posOffset>320675</wp:posOffset>
                </wp:positionV>
                <wp:extent cx="6812280" cy="0"/>
                <wp:wrapNone/>
                <wp:docPr id="288" name="Shape 2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88" o:spid="_x0000_s13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25.25pt" to="57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490220</wp:posOffset>
                </wp:positionH>
                <wp:positionV relativeFrom="paragraph">
                  <wp:posOffset>320675</wp:posOffset>
                </wp:positionV>
                <wp:extent cx="6812280" cy="0"/>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89" o:spid="_x0000_s13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25.25pt" to="57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80"/>
        <w:spacing w:after="0"/>
        <w:rPr>
          <w:sz w:val="20"/>
          <w:szCs w:val="20"/>
          <w:color w:val="auto"/>
        </w:rPr>
      </w:pPr>
      <w:r>
        <w:rPr>
          <w:rFonts w:ascii="Verdana" w:cs="Verdana" w:eastAsia="Verdana" w:hAnsi="Verdana"/>
          <w:sz w:val="20"/>
          <w:szCs w:val="20"/>
          <w:color w:val="214E93"/>
        </w:rPr>
        <w:t>NOTE 2 — SUMMARY OF SIGNIFICANT ACCOUNTING POLICIES — Continued</w:t>
      </w:r>
    </w:p>
    <w:p>
      <w:pPr>
        <w:spacing w:after="0" w:line="209" w:lineRule="exact"/>
        <w:rPr>
          <w:sz w:val="20"/>
          <w:szCs w:val="20"/>
          <w:color w:val="auto"/>
        </w:rPr>
      </w:pPr>
    </w:p>
    <w:p>
      <w:pPr>
        <w:ind w:left="780" w:right="240" w:firstLine="241"/>
        <w:spacing w:after="0" w:line="266" w:lineRule="auto"/>
        <w:rPr>
          <w:sz w:val="20"/>
          <w:szCs w:val="20"/>
          <w:color w:val="auto"/>
        </w:rPr>
      </w:pPr>
      <w:r>
        <w:rPr>
          <w:rFonts w:ascii="Calibri" w:cs="Calibri" w:eastAsia="Calibri" w:hAnsi="Calibri"/>
          <w:sz w:val="18"/>
          <w:szCs w:val="18"/>
          <w:color w:val="auto"/>
        </w:rPr>
        <w:t>The Company uses derivative financial instruments to mitigate its exposure to oil, natural gas and NGL price volatility. These transactions expose the Company to potential credit risk from its counterparties. The Company manages counterparty credit risk through established internal derivatives policies that are reviewed on an ongoing basis. Additionally, the Company’s commodity derivative contracts at December 31, 2025 were all with lenders under the Company’s reserves-based revolving credit agreement (the “Credit Agreement”).</w:t>
      </w:r>
    </w:p>
    <w:p>
      <w:pPr>
        <w:spacing w:after="0" w:line="218" w:lineRule="exact"/>
        <w:rPr>
          <w:sz w:val="20"/>
          <w:szCs w:val="20"/>
          <w:color w:val="auto"/>
        </w:rPr>
      </w:pPr>
    </w:p>
    <w:p>
      <w:pPr>
        <w:ind w:left="780" w:right="120" w:firstLine="241"/>
        <w:spacing w:after="0" w:line="261" w:lineRule="auto"/>
        <w:rPr>
          <w:sz w:val="20"/>
          <w:szCs w:val="20"/>
          <w:color w:val="auto"/>
        </w:rPr>
      </w:pPr>
      <w:r>
        <w:rPr>
          <w:rFonts w:ascii="Calibri" w:cs="Calibri" w:eastAsia="Calibri" w:hAnsi="Calibri"/>
          <w:sz w:val="18"/>
          <w:szCs w:val="18"/>
          <w:color w:val="auto"/>
        </w:rPr>
        <w:t>Accounts receivable constitute the principal component of additional credit risk to which the Company may be exposed. The Company attempts to minimize credit risk exposure to counterparties by monitoring the financial condition and payment history of its purchasers and joint interest partners.</w:t>
      </w:r>
    </w:p>
    <w:p>
      <w:pPr>
        <w:spacing w:after="0" w:line="209" w:lineRule="exact"/>
        <w:rPr>
          <w:sz w:val="20"/>
          <w:szCs w:val="20"/>
          <w:color w:val="auto"/>
        </w:rPr>
      </w:pPr>
    </w:p>
    <w:p>
      <w:pPr>
        <w:ind w:left="780"/>
        <w:spacing w:after="0"/>
        <w:rPr>
          <w:sz w:val="20"/>
          <w:szCs w:val="20"/>
          <w:color w:val="auto"/>
        </w:rPr>
      </w:pPr>
      <w:r>
        <w:rPr>
          <w:rFonts w:ascii="Calibri" w:cs="Calibri" w:eastAsia="Calibri" w:hAnsi="Calibri"/>
          <w:sz w:val="19"/>
          <w:szCs w:val="19"/>
          <w:i w:val="1"/>
          <w:iCs w:val="1"/>
          <w:color w:val="214E93"/>
        </w:rPr>
        <w:t>Recent Accounting Pronouncements</w:t>
      </w:r>
    </w:p>
    <w:p>
      <w:pPr>
        <w:spacing w:after="0" w:line="212" w:lineRule="exact"/>
        <w:rPr>
          <w:sz w:val="20"/>
          <w:szCs w:val="20"/>
          <w:color w:val="auto"/>
        </w:rPr>
      </w:pPr>
    </w:p>
    <w:p>
      <w:pPr>
        <w:ind w:left="780"/>
        <w:spacing w:after="0" w:line="271" w:lineRule="auto"/>
        <w:rPr>
          <w:sz w:val="20"/>
          <w:szCs w:val="20"/>
          <w:color w:val="auto"/>
        </w:rPr>
      </w:pPr>
      <w:r>
        <w:rPr>
          <w:rFonts w:ascii="Calibri" w:cs="Calibri" w:eastAsia="Calibri" w:hAnsi="Calibri"/>
          <w:sz w:val="18"/>
          <w:szCs w:val="18"/>
          <w:color w:val="214E93"/>
        </w:rPr>
        <w:t xml:space="preserve">Income Taxes. </w:t>
      </w:r>
      <w:r>
        <w:rPr>
          <w:rFonts w:ascii="Calibri" w:cs="Calibri" w:eastAsia="Calibri" w:hAnsi="Calibri"/>
          <w:sz w:val="18"/>
          <w:szCs w:val="18"/>
          <w:color w:val="000000"/>
        </w:rPr>
        <w:t>In December 2023, the Financial Accounting Standards Board (“FASB”) issued ASU 2023-09, Income Taxes (Topic 740):</w:t>
      </w:r>
      <w:r>
        <w:rPr>
          <w:rFonts w:ascii="Calibri" w:cs="Calibri" w:eastAsia="Calibri" w:hAnsi="Calibri"/>
          <w:sz w:val="18"/>
          <w:szCs w:val="18"/>
          <w:color w:val="214E93"/>
        </w:rPr>
        <w:t xml:space="preserve"> </w:t>
      </w:r>
      <w:r>
        <w:rPr>
          <w:rFonts w:ascii="Calibri" w:cs="Calibri" w:eastAsia="Calibri" w:hAnsi="Calibri"/>
          <w:sz w:val="18"/>
          <w:szCs w:val="18"/>
          <w:color w:val="000000"/>
        </w:rPr>
        <w:t>Improvements to Income Tax Disclosures, which is intended to enhance the transparency and decision usefulness of income tax disclosures. The amendments in this standard provide for enhanced income tax information primarily through changes to the rate reconciliation and income taxes paid. This ASU is effective for the Company prospectively to all annual periods beginning after December 15, 2024, with retrospective application permitted. The Company retrospectively adopted this standard in the current period and the changes are reflected in Note 8 of the consolidated financial statements in this Annual Report. While the adoption of this ASU modified the Company’s disclosures, it did not have an impact on the Company’s consolidated balance sheets, consolidated statements of income or consolidated statements of cash flows.</w:t>
      </w:r>
    </w:p>
    <w:p>
      <w:pPr>
        <w:spacing w:after="0" w:line="217" w:lineRule="exact"/>
        <w:rPr>
          <w:sz w:val="20"/>
          <w:szCs w:val="20"/>
          <w:color w:val="auto"/>
        </w:rPr>
      </w:pPr>
    </w:p>
    <w:p>
      <w:pPr>
        <w:ind w:left="780" w:right="20"/>
        <w:spacing w:after="0" w:line="281" w:lineRule="auto"/>
        <w:rPr>
          <w:sz w:val="20"/>
          <w:szCs w:val="20"/>
          <w:color w:val="auto"/>
        </w:rPr>
      </w:pPr>
      <w:r>
        <w:rPr>
          <w:rFonts w:ascii="Calibri" w:cs="Calibri" w:eastAsia="Calibri" w:hAnsi="Calibri"/>
          <w:sz w:val="19"/>
          <w:szCs w:val="19"/>
          <w:i w:val="1"/>
          <w:iCs w:val="1"/>
          <w:color w:val="214E93"/>
        </w:rPr>
        <w:t xml:space="preserve">Disaggregation of Income Statement Expenses. </w:t>
      </w:r>
      <w:r>
        <w:rPr>
          <w:rFonts w:ascii="Calibri" w:cs="Calibri" w:eastAsia="Calibri" w:hAnsi="Calibri"/>
          <w:sz w:val="17"/>
          <w:szCs w:val="17"/>
          <w:color w:val="000000"/>
        </w:rPr>
        <w:t>In November 2024, the FASB issued ASU 2024-03, Income Statement – Reporting</w:t>
      </w:r>
      <w:r>
        <w:rPr>
          <w:rFonts w:ascii="Calibri" w:cs="Calibri" w:eastAsia="Calibri" w:hAnsi="Calibri"/>
          <w:sz w:val="19"/>
          <w:szCs w:val="19"/>
          <w:i w:val="1"/>
          <w:iCs w:val="1"/>
          <w:color w:val="214E93"/>
        </w:rPr>
        <w:t xml:space="preserve"> </w:t>
      </w:r>
      <w:r>
        <w:rPr>
          <w:rFonts w:ascii="Calibri" w:cs="Calibri" w:eastAsia="Calibri" w:hAnsi="Calibri"/>
          <w:sz w:val="17"/>
          <w:szCs w:val="17"/>
          <w:color w:val="000000"/>
        </w:rPr>
        <w:t>Comprehensive Income – Expense Disaggregation Disclosures (Subtopic 220-40): Disaggregation of Income Statement Expenses. The amendments in this update require disclosure in the Company’s annual and interim consolidated financial statements of specified information about certain costs and expenses, including depreciation, depletion and amortization recognized as part of oil and gas producing activities and employee compensation. This ASU is effective for the Company to all annual periods beginning after December 15, 2026, and interim reporting periods beginning after December 15, 2027. While the adoption of this ASU will modify the Company’s disclosures, it will not have an impact on the Company’s consolidated balance sheets, consolidated statements of income or consolidated statements of cash flows.</w:t>
      </w:r>
    </w:p>
    <w:p>
      <w:pPr>
        <w:sectPr>
          <w:pgSz w:w="11880" w:h="15480" w:orient="portrait"/>
          <w:cols w:equalWidth="0" w:num="1">
            <w:col w:w="10320"/>
          </w:cols>
          <w:pgMar w:left="380" w:top="49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0"/>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0320"/>
          </w:cols>
          <w:pgMar w:left="380" w:top="498" w:right="1180" w:bottom="0" w:gutter="0" w:footer="0" w:header="0"/>
          <w:type w:val="continuous"/>
        </w:sectPr>
      </w:pPr>
    </w:p>
    <w:bookmarkStart w:id="146" w:name="page147"/>
    <w:bookmarkEnd w:id="146"/>
    <w:tbl>
      <w:tblPr>
        <w:tblLayout w:type="fixed"/>
        <w:tblInd w:w="7880" w:type="dxa"/>
        <w:tblCellMar>
          <w:top w:w="0" w:type="dxa"/>
          <w:left w:w="0" w:type="dxa"/>
          <w:bottom w:w="0" w:type="dxa"/>
          <w:right w:w="0" w:type="dxa"/>
        </w:tblCellMar>
      </w:tblPr>
      <w:tr>
        <w:trPr>
          <w:trHeight w:val="220"/>
        </w:trPr>
        <w:tc>
          <w:tcPr>
            <w:tcW w:w="188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580" w:type="dxa"/>
            <w:vAlign w:val="bottom"/>
          </w:tcPr>
          <w:p>
            <w:pPr>
              <w:ind w:left="260"/>
              <w:spacing w:after="0"/>
              <w:rPr>
                <w:sz w:val="20"/>
                <w:szCs w:val="20"/>
                <w:color w:val="auto"/>
              </w:rPr>
            </w:pPr>
            <w:r>
              <w:rPr>
                <w:rFonts w:ascii="Calibri" w:cs="Calibri" w:eastAsia="Calibri" w:hAnsi="Calibri"/>
                <w:sz w:val="18"/>
                <w:szCs w:val="18"/>
                <w:color w:val="auto"/>
                <w:w w:val="93"/>
              </w:rPr>
              <w:t>F-16</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90" o:spid="_x0000_s13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291" name="Shape 2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91" o:spid="_x0000_s13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Verdana" w:cs="Verdana" w:eastAsia="Verdana" w:hAnsi="Verdana"/>
          <w:sz w:val="20"/>
          <w:szCs w:val="20"/>
          <w:color w:val="214E93"/>
        </w:rPr>
        <w:t>NOTE 3 — PROPERTY AND EQUIPMENT</w:t>
      </w:r>
    </w:p>
    <w:p>
      <w:pPr>
        <w:spacing w:after="0" w:line="209" w:lineRule="exact"/>
        <w:rPr>
          <w:sz w:val="20"/>
          <w:szCs w:val="20"/>
          <w:color w:val="auto"/>
        </w:rPr>
      </w:pPr>
    </w:p>
    <w:p>
      <w:pPr>
        <w:ind w:right="920" w:firstLine="241"/>
        <w:spacing w:after="0" w:line="252" w:lineRule="auto"/>
        <w:rPr>
          <w:sz w:val="20"/>
          <w:szCs w:val="20"/>
          <w:color w:val="auto"/>
        </w:rPr>
      </w:pPr>
      <w:r>
        <w:rPr>
          <w:rFonts w:ascii="Calibri" w:cs="Calibri" w:eastAsia="Calibri" w:hAnsi="Calibri"/>
          <w:sz w:val="18"/>
          <w:szCs w:val="18"/>
          <w:color w:val="auto"/>
        </w:rPr>
        <w:t>The following table presents a summary of the Company’s property and equipment balances as of December 31, 2025 and 2024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802"/>
              <w:spacing w:after="0"/>
              <w:rPr>
                <w:sz w:val="20"/>
                <w:szCs w:val="20"/>
                <w:color w:val="auto"/>
              </w:rPr>
            </w:pPr>
            <w:r>
              <w:rPr>
                <w:rFonts w:ascii="Verdana" w:cs="Verdana" w:eastAsia="Verdana" w:hAnsi="Verdana"/>
                <w:sz w:val="14"/>
                <w:szCs w:val="14"/>
                <w:color w:val="auto"/>
              </w:rPr>
              <w:t>December 31,</w:t>
            </w:r>
          </w:p>
        </w:tc>
      </w:tr>
      <w:tr>
        <w:trPr>
          <w:trHeight w:val="216"/>
        </w:trPr>
        <w:tc>
          <w:tcPr>
            <w:tcW w:w="6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22"/>
              <w:spacing w:after="0"/>
              <w:rPr>
                <w:sz w:val="20"/>
                <w:szCs w:val="20"/>
                <w:color w:val="auto"/>
              </w:rPr>
            </w:pPr>
            <w:r>
              <w:rPr>
                <w:rFonts w:ascii="Verdana" w:cs="Verdana" w:eastAsia="Verdana" w:hAnsi="Verdana"/>
                <w:sz w:val="14"/>
                <w:szCs w:val="14"/>
                <w:color w:val="214E93"/>
              </w:rPr>
              <w:t>2025</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22"/>
              <w:spacing w:after="0"/>
              <w:rPr>
                <w:sz w:val="20"/>
                <w:szCs w:val="20"/>
                <w:color w:val="auto"/>
              </w:rPr>
            </w:pPr>
            <w:r>
              <w:rPr>
                <w:rFonts w:ascii="Verdana" w:cs="Verdana" w:eastAsia="Verdana" w:hAnsi="Verdana"/>
                <w:sz w:val="14"/>
                <w:szCs w:val="14"/>
                <w:color w:val="auto"/>
              </w:rPr>
              <w:t>2024</w:t>
            </w:r>
          </w:p>
        </w:tc>
      </w:tr>
      <w:tr>
        <w:trPr>
          <w:trHeight w:val="208"/>
        </w:trPr>
        <w:tc>
          <w:tcPr>
            <w:tcW w:w="6800" w:type="dxa"/>
            <w:vAlign w:val="bottom"/>
          </w:tcPr>
          <w:p>
            <w:pPr>
              <w:ind w:left="40"/>
              <w:spacing w:after="0"/>
              <w:rPr>
                <w:sz w:val="20"/>
                <w:szCs w:val="20"/>
                <w:color w:val="auto"/>
              </w:rPr>
            </w:pPr>
            <w:r>
              <w:rPr>
                <w:rFonts w:ascii="Verdana" w:cs="Verdana" w:eastAsia="Verdana" w:hAnsi="Verdana"/>
                <w:sz w:val="16"/>
                <w:szCs w:val="16"/>
                <w:color w:val="auto"/>
              </w:rPr>
              <w:t>Oil and natural gas properties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8"/>
        </w:trPr>
        <w:tc>
          <w:tcPr>
            <w:tcW w:w="6800" w:type="dxa"/>
            <w:vAlign w:val="bottom"/>
          </w:tcPr>
          <w:p>
            <w:pPr>
              <w:ind w:left="160"/>
              <w:spacing w:after="0"/>
              <w:rPr>
                <w:sz w:val="20"/>
                <w:szCs w:val="20"/>
                <w:color w:val="auto"/>
              </w:rPr>
            </w:pPr>
            <w:r>
              <w:rPr>
                <w:rFonts w:ascii="Verdana" w:cs="Verdana" w:eastAsia="Verdana" w:hAnsi="Verdana"/>
                <w:sz w:val="16"/>
                <w:szCs w:val="16"/>
                <w:color w:val="auto"/>
              </w:rPr>
              <w:t>Evaluated (subject to depletion)</w:t>
            </w:r>
          </w:p>
        </w:tc>
        <w:tc>
          <w:tcPr>
            <w:tcW w:w="240" w:type="dxa"/>
            <w:vAlign w:val="bottom"/>
          </w:tcPr>
          <w:p>
            <w:pPr>
              <w:jc w:val="right"/>
              <w:ind w:right="1"/>
              <w:spacing w:after="0"/>
              <w:rPr>
                <w:sz w:val="20"/>
                <w:szCs w:val="20"/>
                <w:color w:val="auto"/>
              </w:rPr>
            </w:pPr>
            <w:r>
              <w:rPr>
                <w:rFonts w:ascii="Verdana" w:cs="Verdana" w:eastAsia="Verdana" w:hAnsi="Verdana"/>
                <w:sz w:val="16"/>
                <w:szCs w:val="16"/>
                <w:color w:val="214E93"/>
              </w:rPr>
              <w:t>$</w:t>
            </w:r>
          </w:p>
        </w:tc>
        <w:tc>
          <w:tcPr>
            <w:tcW w:w="1100" w:type="dxa"/>
            <w:vAlign w:val="bottom"/>
          </w:tcPr>
          <w:p>
            <w:pPr>
              <w:jc w:val="right"/>
              <w:ind w:right="2"/>
              <w:spacing w:after="0"/>
              <w:rPr>
                <w:sz w:val="20"/>
                <w:szCs w:val="20"/>
                <w:color w:val="auto"/>
              </w:rPr>
            </w:pPr>
            <w:r>
              <w:rPr>
                <w:rFonts w:ascii="Verdana" w:cs="Verdana" w:eastAsia="Verdana" w:hAnsi="Verdana"/>
                <w:sz w:val="16"/>
                <w:szCs w:val="16"/>
                <w:color w:val="214E93"/>
              </w:rPr>
              <w:t>14,286,726</w:t>
            </w:r>
          </w:p>
        </w:tc>
        <w:tc>
          <w:tcPr>
            <w:tcW w:w="320" w:type="dxa"/>
            <w:vAlign w:val="bottom"/>
            <w:gridSpan w:val="2"/>
          </w:tcPr>
          <w:p>
            <w:pPr>
              <w:jc w:val="right"/>
              <w:ind w:right="80"/>
              <w:spacing w:after="0"/>
              <w:rPr>
                <w:sz w:val="20"/>
                <w:szCs w:val="20"/>
                <w:color w:val="auto"/>
              </w:rPr>
            </w:pPr>
            <w:r>
              <w:rPr>
                <w:rFonts w:ascii="Verdana" w:cs="Verdana" w:eastAsia="Verdana" w:hAnsi="Verdana"/>
                <w:sz w:val="16"/>
                <w:szCs w:val="16"/>
                <w:color w:val="auto"/>
              </w:rPr>
              <w:t>$</w:t>
            </w:r>
          </w:p>
        </w:tc>
        <w:tc>
          <w:tcPr>
            <w:tcW w:w="1100" w:type="dxa"/>
            <w:vAlign w:val="bottom"/>
          </w:tcPr>
          <w:p>
            <w:pPr>
              <w:jc w:val="right"/>
              <w:ind w:right="2"/>
              <w:spacing w:after="0"/>
              <w:rPr>
                <w:sz w:val="20"/>
                <w:szCs w:val="20"/>
                <w:color w:val="auto"/>
              </w:rPr>
            </w:pPr>
            <w:r>
              <w:rPr>
                <w:rFonts w:ascii="Verdana" w:cs="Verdana" w:eastAsia="Verdana" w:hAnsi="Verdana"/>
                <w:sz w:val="16"/>
                <w:szCs w:val="16"/>
                <w:color w:val="auto"/>
              </w:rPr>
              <w:t>12,534,290</w:t>
            </w:r>
          </w:p>
        </w:tc>
      </w:tr>
      <w:tr>
        <w:trPr>
          <w:trHeight w:val="242"/>
        </w:trPr>
        <w:tc>
          <w:tcPr>
            <w:tcW w:w="6800" w:type="dxa"/>
            <w:vAlign w:val="bottom"/>
            <w:tcBorders>
              <w:bottom w:val="single" w:sz="8" w:color="auto"/>
            </w:tcBorders>
          </w:tcPr>
          <w:p>
            <w:pPr>
              <w:ind w:left="160"/>
              <w:spacing w:after="0"/>
              <w:rPr>
                <w:sz w:val="20"/>
                <w:szCs w:val="20"/>
                <w:color w:val="auto"/>
              </w:rPr>
            </w:pPr>
            <w:r>
              <w:rPr>
                <w:rFonts w:ascii="Verdana" w:cs="Verdana" w:eastAsia="Verdana" w:hAnsi="Verdana"/>
                <w:sz w:val="16"/>
                <w:szCs w:val="16"/>
                <w:color w:val="auto"/>
              </w:rPr>
              <w:t>Unproved and unevaluated (not subject to depletion)</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214E93"/>
              </w:rPr>
              <w:t>1,823,456</w:t>
            </w: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auto"/>
              </w:rPr>
              <w:t>1,702,203</w:t>
            </w:r>
          </w:p>
        </w:tc>
      </w:tr>
      <w:tr>
        <w:trPr>
          <w:trHeight w:val="211"/>
        </w:trPr>
        <w:tc>
          <w:tcPr>
            <w:tcW w:w="6800" w:type="dxa"/>
            <w:vAlign w:val="bottom"/>
          </w:tcPr>
          <w:p>
            <w:pPr>
              <w:ind w:left="280"/>
              <w:spacing w:after="0"/>
              <w:rPr>
                <w:sz w:val="20"/>
                <w:szCs w:val="20"/>
                <w:color w:val="auto"/>
              </w:rPr>
            </w:pPr>
            <w:r>
              <w:rPr>
                <w:rFonts w:ascii="Verdana" w:cs="Verdana" w:eastAsia="Verdana" w:hAnsi="Verdana"/>
                <w:sz w:val="16"/>
                <w:szCs w:val="16"/>
                <w:color w:val="auto"/>
              </w:rPr>
              <w:t>Total oil and natural gas properties</w:t>
            </w:r>
          </w:p>
        </w:tc>
        <w:tc>
          <w:tcPr>
            <w:tcW w:w="2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Verdana" w:cs="Verdana" w:eastAsia="Verdana" w:hAnsi="Verdana"/>
                <w:sz w:val="16"/>
                <w:szCs w:val="16"/>
                <w:color w:val="214E93"/>
              </w:rPr>
              <w:t>16,110,182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Verdana" w:cs="Verdana" w:eastAsia="Verdana" w:hAnsi="Verdana"/>
                <w:sz w:val="16"/>
                <w:szCs w:val="16"/>
                <w:color w:val="auto"/>
              </w:rPr>
              <w:t>14,236,493</w:t>
            </w:r>
          </w:p>
        </w:tc>
      </w:tr>
      <w:tr>
        <w:trPr>
          <w:trHeight w:val="242"/>
        </w:trPr>
        <w:tc>
          <w:tcPr>
            <w:tcW w:w="6800" w:type="dxa"/>
            <w:vAlign w:val="bottom"/>
            <w:tcBorders>
              <w:bottom w:val="single" w:sz="8" w:color="auto"/>
            </w:tcBorders>
          </w:tcPr>
          <w:p>
            <w:pPr>
              <w:ind w:left="160"/>
              <w:spacing w:after="0"/>
              <w:rPr>
                <w:sz w:val="20"/>
                <w:szCs w:val="20"/>
                <w:color w:val="auto"/>
              </w:rPr>
            </w:pPr>
            <w:r>
              <w:rPr>
                <w:rFonts w:ascii="Verdana" w:cs="Verdana" w:eastAsia="Verdana" w:hAnsi="Verdana"/>
                <w:sz w:val="16"/>
                <w:szCs w:val="16"/>
                <w:color w:val="auto"/>
              </w:rPr>
              <w:t>Accumulated depletion</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214E93"/>
              </w:rPr>
              <w:t>(7,093,268)</w:t>
            </w: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(5,959,845)</w:t>
            </w:r>
          </w:p>
        </w:tc>
      </w:tr>
      <w:tr>
        <w:trPr>
          <w:trHeight w:val="211"/>
        </w:trPr>
        <w:tc>
          <w:tcPr>
            <w:tcW w:w="6800" w:type="dxa"/>
            <w:vAlign w:val="bottom"/>
          </w:tcPr>
          <w:p>
            <w:pPr>
              <w:ind w:left="280"/>
              <w:spacing w:after="0"/>
              <w:rPr>
                <w:sz w:val="20"/>
                <w:szCs w:val="20"/>
                <w:color w:val="auto"/>
              </w:rPr>
            </w:pPr>
            <w:r>
              <w:rPr>
                <w:rFonts w:ascii="Verdana" w:cs="Verdana" w:eastAsia="Verdana" w:hAnsi="Verdana"/>
                <w:sz w:val="16"/>
                <w:szCs w:val="16"/>
                <w:color w:val="auto"/>
              </w:rPr>
              <w:t>Net oil and natural gas properties</w:t>
            </w:r>
          </w:p>
        </w:tc>
        <w:tc>
          <w:tcPr>
            <w:tcW w:w="2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Verdana" w:cs="Verdana" w:eastAsia="Verdana" w:hAnsi="Verdana"/>
                <w:sz w:val="16"/>
                <w:szCs w:val="16"/>
                <w:color w:val="214E93"/>
              </w:rPr>
              <w:t>9,016,914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Verdana" w:cs="Verdana" w:eastAsia="Verdana" w:hAnsi="Verdana"/>
                <w:sz w:val="16"/>
                <w:szCs w:val="16"/>
                <w:color w:val="auto"/>
              </w:rPr>
              <w:t>8,276,648</w:t>
            </w:r>
          </w:p>
        </w:tc>
      </w:tr>
      <w:tr>
        <w:trPr>
          <w:trHeight w:val="234"/>
        </w:trPr>
        <w:tc>
          <w:tcPr>
            <w:tcW w:w="6800" w:type="dxa"/>
            <w:vAlign w:val="bottom"/>
          </w:tcPr>
          <w:p>
            <w:pPr>
              <w:ind w:left="40"/>
              <w:spacing w:after="0"/>
              <w:rPr>
                <w:sz w:val="20"/>
                <w:szCs w:val="20"/>
                <w:color w:val="auto"/>
              </w:rPr>
            </w:pPr>
            <w:r>
              <w:rPr>
                <w:rFonts w:ascii="Verdana" w:cs="Verdana" w:eastAsia="Verdana" w:hAnsi="Verdana"/>
                <w:sz w:val="16"/>
                <w:szCs w:val="16"/>
                <w:color w:val="auto"/>
              </w:rPr>
              <w:t>Midstream properties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8"/>
        </w:trPr>
        <w:tc>
          <w:tcPr>
            <w:tcW w:w="6800" w:type="dxa"/>
            <w:vAlign w:val="bottom"/>
          </w:tcPr>
          <w:p>
            <w:pPr>
              <w:ind w:left="160"/>
              <w:spacing w:after="0"/>
              <w:rPr>
                <w:sz w:val="20"/>
                <w:szCs w:val="20"/>
                <w:color w:val="auto"/>
              </w:rPr>
            </w:pPr>
            <w:r>
              <w:rPr>
                <w:rFonts w:ascii="Verdana" w:cs="Verdana" w:eastAsia="Verdana" w:hAnsi="Verdana"/>
                <w:sz w:val="16"/>
                <w:szCs w:val="16"/>
                <w:color w:val="auto"/>
              </w:rPr>
              <w:t>Midstream equipment and facilities</w:t>
            </w:r>
          </w:p>
        </w:tc>
        <w:tc>
          <w:tcPr>
            <w:tcW w:w="240" w:type="dxa"/>
            <w:vAlign w:val="bottom"/>
          </w:tcPr>
          <w:p>
            <w:pPr>
              <w:spacing w:after="0"/>
              <w:rPr>
                <w:sz w:val="20"/>
                <w:szCs w:val="20"/>
                <w:color w:val="auto"/>
              </w:rPr>
            </w:pPr>
          </w:p>
        </w:tc>
        <w:tc>
          <w:tcPr>
            <w:tcW w:w="1100" w:type="dxa"/>
            <w:vAlign w:val="bottom"/>
          </w:tcPr>
          <w:p>
            <w:pPr>
              <w:jc w:val="right"/>
              <w:ind w:right="2"/>
              <w:spacing w:after="0"/>
              <w:rPr>
                <w:sz w:val="20"/>
                <w:szCs w:val="20"/>
                <w:color w:val="auto"/>
              </w:rPr>
            </w:pPr>
            <w:r>
              <w:rPr>
                <w:rFonts w:ascii="Verdana" w:cs="Verdana" w:eastAsia="Verdana" w:hAnsi="Verdana"/>
                <w:sz w:val="16"/>
                <w:szCs w:val="16"/>
                <w:color w:val="214E93"/>
              </w:rPr>
              <w:t>1,963,059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
              <w:spacing w:after="0"/>
              <w:rPr>
                <w:sz w:val="20"/>
                <w:szCs w:val="20"/>
                <w:color w:val="auto"/>
              </w:rPr>
            </w:pPr>
            <w:r>
              <w:rPr>
                <w:rFonts w:ascii="Verdana" w:cs="Verdana" w:eastAsia="Verdana" w:hAnsi="Verdana"/>
                <w:sz w:val="16"/>
                <w:szCs w:val="16"/>
                <w:color w:val="auto"/>
              </w:rPr>
              <w:t>1,683,334</w:t>
            </w:r>
          </w:p>
        </w:tc>
      </w:tr>
      <w:tr>
        <w:trPr>
          <w:trHeight w:val="242"/>
        </w:trPr>
        <w:tc>
          <w:tcPr>
            <w:tcW w:w="6800" w:type="dxa"/>
            <w:vAlign w:val="bottom"/>
            <w:tcBorders>
              <w:bottom w:val="single" w:sz="8" w:color="auto"/>
            </w:tcBorders>
          </w:tcPr>
          <w:p>
            <w:pPr>
              <w:ind w:left="160"/>
              <w:spacing w:after="0"/>
              <w:rPr>
                <w:sz w:val="20"/>
                <w:szCs w:val="20"/>
                <w:color w:val="auto"/>
              </w:rPr>
            </w:pPr>
            <w:r>
              <w:rPr>
                <w:rFonts w:ascii="Verdana" w:cs="Verdana" w:eastAsia="Verdana" w:hAnsi="Verdana"/>
                <w:sz w:val="16"/>
                <w:szCs w:val="16"/>
                <w:color w:val="auto"/>
              </w:rPr>
              <w:t>Accumulated depreciation</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214E93"/>
              </w:rPr>
              <w:t>(264,938)</w:t>
            </w: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(211,048)</w:t>
            </w:r>
          </w:p>
        </w:tc>
      </w:tr>
      <w:tr>
        <w:trPr>
          <w:trHeight w:val="211"/>
        </w:trPr>
        <w:tc>
          <w:tcPr>
            <w:tcW w:w="6800" w:type="dxa"/>
            <w:vAlign w:val="bottom"/>
          </w:tcPr>
          <w:p>
            <w:pPr>
              <w:ind w:left="280"/>
              <w:spacing w:after="0"/>
              <w:rPr>
                <w:sz w:val="20"/>
                <w:szCs w:val="20"/>
                <w:color w:val="auto"/>
              </w:rPr>
            </w:pPr>
            <w:r>
              <w:rPr>
                <w:rFonts w:ascii="Verdana" w:cs="Verdana" w:eastAsia="Verdana" w:hAnsi="Verdana"/>
                <w:sz w:val="16"/>
                <w:szCs w:val="16"/>
                <w:color w:val="auto"/>
              </w:rPr>
              <w:t>Net midstream properties</w:t>
            </w:r>
          </w:p>
        </w:tc>
        <w:tc>
          <w:tcPr>
            <w:tcW w:w="2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Verdana" w:cs="Verdana" w:eastAsia="Verdana" w:hAnsi="Verdana"/>
                <w:sz w:val="16"/>
                <w:szCs w:val="16"/>
                <w:color w:val="214E93"/>
              </w:rPr>
              <w:t>1,698,121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Verdana" w:cs="Verdana" w:eastAsia="Verdana" w:hAnsi="Verdana"/>
                <w:sz w:val="16"/>
                <w:szCs w:val="16"/>
                <w:color w:val="auto"/>
              </w:rPr>
              <w:t>1,472,286</w:t>
            </w:r>
          </w:p>
        </w:tc>
      </w:tr>
      <w:tr>
        <w:trPr>
          <w:trHeight w:val="234"/>
        </w:trPr>
        <w:tc>
          <w:tcPr>
            <w:tcW w:w="6800" w:type="dxa"/>
            <w:vAlign w:val="bottom"/>
          </w:tcPr>
          <w:p>
            <w:pPr>
              <w:ind w:left="40"/>
              <w:spacing w:after="0"/>
              <w:rPr>
                <w:sz w:val="20"/>
                <w:szCs w:val="20"/>
                <w:color w:val="auto"/>
              </w:rPr>
            </w:pPr>
            <w:r>
              <w:rPr>
                <w:rFonts w:ascii="Verdana" w:cs="Verdana" w:eastAsia="Verdana" w:hAnsi="Verdana"/>
                <w:sz w:val="16"/>
                <w:szCs w:val="16"/>
                <w:color w:val="auto"/>
              </w:rPr>
              <w:t>Other property and equipment</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8"/>
        </w:trPr>
        <w:tc>
          <w:tcPr>
            <w:tcW w:w="6800" w:type="dxa"/>
            <w:vAlign w:val="bottom"/>
          </w:tcPr>
          <w:p>
            <w:pPr>
              <w:ind w:left="160"/>
              <w:spacing w:after="0"/>
              <w:rPr>
                <w:sz w:val="20"/>
                <w:szCs w:val="20"/>
                <w:color w:val="auto"/>
              </w:rPr>
            </w:pPr>
            <w:r>
              <w:rPr>
                <w:rFonts w:ascii="Verdana" w:cs="Verdana" w:eastAsia="Verdana" w:hAnsi="Verdana"/>
                <w:sz w:val="16"/>
                <w:szCs w:val="16"/>
                <w:color w:val="auto"/>
              </w:rPr>
              <w:t>Furniture, fixtures and other equipment</w:t>
            </w:r>
          </w:p>
        </w:tc>
        <w:tc>
          <w:tcPr>
            <w:tcW w:w="240" w:type="dxa"/>
            <w:vAlign w:val="bottom"/>
          </w:tcPr>
          <w:p>
            <w:pPr>
              <w:spacing w:after="0"/>
              <w:rPr>
                <w:sz w:val="20"/>
                <w:szCs w:val="20"/>
                <w:color w:val="auto"/>
              </w:rPr>
            </w:pPr>
          </w:p>
        </w:tc>
        <w:tc>
          <w:tcPr>
            <w:tcW w:w="1100" w:type="dxa"/>
            <w:vAlign w:val="bottom"/>
          </w:tcPr>
          <w:p>
            <w:pPr>
              <w:jc w:val="right"/>
              <w:ind w:right="2"/>
              <w:spacing w:after="0"/>
              <w:rPr>
                <w:sz w:val="20"/>
                <w:szCs w:val="20"/>
                <w:color w:val="auto"/>
              </w:rPr>
            </w:pPr>
            <w:r>
              <w:rPr>
                <w:rFonts w:ascii="Verdana" w:cs="Verdana" w:eastAsia="Verdana" w:hAnsi="Verdana"/>
                <w:sz w:val="16"/>
                <w:szCs w:val="16"/>
                <w:color w:val="214E93"/>
              </w:rPr>
              <w:t>22,810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
              <w:spacing w:after="0"/>
              <w:rPr>
                <w:sz w:val="20"/>
                <w:szCs w:val="20"/>
                <w:color w:val="auto"/>
              </w:rPr>
            </w:pPr>
            <w:r>
              <w:rPr>
                <w:rFonts w:ascii="Verdana" w:cs="Verdana" w:eastAsia="Verdana" w:hAnsi="Verdana"/>
                <w:sz w:val="16"/>
                <w:szCs w:val="16"/>
                <w:color w:val="auto"/>
              </w:rPr>
              <w:t>20,007</w:t>
            </w:r>
          </w:p>
        </w:tc>
      </w:tr>
      <w:tr>
        <w:trPr>
          <w:trHeight w:val="236"/>
        </w:trPr>
        <w:tc>
          <w:tcPr>
            <w:tcW w:w="6800" w:type="dxa"/>
            <w:vAlign w:val="bottom"/>
          </w:tcPr>
          <w:p>
            <w:pPr>
              <w:ind w:left="160"/>
              <w:spacing w:after="0"/>
              <w:rPr>
                <w:sz w:val="20"/>
                <w:szCs w:val="20"/>
                <w:color w:val="auto"/>
              </w:rPr>
            </w:pPr>
            <w:r>
              <w:rPr>
                <w:rFonts w:ascii="Verdana" w:cs="Verdana" w:eastAsia="Verdana" w:hAnsi="Verdana"/>
                <w:sz w:val="16"/>
                <w:szCs w:val="16"/>
                <w:color w:val="auto"/>
              </w:rPr>
              <w:t>Software</w:t>
            </w:r>
          </w:p>
        </w:tc>
        <w:tc>
          <w:tcPr>
            <w:tcW w:w="240" w:type="dxa"/>
            <w:vAlign w:val="bottom"/>
          </w:tcPr>
          <w:p>
            <w:pPr>
              <w:spacing w:after="0"/>
              <w:rPr>
                <w:sz w:val="20"/>
                <w:szCs w:val="20"/>
                <w:color w:val="auto"/>
              </w:rPr>
            </w:pPr>
          </w:p>
        </w:tc>
        <w:tc>
          <w:tcPr>
            <w:tcW w:w="1100" w:type="dxa"/>
            <w:vAlign w:val="bottom"/>
          </w:tcPr>
          <w:p>
            <w:pPr>
              <w:jc w:val="right"/>
              <w:ind w:right="2"/>
              <w:spacing w:after="0"/>
              <w:rPr>
                <w:sz w:val="20"/>
                <w:szCs w:val="20"/>
                <w:color w:val="auto"/>
              </w:rPr>
            </w:pPr>
            <w:r>
              <w:rPr>
                <w:rFonts w:ascii="Verdana" w:cs="Verdana" w:eastAsia="Verdana" w:hAnsi="Verdana"/>
                <w:sz w:val="16"/>
                <w:szCs w:val="16"/>
                <w:color w:val="214E93"/>
              </w:rPr>
              <w:t>8,361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
              <w:spacing w:after="0"/>
              <w:rPr>
                <w:sz w:val="20"/>
                <w:szCs w:val="20"/>
                <w:color w:val="auto"/>
              </w:rPr>
            </w:pPr>
            <w:r>
              <w:rPr>
                <w:rFonts w:ascii="Verdana" w:cs="Verdana" w:eastAsia="Verdana" w:hAnsi="Verdana"/>
                <w:sz w:val="16"/>
                <w:szCs w:val="16"/>
                <w:color w:val="auto"/>
              </w:rPr>
              <w:t>8,283</w:t>
            </w:r>
          </w:p>
        </w:tc>
      </w:tr>
      <w:tr>
        <w:trPr>
          <w:trHeight w:val="242"/>
        </w:trPr>
        <w:tc>
          <w:tcPr>
            <w:tcW w:w="6800" w:type="dxa"/>
            <w:vAlign w:val="bottom"/>
            <w:tcBorders>
              <w:bottom w:val="single" w:sz="8" w:color="auto"/>
            </w:tcBorders>
          </w:tcPr>
          <w:p>
            <w:pPr>
              <w:ind w:left="160"/>
              <w:spacing w:after="0"/>
              <w:rPr>
                <w:sz w:val="20"/>
                <w:szCs w:val="20"/>
                <w:color w:val="auto"/>
              </w:rPr>
            </w:pPr>
            <w:r>
              <w:rPr>
                <w:rFonts w:ascii="Verdana" w:cs="Verdana" w:eastAsia="Verdana" w:hAnsi="Verdana"/>
                <w:sz w:val="16"/>
                <w:szCs w:val="16"/>
                <w:color w:val="auto"/>
              </w:rPr>
              <w:t>Leasehold improvements</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214E93"/>
              </w:rPr>
              <w:t>22,028</w:t>
            </w: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auto"/>
              </w:rPr>
              <w:t>19,242</w:t>
            </w:r>
          </w:p>
        </w:tc>
      </w:tr>
      <w:tr>
        <w:trPr>
          <w:trHeight w:val="211"/>
        </w:trPr>
        <w:tc>
          <w:tcPr>
            <w:tcW w:w="6800" w:type="dxa"/>
            <w:vAlign w:val="bottom"/>
          </w:tcPr>
          <w:p>
            <w:pPr>
              <w:ind w:left="280"/>
              <w:spacing w:after="0"/>
              <w:rPr>
                <w:sz w:val="20"/>
                <w:szCs w:val="20"/>
                <w:color w:val="auto"/>
              </w:rPr>
            </w:pPr>
            <w:r>
              <w:rPr>
                <w:rFonts w:ascii="Verdana" w:cs="Verdana" w:eastAsia="Verdana" w:hAnsi="Verdana"/>
                <w:sz w:val="16"/>
                <w:szCs w:val="16"/>
                <w:color w:val="auto"/>
              </w:rPr>
              <w:t>Total other property and equipment</w:t>
            </w:r>
          </w:p>
        </w:tc>
        <w:tc>
          <w:tcPr>
            <w:tcW w:w="2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Verdana" w:cs="Verdana" w:eastAsia="Verdana" w:hAnsi="Verdana"/>
                <w:sz w:val="16"/>
                <w:szCs w:val="16"/>
                <w:color w:val="214E93"/>
              </w:rPr>
              <w:t>53,199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Verdana" w:cs="Verdana" w:eastAsia="Verdana" w:hAnsi="Verdana"/>
                <w:sz w:val="16"/>
                <w:szCs w:val="16"/>
                <w:color w:val="auto"/>
              </w:rPr>
              <w:t>47,532</w:t>
            </w:r>
          </w:p>
        </w:tc>
      </w:tr>
      <w:tr>
        <w:trPr>
          <w:trHeight w:val="236"/>
        </w:trPr>
        <w:tc>
          <w:tcPr>
            <w:tcW w:w="6800" w:type="dxa"/>
            <w:vAlign w:val="bottom"/>
          </w:tcPr>
          <w:p>
            <w:pPr>
              <w:ind w:left="160"/>
              <w:spacing w:after="0"/>
              <w:rPr>
                <w:sz w:val="20"/>
                <w:szCs w:val="20"/>
                <w:color w:val="auto"/>
              </w:rPr>
            </w:pPr>
            <w:r>
              <w:rPr>
                <w:rFonts w:ascii="Verdana" w:cs="Verdana" w:eastAsia="Verdana" w:hAnsi="Verdana"/>
                <w:sz w:val="16"/>
                <w:szCs w:val="16"/>
                <w:color w:val="auto"/>
              </w:rPr>
              <w:t>Accumulated depreciation</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Verdana" w:cs="Verdana" w:eastAsia="Verdana" w:hAnsi="Verdana"/>
                <w:sz w:val="16"/>
                <w:szCs w:val="16"/>
                <w:color w:val="214E93"/>
              </w:rPr>
              <w:t>(36,936)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Verdana" w:cs="Verdana" w:eastAsia="Verdana" w:hAnsi="Verdana"/>
                <w:sz w:val="16"/>
                <w:szCs w:val="16"/>
                <w:color w:val="auto"/>
              </w:rPr>
              <w:t>(32,370)</w:t>
            </w:r>
          </w:p>
        </w:tc>
      </w:tr>
      <w:tr>
        <w:trPr>
          <w:trHeight w:val="242"/>
        </w:trPr>
        <w:tc>
          <w:tcPr>
            <w:tcW w:w="680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Net other property and equipment</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214E93"/>
              </w:rPr>
              <w:t>16,263</w:t>
            </w: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auto"/>
              </w:rPr>
              <w:t>15,162</w:t>
            </w:r>
          </w:p>
        </w:tc>
      </w:tr>
      <w:tr>
        <w:trPr>
          <w:trHeight w:val="197"/>
        </w:trPr>
        <w:tc>
          <w:tcPr>
            <w:tcW w:w="6800" w:type="dxa"/>
            <w:vAlign w:val="bottom"/>
            <w:tcBorders>
              <w:bottom w:val="single" w:sz="8" w:color="auto"/>
            </w:tcBorders>
          </w:tcPr>
          <w:p>
            <w:pPr>
              <w:ind w:left="400"/>
              <w:spacing w:after="0"/>
              <w:rPr>
                <w:sz w:val="20"/>
                <w:szCs w:val="20"/>
                <w:color w:val="auto"/>
              </w:rPr>
            </w:pPr>
            <w:r>
              <w:rPr>
                <w:rFonts w:ascii="Verdana" w:cs="Verdana" w:eastAsia="Verdana" w:hAnsi="Verdana"/>
                <w:sz w:val="16"/>
                <w:szCs w:val="16"/>
                <w:color w:val="auto"/>
              </w:rPr>
              <w:t>Net property and equipment</w:t>
            </w:r>
          </w:p>
        </w:tc>
        <w:tc>
          <w:tcPr>
            <w:tcW w:w="240" w:type="dxa"/>
            <w:vAlign w:val="bottom"/>
            <w:tcBorders>
              <w:bottom w:val="single" w:sz="8" w:color="auto"/>
            </w:tcBorders>
          </w:tcPr>
          <w:p>
            <w:pPr>
              <w:jc w:val="right"/>
              <w:ind w:right="1"/>
              <w:spacing w:after="0"/>
              <w:rPr>
                <w:sz w:val="20"/>
                <w:szCs w:val="20"/>
                <w:color w:val="auto"/>
              </w:rPr>
            </w:pPr>
            <w:r>
              <w:rPr>
                <w:rFonts w:ascii="Verdana" w:cs="Verdana" w:eastAsia="Verdana" w:hAnsi="Verdana"/>
                <w:sz w:val="16"/>
                <w:szCs w:val="16"/>
                <w:color w:val="214E93"/>
              </w:rPr>
              <w:t>$</w:t>
            </w:r>
          </w:p>
        </w:tc>
        <w:tc>
          <w:tcPr>
            <w:tcW w:w="110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214E93"/>
              </w:rPr>
              <w:t>10,731,298</w:t>
            </w:r>
          </w:p>
        </w:tc>
        <w:tc>
          <w:tcPr>
            <w:tcW w:w="320" w:type="dxa"/>
            <w:vAlign w:val="bottom"/>
            <w:tcBorders>
              <w:bottom w:val="single" w:sz="8" w:color="auto"/>
            </w:tcBorders>
            <w:gridSpan w:val="2"/>
          </w:tcPr>
          <w:p>
            <w:pPr>
              <w:jc w:val="right"/>
              <w:ind w:right="80"/>
              <w:spacing w:after="0"/>
              <w:rPr>
                <w:sz w:val="20"/>
                <w:szCs w:val="20"/>
                <w:color w:val="auto"/>
              </w:rPr>
            </w:pPr>
            <w:r>
              <w:rPr>
                <w:rFonts w:ascii="Verdana" w:cs="Verdana" w:eastAsia="Verdana" w:hAnsi="Verdana"/>
                <w:sz w:val="16"/>
                <w:szCs w:val="16"/>
                <w:color w:val="auto"/>
              </w:rPr>
              <w:t>$</w:t>
            </w:r>
          </w:p>
        </w:tc>
        <w:tc>
          <w:tcPr>
            <w:tcW w:w="110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auto"/>
              </w:rPr>
              <w:t>9,764,096</w:t>
            </w:r>
          </w:p>
        </w:tc>
      </w:tr>
      <w:tr>
        <w:trPr>
          <w:trHeight w:val="20"/>
        </w:trPr>
        <w:tc>
          <w:tcPr>
            <w:tcW w:w="6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-43180</wp:posOffset>
            </wp:positionV>
            <wp:extent cx="6099810" cy="501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6">
                      <a:extLst>
                        <a:ext uri="{28A0092B-C50C-407E-A947-70E740481C1C}"/>
                      </a:extLst>
                    </a:blip>
                    <a:srcRect/>
                    <a:stretch>
                      <a:fillRect/>
                    </a:stretch>
                  </pic:blipFill>
                  <pic:spPr bwMode="auto">
                    <a:xfrm>
                      <a:off x="0" y="0"/>
                      <a:ext cx="6099810" cy="50165"/>
                    </a:xfrm>
                    <a:prstGeom prst="rect">
                      <a:avLst/>
                    </a:prstGeom>
                    <a:noFill/>
                  </pic:spPr>
                </pic:pic>
              </a:graphicData>
            </a:graphic>
          </wp:anchor>
        </w:drawing>
      </w:r>
    </w:p>
    <w:p>
      <w:pPr>
        <w:spacing w:after="0" w:line="209" w:lineRule="exact"/>
        <w:rPr>
          <w:sz w:val="20"/>
          <w:szCs w:val="20"/>
          <w:color w:val="auto"/>
        </w:rPr>
      </w:pPr>
    </w:p>
    <w:p>
      <w:pPr>
        <w:ind w:right="920" w:firstLine="281"/>
        <w:spacing w:after="0" w:line="252" w:lineRule="auto"/>
        <w:rPr>
          <w:sz w:val="20"/>
          <w:szCs w:val="20"/>
          <w:color w:val="auto"/>
        </w:rPr>
      </w:pPr>
      <w:r>
        <w:rPr>
          <w:rFonts w:ascii="Calibri" w:cs="Calibri" w:eastAsia="Calibri" w:hAnsi="Calibri"/>
          <w:sz w:val="18"/>
          <w:szCs w:val="18"/>
          <w:color w:val="auto"/>
        </w:rPr>
        <w:t>The following table provides a breakdown of the Company’s unproved and unevaluated property costs not subject to depletion as of December 31, 2025 and the year in which these costs were incurred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00" w:type="dxa"/>
            <w:vAlign w:val="bottom"/>
            <w:tcBorders>
              <w:bottom w:val="single" w:sz="8" w:color="214E93"/>
            </w:tcBorders>
          </w:tcPr>
          <w:p>
            <w:pPr>
              <w:ind w:left="40"/>
              <w:spacing w:after="0"/>
              <w:rPr>
                <w:sz w:val="20"/>
                <w:szCs w:val="20"/>
                <w:color w:val="auto"/>
              </w:rPr>
            </w:pPr>
            <w:r>
              <w:rPr>
                <w:rFonts w:ascii="Verdana" w:cs="Verdana" w:eastAsia="Verdana" w:hAnsi="Verdana"/>
                <w:sz w:val="14"/>
                <w:szCs w:val="14"/>
                <w:color w:val="auto"/>
              </w:rPr>
              <w:t>Description</w:t>
            </w:r>
          </w:p>
        </w:tc>
        <w:tc>
          <w:tcPr>
            <w:tcW w:w="400" w:type="dxa"/>
            <w:vAlign w:val="bottom"/>
            <w:tcBorders>
              <w:bottom w:val="single" w:sz="8" w:color="214E93"/>
            </w:tcBorders>
          </w:tcPr>
          <w:p>
            <w:pPr>
              <w:spacing w:after="0"/>
              <w:rPr>
                <w:sz w:val="16"/>
                <w:szCs w:val="16"/>
                <w:color w:val="auto"/>
              </w:rPr>
            </w:pPr>
          </w:p>
        </w:tc>
        <w:tc>
          <w:tcPr>
            <w:tcW w:w="940" w:type="dxa"/>
            <w:vAlign w:val="bottom"/>
            <w:tcBorders>
              <w:bottom w:val="single" w:sz="8" w:color="214E93"/>
            </w:tcBorders>
          </w:tcPr>
          <w:p>
            <w:pPr>
              <w:jc w:val="right"/>
              <w:ind w:right="363"/>
              <w:spacing w:after="0"/>
              <w:rPr>
                <w:sz w:val="20"/>
                <w:szCs w:val="20"/>
                <w:color w:val="auto"/>
              </w:rPr>
            </w:pPr>
            <w:r>
              <w:rPr>
                <w:rFonts w:ascii="Verdana" w:cs="Verdana" w:eastAsia="Verdana" w:hAnsi="Verdana"/>
                <w:sz w:val="14"/>
                <w:szCs w:val="14"/>
                <w:color w:val="214E93"/>
              </w:rPr>
              <w:t>2025</w:t>
            </w:r>
          </w:p>
        </w:tc>
        <w:tc>
          <w:tcPr>
            <w:tcW w:w="340" w:type="dxa"/>
            <w:vAlign w:val="bottom"/>
            <w:tcBorders>
              <w:bottom w:val="single" w:sz="8" w:color="214E93"/>
            </w:tcBorders>
          </w:tcPr>
          <w:p>
            <w:pPr>
              <w:spacing w:after="0"/>
              <w:rPr>
                <w:sz w:val="16"/>
                <w:szCs w:val="16"/>
                <w:color w:val="auto"/>
              </w:rPr>
            </w:pPr>
          </w:p>
        </w:tc>
        <w:tc>
          <w:tcPr>
            <w:tcW w:w="920" w:type="dxa"/>
            <w:vAlign w:val="bottom"/>
            <w:tcBorders>
              <w:bottom w:val="single" w:sz="8" w:color="214E93"/>
            </w:tcBorders>
          </w:tcPr>
          <w:p>
            <w:pPr>
              <w:jc w:val="right"/>
              <w:ind w:right="363"/>
              <w:spacing w:after="0"/>
              <w:rPr>
                <w:sz w:val="20"/>
                <w:szCs w:val="20"/>
                <w:color w:val="auto"/>
              </w:rPr>
            </w:pPr>
            <w:r>
              <w:rPr>
                <w:rFonts w:ascii="Verdana" w:cs="Verdana" w:eastAsia="Verdana" w:hAnsi="Verdana"/>
                <w:sz w:val="14"/>
                <w:szCs w:val="14"/>
                <w:color w:val="auto"/>
              </w:rPr>
              <w:t>2024</w:t>
            </w:r>
          </w:p>
        </w:tc>
        <w:tc>
          <w:tcPr>
            <w:tcW w:w="340" w:type="dxa"/>
            <w:vAlign w:val="bottom"/>
            <w:tcBorders>
              <w:bottom w:val="single" w:sz="8" w:color="214E93"/>
            </w:tcBorders>
          </w:tcPr>
          <w:p>
            <w:pPr>
              <w:spacing w:after="0"/>
              <w:rPr>
                <w:sz w:val="16"/>
                <w:szCs w:val="16"/>
                <w:color w:val="auto"/>
              </w:rPr>
            </w:pPr>
          </w:p>
        </w:tc>
        <w:tc>
          <w:tcPr>
            <w:tcW w:w="940" w:type="dxa"/>
            <w:vAlign w:val="bottom"/>
            <w:tcBorders>
              <w:bottom w:val="single" w:sz="8" w:color="214E93"/>
            </w:tcBorders>
          </w:tcPr>
          <w:p>
            <w:pPr>
              <w:jc w:val="right"/>
              <w:ind w:right="363"/>
              <w:spacing w:after="0"/>
              <w:rPr>
                <w:sz w:val="20"/>
                <w:szCs w:val="20"/>
                <w:color w:val="auto"/>
              </w:rPr>
            </w:pPr>
            <w:r>
              <w:rPr>
                <w:rFonts w:ascii="Verdana" w:cs="Verdana" w:eastAsia="Verdana" w:hAnsi="Verdana"/>
                <w:sz w:val="14"/>
                <w:szCs w:val="14"/>
                <w:color w:val="auto"/>
              </w:rPr>
              <w:t>2023</w:t>
            </w:r>
          </w:p>
        </w:tc>
        <w:tc>
          <w:tcPr>
            <w:tcW w:w="340" w:type="dxa"/>
            <w:vAlign w:val="bottom"/>
            <w:tcBorders>
              <w:bottom w:val="single" w:sz="8" w:color="214E93"/>
            </w:tcBorders>
          </w:tcPr>
          <w:p>
            <w:pPr>
              <w:spacing w:after="0"/>
              <w:rPr>
                <w:sz w:val="16"/>
                <w:szCs w:val="16"/>
                <w:color w:val="auto"/>
              </w:rPr>
            </w:pPr>
          </w:p>
        </w:tc>
        <w:tc>
          <w:tcPr>
            <w:tcW w:w="920" w:type="dxa"/>
            <w:vAlign w:val="bottom"/>
            <w:tcBorders>
              <w:bottom w:val="single" w:sz="8" w:color="214E93"/>
            </w:tcBorders>
          </w:tcPr>
          <w:p>
            <w:pPr>
              <w:jc w:val="right"/>
              <w:ind w:right="363"/>
              <w:spacing w:after="0"/>
              <w:rPr>
                <w:sz w:val="20"/>
                <w:szCs w:val="20"/>
                <w:color w:val="auto"/>
              </w:rPr>
            </w:pPr>
            <w:r>
              <w:rPr>
                <w:rFonts w:ascii="Verdana" w:cs="Verdana" w:eastAsia="Verdana" w:hAnsi="Verdana"/>
                <w:sz w:val="14"/>
                <w:szCs w:val="14"/>
                <w:color w:val="auto"/>
              </w:rPr>
              <w:t>2022</w:t>
            </w:r>
          </w:p>
        </w:tc>
        <w:tc>
          <w:tcPr>
            <w:tcW w:w="1280" w:type="dxa"/>
            <w:vAlign w:val="bottom"/>
            <w:tcBorders>
              <w:bottom w:val="single" w:sz="8" w:color="214E93"/>
            </w:tcBorders>
            <w:gridSpan w:val="2"/>
          </w:tcPr>
          <w:p>
            <w:pPr>
              <w:jc w:val="right"/>
              <w:ind w:right="41"/>
              <w:spacing w:after="0"/>
              <w:rPr>
                <w:sz w:val="20"/>
                <w:szCs w:val="20"/>
                <w:color w:val="auto"/>
              </w:rPr>
            </w:pPr>
            <w:r>
              <w:rPr>
                <w:rFonts w:ascii="Verdana" w:cs="Verdana" w:eastAsia="Verdana" w:hAnsi="Verdana"/>
                <w:sz w:val="14"/>
                <w:szCs w:val="14"/>
                <w:color w:val="auto"/>
              </w:rPr>
              <w:t>2021 and prior</w:t>
            </w:r>
          </w:p>
        </w:tc>
        <w:tc>
          <w:tcPr>
            <w:tcW w:w="280" w:type="dxa"/>
            <w:vAlign w:val="bottom"/>
            <w:tcBorders>
              <w:bottom w:val="single" w:sz="8" w:color="214E93"/>
            </w:tcBorders>
          </w:tcPr>
          <w:p>
            <w:pPr>
              <w:spacing w:after="0"/>
              <w:rPr>
                <w:sz w:val="16"/>
                <w:szCs w:val="16"/>
                <w:color w:val="auto"/>
              </w:rPr>
            </w:pPr>
          </w:p>
        </w:tc>
        <w:tc>
          <w:tcPr>
            <w:tcW w:w="960" w:type="dxa"/>
            <w:vAlign w:val="bottom"/>
            <w:tcBorders>
              <w:bottom w:val="single" w:sz="8" w:color="214E93"/>
            </w:tcBorders>
          </w:tcPr>
          <w:p>
            <w:pPr>
              <w:jc w:val="right"/>
              <w:ind w:right="343"/>
              <w:spacing w:after="0"/>
              <w:rPr>
                <w:sz w:val="20"/>
                <w:szCs w:val="20"/>
                <w:color w:val="auto"/>
              </w:rPr>
            </w:pPr>
            <w:r>
              <w:rPr>
                <w:rFonts w:ascii="Verdana" w:cs="Verdana" w:eastAsia="Verdana" w:hAnsi="Verdana"/>
                <w:sz w:val="14"/>
                <w:szCs w:val="14"/>
                <w:color w:val="auto"/>
              </w:rPr>
              <w:t>Total</w:t>
            </w:r>
          </w:p>
        </w:tc>
      </w:tr>
      <w:tr>
        <w:trPr>
          <w:trHeight w:val="211"/>
        </w:trPr>
        <w:tc>
          <w:tcPr>
            <w:tcW w:w="1900" w:type="dxa"/>
            <w:vAlign w:val="bottom"/>
          </w:tcPr>
          <w:p>
            <w:pPr>
              <w:ind w:left="40"/>
              <w:spacing w:after="0"/>
              <w:rPr>
                <w:sz w:val="20"/>
                <w:szCs w:val="20"/>
                <w:color w:val="auto"/>
              </w:rPr>
            </w:pPr>
            <w:r>
              <w:rPr>
                <w:rFonts w:ascii="Verdana" w:cs="Verdana" w:eastAsia="Verdana" w:hAnsi="Verdana"/>
                <w:sz w:val="16"/>
                <w:szCs w:val="16"/>
                <w:color w:val="auto"/>
              </w:rPr>
              <w:t>Costs incurred for</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5"/>
        </w:trPr>
        <w:tc>
          <w:tcPr>
            <w:tcW w:w="1900" w:type="dxa"/>
            <w:vAlign w:val="bottom"/>
          </w:tcPr>
          <w:p>
            <w:pPr>
              <w:ind w:left="160"/>
              <w:spacing w:after="0"/>
              <w:rPr>
                <w:sz w:val="20"/>
                <w:szCs w:val="20"/>
                <w:color w:val="auto"/>
              </w:rPr>
            </w:pPr>
            <w:r>
              <w:rPr>
                <w:rFonts w:ascii="Verdana" w:cs="Verdana" w:eastAsia="Verdana" w:hAnsi="Verdana"/>
                <w:sz w:val="16"/>
                <w:szCs w:val="16"/>
                <w:color w:val="auto"/>
              </w:rPr>
              <w:t>Property acquisition</w:t>
            </w:r>
          </w:p>
        </w:tc>
        <w:tc>
          <w:tcPr>
            <w:tcW w:w="400" w:type="dxa"/>
            <w:vAlign w:val="bottom"/>
          </w:tcPr>
          <w:p>
            <w:pPr>
              <w:jc w:val="right"/>
              <w:ind w:right="41"/>
              <w:spacing w:after="0"/>
              <w:rPr>
                <w:sz w:val="20"/>
                <w:szCs w:val="20"/>
                <w:color w:val="auto"/>
              </w:rPr>
            </w:pPr>
            <w:r>
              <w:rPr>
                <w:rFonts w:ascii="Verdana" w:cs="Verdana" w:eastAsia="Verdana" w:hAnsi="Verdana"/>
                <w:sz w:val="16"/>
                <w:szCs w:val="16"/>
                <w:color w:val="214E93"/>
              </w:rPr>
              <w:t>$</w:t>
            </w:r>
          </w:p>
        </w:tc>
        <w:tc>
          <w:tcPr>
            <w:tcW w:w="940" w:type="dxa"/>
            <w:vAlign w:val="bottom"/>
          </w:tcPr>
          <w:p>
            <w:pPr>
              <w:jc w:val="right"/>
              <w:ind w:right="43"/>
              <w:spacing w:after="0"/>
              <w:rPr>
                <w:sz w:val="20"/>
                <w:szCs w:val="20"/>
                <w:color w:val="auto"/>
              </w:rPr>
            </w:pPr>
            <w:r>
              <w:rPr>
                <w:rFonts w:ascii="Verdana" w:cs="Verdana" w:eastAsia="Verdana" w:hAnsi="Verdana"/>
                <w:sz w:val="16"/>
                <w:szCs w:val="16"/>
                <w:color w:val="214E93"/>
              </w:rPr>
              <w:t>255,126</w:t>
            </w:r>
          </w:p>
        </w:tc>
        <w:tc>
          <w:tcPr>
            <w:tcW w:w="340" w:type="dxa"/>
            <w:vAlign w:val="bottom"/>
          </w:tcPr>
          <w:p>
            <w:pPr>
              <w:jc w:val="right"/>
              <w:ind w:right="61"/>
              <w:spacing w:after="0"/>
              <w:rPr>
                <w:sz w:val="20"/>
                <w:szCs w:val="20"/>
                <w:color w:val="auto"/>
              </w:rPr>
            </w:pPr>
            <w:r>
              <w:rPr>
                <w:rFonts w:ascii="Verdana" w:cs="Verdana" w:eastAsia="Verdana" w:hAnsi="Verdana"/>
                <w:sz w:val="16"/>
                <w:szCs w:val="16"/>
                <w:color w:val="auto"/>
              </w:rPr>
              <w:t>$</w:t>
            </w:r>
          </w:p>
        </w:tc>
        <w:tc>
          <w:tcPr>
            <w:tcW w:w="920" w:type="dxa"/>
            <w:vAlign w:val="bottom"/>
          </w:tcPr>
          <w:p>
            <w:pPr>
              <w:jc w:val="right"/>
              <w:ind w:right="23"/>
              <w:spacing w:after="0"/>
              <w:rPr>
                <w:sz w:val="20"/>
                <w:szCs w:val="20"/>
                <w:color w:val="auto"/>
              </w:rPr>
            </w:pPr>
            <w:r>
              <w:rPr>
                <w:rFonts w:ascii="Verdana" w:cs="Verdana" w:eastAsia="Verdana" w:hAnsi="Verdana"/>
                <w:sz w:val="16"/>
                <w:szCs w:val="16"/>
                <w:color w:val="auto"/>
              </w:rPr>
              <w:t>585,463</w:t>
            </w:r>
          </w:p>
        </w:tc>
        <w:tc>
          <w:tcPr>
            <w:tcW w:w="340" w:type="dxa"/>
            <w:vAlign w:val="bottom"/>
          </w:tcPr>
          <w:p>
            <w:pPr>
              <w:jc w:val="right"/>
              <w:ind w:right="41"/>
              <w:spacing w:after="0"/>
              <w:rPr>
                <w:sz w:val="20"/>
                <w:szCs w:val="20"/>
                <w:color w:val="auto"/>
              </w:rPr>
            </w:pPr>
            <w:r>
              <w:rPr>
                <w:rFonts w:ascii="Verdana" w:cs="Verdana" w:eastAsia="Verdana" w:hAnsi="Verdana"/>
                <w:sz w:val="16"/>
                <w:szCs w:val="16"/>
                <w:color w:val="auto"/>
              </w:rPr>
              <w:t>$</w:t>
            </w:r>
          </w:p>
        </w:tc>
        <w:tc>
          <w:tcPr>
            <w:tcW w:w="940" w:type="dxa"/>
            <w:vAlign w:val="bottom"/>
          </w:tcPr>
          <w:p>
            <w:pPr>
              <w:jc w:val="right"/>
              <w:ind w:right="43"/>
              <w:spacing w:after="0"/>
              <w:rPr>
                <w:sz w:val="20"/>
                <w:szCs w:val="20"/>
                <w:color w:val="auto"/>
              </w:rPr>
            </w:pPr>
            <w:r>
              <w:rPr>
                <w:rFonts w:ascii="Verdana" w:cs="Verdana" w:eastAsia="Verdana" w:hAnsi="Verdana"/>
                <w:sz w:val="16"/>
                <w:szCs w:val="16"/>
                <w:color w:val="auto"/>
              </w:rPr>
              <w:t>321,062</w:t>
            </w:r>
          </w:p>
        </w:tc>
        <w:tc>
          <w:tcPr>
            <w:tcW w:w="340" w:type="dxa"/>
            <w:vAlign w:val="bottom"/>
          </w:tcPr>
          <w:p>
            <w:pPr>
              <w:jc w:val="right"/>
              <w:ind w:right="61"/>
              <w:spacing w:after="0"/>
              <w:rPr>
                <w:sz w:val="20"/>
                <w:szCs w:val="20"/>
                <w:color w:val="auto"/>
              </w:rPr>
            </w:pPr>
            <w:r>
              <w:rPr>
                <w:rFonts w:ascii="Verdana" w:cs="Verdana" w:eastAsia="Verdana" w:hAnsi="Verdana"/>
                <w:sz w:val="16"/>
                <w:szCs w:val="16"/>
                <w:color w:val="auto"/>
              </w:rPr>
              <w:t>$</w:t>
            </w:r>
          </w:p>
        </w:tc>
        <w:tc>
          <w:tcPr>
            <w:tcW w:w="920" w:type="dxa"/>
            <w:vAlign w:val="bottom"/>
          </w:tcPr>
          <w:p>
            <w:pPr>
              <w:jc w:val="right"/>
              <w:ind w:right="23"/>
              <w:spacing w:after="0"/>
              <w:rPr>
                <w:sz w:val="20"/>
                <w:szCs w:val="20"/>
                <w:color w:val="auto"/>
              </w:rPr>
            </w:pPr>
            <w:r>
              <w:rPr>
                <w:rFonts w:ascii="Verdana" w:cs="Verdana" w:eastAsia="Verdana" w:hAnsi="Verdana"/>
                <w:sz w:val="16"/>
                <w:szCs w:val="16"/>
                <w:color w:val="auto"/>
              </w:rPr>
              <w:t>95,880</w:t>
            </w:r>
          </w:p>
        </w:tc>
        <w:tc>
          <w:tcPr>
            <w:tcW w:w="360" w:type="dxa"/>
            <w:vAlign w:val="bottom"/>
          </w:tcPr>
          <w:p>
            <w:pPr>
              <w:jc w:val="right"/>
              <w:ind w:right="85"/>
              <w:spacing w:after="0"/>
              <w:rPr>
                <w:sz w:val="20"/>
                <w:szCs w:val="20"/>
                <w:color w:val="auto"/>
              </w:rPr>
            </w:pPr>
            <w:r>
              <w:rPr>
                <w:rFonts w:ascii="Verdana" w:cs="Verdana" w:eastAsia="Verdana" w:hAnsi="Verdana"/>
                <w:sz w:val="16"/>
                <w:szCs w:val="16"/>
                <w:color w:val="auto"/>
              </w:rPr>
              <w:t>$</w:t>
            </w:r>
          </w:p>
        </w:tc>
        <w:tc>
          <w:tcPr>
            <w:tcW w:w="920" w:type="dxa"/>
            <w:vAlign w:val="bottom"/>
          </w:tcPr>
          <w:p>
            <w:pPr>
              <w:jc w:val="right"/>
              <w:ind w:right="41"/>
              <w:spacing w:after="0"/>
              <w:rPr>
                <w:sz w:val="20"/>
                <w:szCs w:val="20"/>
                <w:color w:val="auto"/>
              </w:rPr>
            </w:pPr>
            <w:r>
              <w:rPr>
                <w:rFonts w:ascii="Verdana" w:cs="Verdana" w:eastAsia="Verdana" w:hAnsi="Verdana"/>
                <w:sz w:val="16"/>
                <w:szCs w:val="16"/>
                <w:color w:val="auto"/>
              </w:rPr>
              <w:t>420,481</w:t>
            </w:r>
          </w:p>
        </w:tc>
        <w:tc>
          <w:tcPr>
            <w:tcW w:w="280" w:type="dxa"/>
            <w:vAlign w:val="bottom"/>
          </w:tcPr>
          <w:p>
            <w:pPr>
              <w:jc w:val="right"/>
              <w:ind w:right="1"/>
              <w:spacing w:after="0"/>
              <w:rPr>
                <w:sz w:val="20"/>
                <w:szCs w:val="20"/>
                <w:color w:val="auto"/>
              </w:rPr>
            </w:pPr>
            <w:r>
              <w:rPr>
                <w:rFonts w:ascii="Verdana" w:cs="Verdana" w:eastAsia="Verdana" w:hAnsi="Verdana"/>
                <w:sz w:val="16"/>
                <w:szCs w:val="16"/>
                <w:color w:val="auto"/>
              </w:rPr>
              <w:t>$</w:t>
            </w:r>
          </w:p>
        </w:tc>
        <w:tc>
          <w:tcPr>
            <w:tcW w:w="960" w:type="dxa"/>
            <w:vAlign w:val="bottom"/>
          </w:tcPr>
          <w:p>
            <w:pPr>
              <w:jc w:val="right"/>
              <w:ind w:right="3"/>
              <w:spacing w:after="0"/>
              <w:rPr>
                <w:sz w:val="20"/>
                <w:szCs w:val="20"/>
                <w:color w:val="auto"/>
              </w:rPr>
            </w:pPr>
            <w:r>
              <w:rPr>
                <w:rFonts w:ascii="Verdana" w:cs="Verdana" w:eastAsia="Verdana" w:hAnsi="Verdana"/>
                <w:sz w:val="16"/>
                <w:szCs w:val="16"/>
                <w:color w:val="auto"/>
              </w:rPr>
              <w:t>1,678,012</w:t>
            </w:r>
          </w:p>
        </w:tc>
      </w:tr>
      <w:tr>
        <w:trPr>
          <w:trHeight w:val="236"/>
        </w:trPr>
        <w:tc>
          <w:tcPr>
            <w:tcW w:w="1900" w:type="dxa"/>
            <w:vAlign w:val="bottom"/>
          </w:tcPr>
          <w:p>
            <w:pPr>
              <w:ind w:left="160"/>
              <w:spacing w:after="0"/>
              <w:rPr>
                <w:sz w:val="20"/>
                <w:szCs w:val="20"/>
                <w:color w:val="auto"/>
              </w:rPr>
            </w:pPr>
            <w:r>
              <w:rPr>
                <w:rFonts w:ascii="Verdana" w:cs="Verdana" w:eastAsia="Verdana" w:hAnsi="Verdana"/>
                <w:sz w:val="16"/>
                <w:szCs w:val="16"/>
                <w:color w:val="auto"/>
              </w:rPr>
              <w:t>Exploration wells</w:t>
            </w:r>
          </w:p>
        </w:tc>
        <w:tc>
          <w:tcPr>
            <w:tcW w:w="400" w:type="dxa"/>
            <w:vAlign w:val="bottom"/>
          </w:tcPr>
          <w:p>
            <w:pPr>
              <w:spacing w:after="0"/>
              <w:rPr>
                <w:sz w:val="20"/>
                <w:szCs w:val="20"/>
                <w:color w:val="auto"/>
              </w:rPr>
            </w:pPr>
          </w:p>
        </w:tc>
        <w:tc>
          <w:tcPr>
            <w:tcW w:w="940" w:type="dxa"/>
            <w:vAlign w:val="bottom"/>
          </w:tcPr>
          <w:p>
            <w:pPr>
              <w:jc w:val="right"/>
              <w:ind w:right="43"/>
              <w:spacing w:after="0"/>
              <w:rPr>
                <w:sz w:val="20"/>
                <w:szCs w:val="20"/>
                <w:color w:val="auto"/>
              </w:rPr>
            </w:pPr>
            <w:r>
              <w:rPr>
                <w:rFonts w:ascii="Verdana" w:cs="Verdana" w:eastAsia="Verdana" w:hAnsi="Verdana"/>
                <w:sz w:val="16"/>
                <w:szCs w:val="16"/>
                <w:color w:val="214E93"/>
              </w:rPr>
              <w:t>12,560</w:t>
            </w:r>
          </w:p>
        </w:tc>
        <w:tc>
          <w:tcPr>
            <w:tcW w:w="340" w:type="dxa"/>
            <w:vAlign w:val="bottom"/>
          </w:tcPr>
          <w:p>
            <w:pPr>
              <w:spacing w:after="0"/>
              <w:rPr>
                <w:sz w:val="20"/>
                <w:szCs w:val="20"/>
                <w:color w:val="auto"/>
              </w:rPr>
            </w:pPr>
          </w:p>
        </w:tc>
        <w:tc>
          <w:tcPr>
            <w:tcW w:w="920" w:type="dxa"/>
            <w:vAlign w:val="bottom"/>
          </w:tcPr>
          <w:p>
            <w:pPr>
              <w:jc w:val="right"/>
              <w:ind w:right="23"/>
              <w:spacing w:after="0"/>
              <w:rPr>
                <w:sz w:val="20"/>
                <w:szCs w:val="20"/>
                <w:color w:val="auto"/>
              </w:rPr>
            </w:pPr>
            <w:r>
              <w:rPr>
                <w:rFonts w:ascii="Verdana" w:cs="Verdana" w:eastAsia="Verdana" w:hAnsi="Verdana"/>
                <w:sz w:val="16"/>
                <w:szCs w:val="16"/>
                <w:color w:val="auto"/>
              </w:rPr>
              <w:t>2,313</w:t>
            </w:r>
          </w:p>
        </w:tc>
        <w:tc>
          <w:tcPr>
            <w:tcW w:w="340" w:type="dxa"/>
            <w:vAlign w:val="bottom"/>
          </w:tcPr>
          <w:p>
            <w:pPr>
              <w:spacing w:after="0"/>
              <w:rPr>
                <w:sz w:val="20"/>
                <w:szCs w:val="20"/>
                <w:color w:val="auto"/>
              </w:rPr>
            </w:pPr>
          </w:p>
        </w:tc>
        <w:tc>
          <w:tcPr>
            <w:tcW w:w="940" w:type="dxa"/>
            <w:vAlign w:val="bottom"/>
          </w:tcPr>
          <w:p>
            <w:pPr>
              <w:jc w:val="right"/>
              <w:ind w:right="43"/>
              <w:spacing w:after="0"/>
              <w:rPr>
                <w:sz w:val="20"/>
                <w:szCs w:val="20"/>
                <w:color w:val="auto"/>
              </w:rPr>
            </w:pPr>
            <w:r>
              <w:rPr>
                <w:rFonts w:ascii="Verdana" w:cs="Verdana" w:eastAsia="Verdana" w:hAnsi="Verdana"/>
                <w:sz w:val="16"/>
                <w:szCs w:val="16"/>
                <w:color w:val="auto"/>
              </w:rPr>
              <w:t>846</w:t>
            </w:r>
          </w:p>
        </w:tc>
        <w:tc>
          <w:tcPr>
            <w:tcW w:w="340" w:type="dxa"/>
            <w:vAlign w:val="bottom"/>
          </w:tcPr>
          <w:p>
            <w:pPr>
              <w:spacing w:after="0"/>
              <w:rPr>
                <w:sz w:val="20"/>
                <w:szCs w:val="20"/>
                <w:color w:val="auto"/>
              </w:rPr>
            </w:pPr>
          </w:p>
        </w:tc>
        <w:tc>
          <w:tcPr>
            <w:tcW w:w="920" w:type="dxa"/>
            <w:vAlign w:val="bottom"/>
          </w:tcPr>
          <w:p>
            <w:pPr>
              <w:jc w:val="right"/>
              <w:ind w:right="23"/>
              <w:spacing w:after="0"/>
              <w:rPr>
                <w:sz w:val="20"/>
                <w:szCs w:val="20"/>
                <w:color w:val="auto"/>
              </w:rPr>
            </w:pPr>
            <w:r>
              <w:rPr>
                <w:rFonts w:ascii="Verdana" w:cs="Verdana" w:eastAsia="Verdana" w:hAnsi="Verdana"/>
                <w:sz w:val="16"/>
                <w:szCs w:val="16"/>
                <w:color w:val="auto"/>
              </w:rPr>
              <w:t>164</w:t>
            </w:r>
          </w:p>
        </w:tc>
        <w:tc>
          <w:tcPr>
            <w:tcW w:w="36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Verdana" w:cs="Verdana" w:eastAsia="Verdana" w:hAnsi="Verdana"/>
                <w:sz w:val="16"/>
                <w:szCs w:val="16"/>
                <w:color w:val="auto"/>
              </w:rPr>
              <w:t>1,011</w:t>
            </w:r>
          </w:p>
        </w:tc>
        <w:tc>
          <w:tcPr>
            <w:tcW w:w="2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Verdana" w:cs="Verdana" w:eastAsia="Verdana" w:hAnsi="Verdana"/>
                <w:sz w:val="16"/>
                <w:szCs w:val="16"/>
                <w:color w:val="auto"/>
              </w:rPr>
              <w:t>16,894</w:t>
            </w:r>
          </w:p>
        </w:tc>
      </w:tr>
      <w:tr>
        <w:trPr>
          <w:trHeight w:val="242"/>
        </w:trPr>
        <w:tc>
          <w:tcPr>
            <w:tcW w:w="1900" w:type="dxa"/>
            <w:vAlign w:val="bottom"/>
            <w:tcBorders>
              <w:bottom w:val="single" w:sz="8" w:color="auto"/>
            </w:tcBorders>
          </w:tcPr>
          <w:p>
            <w:pPr>
              <w:ind w:left="160"/>
              <w:spacing w:after="0"/>
              <w:rPr>
                <w:sz w:val="20"/>
                <w:szCs w:val="20"/>
                <w:color w:val="auto"/>
              </w:rPr>
            </w:pPr>
            <w:r>
              <w:rPr>
                <w:rFonts w:ascii="Verdana" w:cs="Verdana" w:eastAsia="Verdana" w:hAnsi="Verdana"/>
                <w:sz w:val="16"/>
                <w:szCs w:val="16"/>
                <w:color w:val="auto"/>
              </w:rPr>
              <w:t>Development wells</w:t>
            </w: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3"/>
              <w:spacing w:after="0"/>
              <w:rPr>
                <w:sz w:val="20"/>
                <w:szCs w:val="20"/>
                <w:color w:val="auto"/>
              </w:rPr>
            </w:pPr>
            <w:r>
              <w:rPr>
                <w:rFonts w:ascii="Verdana" w:cs="Verdana" w:eastAsia="Verdana" w:hAnsi="Verdana"/>
                <w:sz w:val="16"/>
                <w:szCs w:val="16"/>
                <w:color w:val="214E93"/>
              </w:rPr>
              <w:t>125,988</w:t>
            </w: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3"/>
              <w:spacing w:after="0"/>
              <w:rPr>
                <w:sz w:val="20"/>
                <w:szCs w:val="20"/>
                <w:color w:val="auto"/>
              </w:rPr>
            </w:pPr>
            <w:r>
              <w:rPr>
                <w:rFonts w:ascii="Verdana" w:cs="Verdana" w:eastAsia="Verdana" w:hAnsi="Verdana"/>
                <w:sz w:val="16"/>
                <w:szCs w:val="16"/>
                <w:color w:val="auto"/>
              </w:rPr>
              <w:t>1,604</w:t>
            </w: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3"/>
              <w:spacing w:after="0"/>
              <w:rPr>
                <w:sz w:val="20"/>
                <w:szCs w:val="20"/>
                <w:color w:val="auto"/>
              </w:rPr>
            </w:pPr>
            <w:r>
              <w:rPr>
                <w:rFonts w:ascii="Verdana" w:cs="Verdana" w:eastAsia="Verdana" w:hAnsi="Verdana"/>
                <w:sz w:val="16"/>
                <w:szCs w:val="16"/>
                <w:color w:val="auto"/>
              </w:rPr>
              <w:t>738</w:t>
            </w: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3"/>
              <w:spacing w:after="0"/>
              <w:rPr>
                <w:sz w:val="20"/>
                <w:szCs w:val="20"/>
                <w:color w:val="auto"/>
              </w:rPr>
            </w:pPr>
            <w:r>
              <w:rPr>
                <w:rFonts w:ascii="Verdana" w:cs="Verdana" w:eastAsia="Verdana" w:hAnsi="Verdana"/>
                <w:sz w:val="16"/>
                <w:szCs w:val="16"/>
                <w:color w:val="auto"/>
              </w:rPr>
              <w:t>156</w:t>
            </w: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1"/>
              <w:spacing w:after="0"/>
              <w:rPr>
                <w:sz w:val="20"/>
                <w:szCs w:val="20"/>
                <w:color w:val="auto"/>
              </w:rPr>
            </w:pPr>
            <w:r>
              <w:rPr>
                <w:rFonts w:ascii="Verdana" w:cs="Verdana" w:eastAsia="Verdana" w:hAnsi="Verdana"/>
                <w:sz w:val="16"/>
                <w:szCs w:val="16"/>
                <w:color w:val="auto"/>
              </w:rPr>
              <w:t>64</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
              <w:spacing w:after="0"/>
              <w:rPr>
                <w:sz w:val="20"/>
                <w:szCs w:val="20"/>
                <w:color w:val="auto"/>
              </w:rPr>
            </w:pPr>
            <w:r>
              <w:rPr>
                <w:rFonts w:ascii="Verdana" w:cs="Verdana" w:eastAsia="Verdana" w:hAnsi="Verdana"/>
                <w:sz w:val="16"/>
                <w:szCs w:val="16"/>
                <w:color w:val="auto"/>
              </w:rPr>
              <w:t>128,550</w:t>
            </w:r>
          </w:p>
        </w:tc>
      </w:tr>
      <w:tr>
        <w:trPr>
          <w:trHeight w:val="217"/>
        </w:trPr>
        <w:tc>
          <w:tcPr>
            <w:tcW w:w="1900" w:type="dxa"/>
            <w:vAlign w:val="bottom"/>
            <w:tcBorders>
              <w:bottom w:val="single" w:sz="8" w:color="214E93"/>
            </w:tcBorders>
          </w:tcPr>
          <w:p>
            <w:pPr>
              <w:ind w:left="280"/>
              <w:spacing w:after="0"/>
              <w:rPr>
                <w:sz w:val="20"/>
                <w:szCs w:val="20"/>
                <w:color w:val="auto"/>
              </w:rPr>
            </w:pPr>
            <w:r>
              <w:rPr>
                <w:rFonts w:ascii="Verdana" w:cs="Verdana" w:eastAsia="Verdana" w:hAnsi="Verdana"/>
                <w:sz w:val="16"/>
                <w:szCs w:val="16"/>
                <w:color w:val="auto"/>
              </w:rPr>
              <w:t>Total</w:t>
            </w:r>
          </w:p>
        </w:tc>
        <w:tc>
          <w:tcPr>
            <w:tcW w:w="400" w:type="dxa"/>
            <w:vAlign w:val="bottom"/>
            <w:tcBorders>
              <w:bottom w:val="single" w:sz="8" w:color="214E93"/>
            </w:tcBorders>
          </w:tcPr>
          <w:p>
            <w:pPr>
              <w:jc w:val="right"/>
              <w:ind w:right="41"/>
              <w:spacing w:after="0"/>
              <w:rPr>
                <w:sz w:val="20"/>
                <w:szCs w:val="20"/>
                <w:color w:val="auto"/>
              </w:rPr>
            </w:pPr>
            <w:r>
              <w:rPr>
                <w:rFonts w:ascii="Verdana" w:cs="Verdana" w:eastAsia="Verdana" w:hAnsi="Verdana"/>
                <w:sz w:val="16"/>
                <w:szCs w:val="16"/>
                <w:color w:val="214E93"/>
              </w:rPr>
              <w:t>$</w:t>
            </w:r>
          </w:p>
        </w:tc>
        <w:tc>
          <w:tcPr>
            <w:tcW w:w="940" w:type="dxa"/>
            <w:vAlign w:val="bottom"/>
            <w:tcBorders>
              <w:bottom w:val="single" w:sz="8" w:color="214E93"/>
            </w:tcBorders>
          </w:tcPr>
          <w:p>
            <w:pPr>
              <w:jc w:val="right"/>
              <w:ind w:right="43"/>
              <w:spacing w:after="0"/>
              <w:rPr>
                <w:sz w:val="20"/>
                <w:szCs w:val="20"/>
                <w:color w:val="auto"/>
              </w:rPr>
            </w:pPr>
            <w:r>
              <w:rPr>
                <w:rFonts w:ascii="Verdana" w:cs="Verdana" w:eastAsia="Verdana" w:hAnsi="Verdana"/>
                <w:sz w:val="16"/>
                <w:szCs w:val="16"/>
                <w:color w:val="214E93"/>
              </w:rPr>
              <w:t>393,674</w:t>
            </w:r>
          </w:p>
        </w:tc>
        <w:tc>
          <w:tcPr>
            <w:tcW w:w="340" w:type="dxa"/>
            <w:vAlign w:val="bottom"/>
            <w:tcBorders>
              <w:bottom w:val="single" w:sz="8" w:color="214E93"/>
            </w:tcBorders>
          </w:tcPr>
          <w:p>
            <w:pPr>
              <w:jc w:val="right"/>
              <w:ind w:right="61"/>
              <w:spacing w:after="0"/>
              <w:rPr>
                <w:sz w:val="20"/>
                <w:szCs w:val="20"/>
                <w:color w:val="auto"/>
              </w:rPr>
            </w:pPr>
            <w:r>
              <w:rPr>
                <w:rFonts w:ascii="Verdana" w:cs="Verdana" w:eastAsia="Verdana" w:hAnsi="Verdana"/>
                <w:sz w:val="16"/>
                <w:szCs w:val="16"/>
                <w:color w:val="auto"/>
              </w:rPr>
              <w:t>$</w:t>
            </w:r>
          </w:p>
        </w:tc>
        <w:tc>
          <w:tcPr>
            <w:tcW w:w="920" w:type="dxa"/>
            <w:vAlign w:val="bottom"/>
            <w:tcBorders>
              <w:bottom w:val="single" w:sz="8" w:color="214E93"/>
            </w:tcBorders>
          </w:tcPr>
          <w:p>
            <w:pPr>
              <w:jc w:val="right"/>
              <w:ind w:right="23"/>
              <w:spacing w:after="0"/>
              <w:rPr>
                <w:sz w:val="20"/>
                <w:szCs w:val="20"/>
                <w:color w:val="auto"/>
              </w:rPr>
            </w:pPr>
            <w:r>
              <w:rPr>
                <w:rFonts w:ascii="Verdana" w:cs="Verdana" w:eastAsia="Verdana" w:hAnsi="Verdana"/>
                <w:sz w:val="16"/>
                <w:szCs w:val="16"/>
                <w:color w:val="auto"/>
              </w:rPr>
              <w:t>589,380</w:t>
            </w:r>
          </w:p>
        </w:tc>
        <w:tc>
          <w:tcPr>
            <w:tcW w:w="340" w:type="dxa"/>
            <w:vAlign w:val="bottom"/>
            <w:tcBorders>
              <w:bottom w:val="single" w:sz="8" w:color="214E93"/>
            </w:tcBorders>
          </w:tcPr>
          <w:p>
            <w:pPr>
              <w:jc w:val="right"/>
              <w:ind w:right="41"/>
              <w:spacing w:after="0"/>
              <w:rPr>
                <w:sz w:val="20"/>
                <w:szCs w:val="20"/>
                <w:color w:val="auto"/>
              </w:rPr>
            </w:pPr>
            <w:r>
              <w:rPr>
                <w:rFonts w:ascii="Verdana" w:cs="Verdana" w:eastAsia="Verdana" w:hAnsi="Verdana"/>
                <w:sz w:val="16"/>
                <w:szCs w:val="16"/>
                <w:color w:val="auto"/>
              </w:rPr>
              <w:t>$</w:t>
            </w:r>
          </w:p>
        </w:tc>
        <w:tc>
          <w:tcPr>
            <w:tcW w:w="940" w:type="dxa"/>
            <w:vAlign w:val="bottom"/>
            <w:tcBorders>
              <w:bottom w:val="single" w:sz="8" w:color="214E93"/>
            </w:tcBorders>
          </w:tcPr>
          <w:p>
            <w:pPr>
              <w:jc w:val="right"/>
              <w:ind w:right="43"/>
              <w:spacing w:after="0"/>
              <w:rPr>
                <w:sz w:val="20"/>
                <w:szCs w:val="20"/>
                <w:color w:val="auto"/>
              </w:rPr>
            </w:pPr>
            <w:r>
              <w:rPr>
                <w:rFonts w:ascii="Verdana" w:cs="Verdana" w:eastAsia="Verdana" w:hAnsi="Verdana"/>
                <w:sz w:val="16"/>
                <w:szCs w:val="16"/>
                <w:color w:val="auto"/>
              </w:rPr>
              <w:t>322,646</w:t>
            </w:r>
          </w:p>
        </w:tc>
        <w:tc>
          <w:tcPr>
            <w:tcW w:w="340" w:type="dxa"/>
            <w:vAlign w:val="bottom"/>
            <w:tcBorders>
              <w:bottom w:val="single" w:sz="8" w:color="214E93"/>
            </w:tcBorders>
          </w:tcPr>
          <w:p>
            <w:pPr>
              <w:jc w:val="right"/>
              <w:ind w:right="61"/>
              <w:spacing w:after="0"/>
              <w:rPr>
                <w:sz w:val="20"/>
                <w:szCs w:val="20"/>
                <w:color w:val="auto"/>
              </w:rPr>
            </w:pPr>
            <w:r>
              <w:rPr>
                <w:rFonts w:ascii="Verdana" w:cs="Verdana" w:eastAsia="Verdana" w:hAnsi="Verdana"/>
                <w:sz w:val="16"/>
                <w:szCs w:val="16"/>
                <w:color w:val="auto"/>
              </w:rPr>
              <w:t>$</w:t>
            </w:r>
          </w:p>
        </w:tc>
        <w:tc>
          <w:tcPr>
            <w:tcW w:w="920" w:type="dxa"/>
            <w:vAlign w:val="bottom"/>
            <w:tcBorders>
              <w:bottom w:val="single" w:sz="8" w:color="214E93"/>
            </w:tcBorders>
          </w:tcPr>
          <w:p>
            <w:pPr>
              <w:jc w:val="right"/>
              <w:ind w:right="23"/>
              <w:spacing w:after="0"/>
              <w:rPr>
                <w:sz w:val="20"/>
                <w:szCs w:val="20"/>
                <w:color w:val="auto"/>
              </w:rPr>
            </w:pPr>
            <w:r>
              <w:rPr>
                <w:rFonts w:ascii="Verdana" w:cs="Verdana" w:eastAsia="Verdana" w:hAnsi="Verdana"/>
                <w:sz w:val="16"/>
                <w:szCs w:val="16"/>
                <w:color w:val="auto"/>
              </w:rPr>
              <w:t>96,200</w:t>
            </w:r>
          </w:p>
        </w:tc>
        <w:tc>
          <w:tcPr>
            <w:tcW w:w="360" w:type="dxa"/>
            <w:vAlign w:val="bottom"/>
            <w:tcBorders>
              <w:bottom w:val="single" w:sz="8" w:color="214E93"/>
            </w:tcBorders>
          </w:tcPr>
          <w:p>
            <w:pPr>
              <w:jc w:val="right"/>
              <w:ind w:right="85"/>
              <w:spacing w:after="0"/>
              <w:rPr>
                <w:sz w:val="20"/>
                <w:szCs w:val="20"/>
                <w:color w:val="auto"/>
              </w:rPr>
            </w:pPr>
            <w:r>
              <w:rPr>
                <w:rFonts w:ascii="Verdana" w:cs="Verdana" w:eastAsia="Verdana" w:hAnsi="Verdana"/>
                <w:sz w:val="16"/>
                <w:szCs w:val="16"/>
                <w:color w:val="auto"/>
              </w:rPr>
              <w:t>$</w:t>
            </w:r>
          </w:p>
        </w:tc>
        <w:tc>
          <w:tcPr>
            <w:tcW w:w="920" w:type="dxa"/>
            <w:vAlign w:val="bottom"/>
            <w:tcBorders>
              <w:bottom w:val="single" w:sz="8" w:color="214E93"/>
            </w:tcBorders>
          </w:tcPr>
          <w:p>
            <w:pPr>
              <w:jc w:val="right"/>
              <w:ind w:right="41"/>
              <w:spacing w:after="0"/>
              <w:rPr>
                <w:sz w:val="20"/>
                <w:szCs w:val="20"/>
                <w:color w:val="auto"/>
              </w:rPr>
            </w:pPr>
            <w:r>
              <w:rPr>
                <w:rFonts w:ascii="Verdana" w:cs="Verdana" w:eastAsia="Verdana" w:hAnsi="Verdana"/>
                <w:sz w:val="16"/>
                <w:szCs w:val="16"/>
                <w:color w:val="auto"/>
              </w:rPr>
              <w:t>421,556</w:t>
            </w:r>
          </w:p>
        </w:tc>
        <w:tc>
          <w:tcPr>
            <w:tcW w:w="280" w:type="dxa"/>
            <w:vAlign w:val="bottom"/>
            <w:tcBorders>
              <w:bottom w:val="single" w:sz="8" w:color="214E93"/>
            </w:tcBorders>
          </w:tcPr>
          <w:p>
            <w:pPr>
              <w:jc w:val="right"/>
              <w:ind w:right="1"/>
              <w:spacing w:after="0"/>
              <w:rPr>
                <w:sz w:val="20"/>
                <w:szCs w:val="20"/>
                <w:color w:val="auto"/>
              </w:rPr>
            </w:pPr>
            <w:r>
              <w:rPr>
                <w:rFonts w:ascii="Verdana" w:cs="Verdana" w:eastAsia="Verdana" w:hAnsi="Verdana"/>
                <w:sz w:val="16"/>
                <w:szCs w:val="16"/>
                <w:color w:val="auto"/>
              </w:rPr>
              <w:t>$</w:t>
            </w:r>
          </w:p>
        </w:tc>
        <w:tc>
          <w:tcPr>
            <w:tcW w:w="960" w:type="dxa"/>
            <w:vAlign w:val="bottom"/>
            <w:tcBorders>
              <w:bottom w:val="single" w:sz="8" w:color="214E93"/>
            </w:tcBorders>
          </w:tcPr>
          <w:p>
            <w:pPr>
              <w:jc w:val="right"/>
              <w:ind w:right="3"/>
              <w:spacing w:after="0"/>
              <w:rPr>
                <w:sz w:val="20"/>
                <w:szCs w:val="20"/>
                <w:color w:val="auto"/>
              </w:rPr>
            </w:pPr>
            <w:r>
              <w:rPr>
                <w:rFonts w:ascii="Verdana" w:cs="Verdana" w:eastAsia="Verdana" w:hAnsi="Verdana"/>
                <w:sz w:val="16"/>
                <w:szCs w:val="16"/>
                <w:color w:val="auto"/>
              </w:rPr>
              <w:t>1,823,456</w:t>
            </w:r>
          </w:p>
        </w:tc>
      </w:tr>
    </w:tbl>
    <w:p>
      <w:pPr>
        <w:spacing w:after="0" w:line="20" w:lineRule="exact"/>
        <w:rPr>
          <w:sz w:val="20"/>
          <w:szCs w:val="20"/>
          <w:color w:val="auto"/>
        </w:rPr>
      </w:pPr>
    </w:p>
    <w:p>
      <w:pPr>
        <w:spacing w:after="0" w:line="228" w:lineRule="exact"/>
        <w:rPr>
          <w:sz w:val="20"/>
          <w:szCs w:val="20"/>
          <w:color w:val="auto"/>
        </w:rPr>
      </w:pPr>
    </w:p>
    <w:p>
      <w:pPr>
        <w:ind w:right="880" w:firstLine="241"/>
        <w:spacing w:after="0" w:line="267" w:lineRule="auto"/>
        <w:rPr>
          <w:sz w:val="20"/>
          <w:szCs w:val="20"/>
          <w:color w:val="auto"/>
        </w:rPr>
      </w:pPr>
      <w:r>
        <w:rPr>
          <w:rFonts w:ascii="Calibri" w:cs="Calibri" w:eastAsia="Calibri" w:hAnsi="Calibri"/>
          <w:sz w:val="18"/>
          <w:szCs w:val="18"/>
          <w:color w:val="auto"/>
        </w:rPr>
        <w:t>Property acquisition costs are costs incurred to purchase, lease or otherwise acquire oil and natural gas properties, but may also include broker and legal expenses, geological and geophysical expenses and capitalized internal costs associated with developing oil and natural gas prospects on these properties. Property acquisition costs are transferred into the depletable base on an ongoing basis as these properties are evaluated and proved reserves are established or impairment is determined. Unproved and unevaluated properties are assessed for possible impairment on a periodic basis based upon changes in operating or economic conditions.</w:t>
      </w:r>
    </w:p>
    <w:p>
      <w:pPr>
        <w:spacing w:after="0" w:line="217" w:lineRule="exact"/>
        <w:rPr>
          <w:sz w:val="20"/>
          <w:szCs w:val="20"/>
          <w:color w:val="auto"/>
        </w:rPr>
      </w:pPr>
    </w:p>
    <w:p>
      <w:pPr>
        <w:ind w:right="820" w:firstLine="241"/>
        <w:spacing w:after="0" w:line="267" w:lineRule="auto"/>
        <w:rPr>
          <w:sz w:val="20"/>
          <w:szCs w:val="20"/>
          <w:color w:val="auto"/>
        </w:rPr>
      </w:pPr>
      <w:r>
        <w:rPr>
          <w:rFonts w:ascii="Calibri" w:cs="Calibri" w:eastAsia="Calibri" w:hAnsi="Calibri"/>
          <w:sz w:val="18"/>
          <w:szCs w:val="18"/>
          <w:color w:val="auto"/>
        </w:rPr>
        <w:t>Property acquisition costs incurred that remain in unproved and unevaluated property at December 31, 2025 are related to the Company’s leasehold and mineral acquisitions in the Delaware Basin in Southeast New Mexico and West Texas. These costs are associated with acreage for which proved reserves have yet to be assigned. A significant portion of these costs are associated with properties that are held by production or have automatic lease renewal options. As the Company drills wells and assigns proved reserves to these properties or determines that certain portions of this acreage, if any, cannot be assigned proved reserves, portions of these costs are transferred to the depletable base.</w:t>
      </w:r>
    </w:p>
    <w:p>
      <w:pPr>
        <w:sectPr>
          <w:pgSz w:w="11880" w:h="15480" w:orient="portrait"/>
          <w:cols w:equalWidth="0" w:num="1">
            <w:col w:w="10340"/>
          </w:cols>
          <w:pgMar w:left="1160" w:top="498"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900"/>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0340"/>
          </w:cols>
          <w:pgMar w:left="1160" w:top="498" w:right="380" w:bottom="0" w:gutter="0" w:footer="0" w:header="0"/>
          <w:type w:val="continuous"/>
        </w:sectPr>
      </w:pPr>
    </w:p>
    <w:bookmarkStart w:id="147" w:name="page148"/>
    <w:bookmarkEnd w:id="147"/>
    <w:p>
      <w:pPr>
        <w:spacing w:after="0"/>
        <w:tabs>
          <w:tab w:leader="none" w:pos="800" w:val="left"/>
        </w:tabs>
        <w:rPr>
          <w:sz w:val="20"/>
          <w:szCs w:val="20"/>
          <w:color w:val="auto"/>
        </w:rPr>
      </w:pPr>
      <w:r>
        <w:rPr>
          <w:rFonts w:ascii="Calibri" w:cs="Calibri" w:eastAsia="Calibri" w:hAnsi="Calibri"/>
          <w:sz w:val="18"/>
          <w:szCs w:val="18"/>
          <w:color w:val="auto"/>
        </w:rPr>
        <w:t>F-17</w:t>
      </w:r>
      <w:r>
        <w:rPr>
          <w:sz w:val="20"/>
          <w:szCs w:val="20"/>
          <w:color w:val="auto"/>
        </w:rPr>
        <w:tab/>
      </w:r>
      <w:r>
        <w:rPr>
          <w:rFonts w:ascii="Calibri" w:cs="Calibri" w:eastAsia="Calibri" w:hAnsi="Calibri"/>
          <w:sz w:val="17"/>
          <w:szCs w:val="17"/>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490220</wp:posOffset>
                </wp:positionH>
                <wp:positionV relativeFrom="paragraph">
                  <wp:posOffset>320675</wp:posOffset>
                </wp:positionV>
                <wp:extent cx="6812280" cy="0"/>
                <wp:wrapNone/>
                <wp:docPr id="293" name="Shape 2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93" o:spid="_x0000_s13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25.25pt" to="57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490220</wp:posOffset>
                </wp:positionH>
                <wp:positionV relativeFrom="paragraph">
                  <wp:posOffset>320675</wp:posOffset>
                </wp:positionV>
                <wp:extent cx="6812280" cy="0"/>
                <wp:wrapNone/>
                <wp:docPr id="294" name="Shape 2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94" o:spid="_x0000_s13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25.25pt" to="57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80"/>
        <w:spacing w:after="0"/>
        <w:rPr>
          <w:sz w:val="20"/>
          <w:szCs w:val="20"/>
          <w:color w:val="auto"/>
        </w:rPr>
      </w:pPr>
      <w:r>
        <w:rPr>
          <w:rFonts w:ascii="Verdana" w:cs="Verdana" w:eastAsia="Verdana" w:hAnsi="Verdana"/>
          <w:sz w:val="20"/>
          <w:szCs w:val="20"/>
          <w:color w:val="214E93"/>
        </w:rPr>
        <w:t>NOTE 3 — PROPERTY AND EQUIPMENT — Continued</w:t>
      </w:r>
    </w:p>
    <w:p>
      <w:pPr>
        <w:spacing w:after="0" w:line="209" w:lineRule="exact"/>
        <w:rPr>
          <w:sz w:val="20"/>
          <w:szCs w:val="20"/>
          <w:color w:val="auto"/>
        </w:rPr>
      </w:pPr>
    </w:p>
    <w:p>
      <w:pPr>
        <w:ind w:left="780" w:right="60" w:firstLine="241"/>
        <w:spacing w:after="0" w:line="267" w:lineRule="auto"/>
        <w:rPr>
          <w:sz w:val="20"/>
          <w:szCs w:val="20"/>
          <w:color w:val="auto"/>
        </w:rPr>
      </w:pPr>
      <w:r>
        <w:rPr>
          <w:rFonts w:ascii="Calibri" w:cs="Calibri" w:eastAsia="Calibri" w:hAnsi="Calibri"/>
          <w:sz w:val="18"/>
          <w:szCs w:val="18"/>
          <w:color w:val="auto"/>
        </w:rPr>
        <w:t>Costs excluded from depletion also include those costs associated with exploration and development wells in progress or awaiting completion at year-end. These costs are transferred into the depletable base on an ongoing basis as these wells are completed and proved reserves are established or confirmed. These costs totaled $145.4 million at December 31, 2025, of which $16.9 million was associated with exploration wells and $128.6 million was associated with development wells. The Company anticipates that most of the costs associated with these wells in progress at December 31, 2025 will be transferred to the depletable base during 2026. Unproved and unevaluated property costs for exploration and development wells incurred in years prior to 2025 are costs related to the advanced preparation for wells that the Company intends to drill in the future.</w:t>
      </w:r>
    </w:p>
    <w:p>
      <w:pPr>
        <w:spacing w:after="0" w:line="219" w:lineRule="exact"/>
        <w:rPr>
          <w:sz w:val="20"/>
          <w:szCs w:val="20"/>
          <w:color w:val="auto"/>
        </w:rPr>
      </w:pPr>
    </w:p>
    <w:p>
      <w:pPr>
        <w:ind w:left="780"/>
        <w:spacing w:after="0"/>
        <w:rPr>
          <w:sz w:val="20"/>
          <w:szCs w:val="20"/>
          <w:color w:val="auto"/>
        </w:rPr>
      </w:pPr>
      <w:r>
        <w:rPr>
          <w:rFonts w:ascii="Verdana" w:cs="Verdana" w:eastAsia="Verdana" w:hAnsi="Verdana"/>
          <w:sz w:val="20"/>
          <w:szCs w:val="20"/>
          <w:color w:val="214E93"/>
        </w:rPr>
        <w:t>NOTE 4 — LEASES</w:t>
      </w:r>
    </w:p>
    <w:p>
      <w:pPr>
        <w:spacing w:after="0" w:line="205" w:lineRule="exact"/>
        <w:rPr>
          <w:sz w:val="20"/>
          <w:szCs w:val="20"/>
          <w:color w:val="auto"/>
        </w:rPr>
      </w:pPr>
    </w:p>
    <w:p>
      <w:pPr>
        <w:ind w:left="1020"/>
        <w:spacing w:after="0"/>
        <w:rPr>
          <w:sz w:val="20"/>
          <w:szCs w:val="20"/>
          <w:color w:val="auto"/>
        </w:rPr>
      </w:pPr>
      <w:r>
        <w:rPr>
          <w:rFonts w:ascii="Calibri" w:cs="Calibri" w:eastAsia="Calibri" w:hAnsi="Calibri"/>
          <w:sz w:val="17"/>
          <w:szCs w:val="17"/>
          <w:color w:val="auto"/>
        </w:rPr>
        <w:t>The Company determines if an arrangement is a lease at inception of the contract. If an arrangement is a lease, the present value</w:t>
      </w:r>
    </w:p>
    <w:p>
      <w:pPr>
        <w:spacing w:after="0" w:line="28" w:lineRule="exact"/>
        <w:rPr>
          <w:sz w:val="20"/>
          <w:szCs w:val="20"/>
          <w:color w:val="auto"/>
        </w:rPr>
      </w:pPr>
    </w:p>
    <w:p>
      <w:pPr>
        <w:ind w:left="780"/>
        <w:spacing w:after="0"/>
        <w:rPr>
          <w:sz w:val="20"/>
          <w:szCs w:val="20"/>
          <w:color w:val="auto"/>
        </w:rPr>
      </w:pPr>
      <w:r>
        <w:rPr>
          <w:rFonts w:ascii="Calibri" w:cs="Calibri" w:eastAsia="Calibri" w:hAnsi="Calibri"/>
          <w:sz w:val="18"/>
          <w:szCs w:val="18"/>
          <w:color w:val="auto"/>
        </w:rPr>
        <w:t>of the related lease payments is recorded as a liability, and an equal amount is capitalized on the Company’s consolidated balance</w:t>
      </w:r>
    </w:p>
    <w:p>
      <w:pPr>
        <w:spacing w:after="0" w:line="28" w:lineRule="exact"/>
        <w:rPr>
          <w:sz w:val="20"/>
          <w:szCs w:val="20"/>
          <w:color w:val="auto"/>
        </w:rPr>
      </w:pPr>
    </w:p>
    <w:p>
      <w:pPr>
        <w:ind w:left="780"/>
        <w:spacing w:after="0"/>
        <w:rPr>
          <w:sz w:val="20"/>
          <w:szCs w:val="20"/>
          <w:color w:val="auto"/>
        </w:rPr>
      </w:pPr>
      <w:r>
        <w:rPr>
          <w:rFonts w:ascii="Calibri" w:cs="Calibri" w:eastAsia="Calibri" w:hAnsi="Calibri"/>
          <w:sz w:val="18"/>
          <w:szCs w:val="18"/>
          <w:color w:val="auto"/>
        </w:rPr>
        <w:t>sheets. The Company elected to include payments for non-lease components associated with certain leases when determining the</w:t>
      </w:r>
    </w:p>
    <w:p>
      <w:pPr>
        <w:spacing w:after="0" w:line="40" w:lineRule="exact"/>
        <w:rPr>
          <w:sz w:val="20"/>
          <w:szCs w:val="20"/>
          <w:color w:val="auto"/>
        </w:rPr>
      </w:pPr>
    </w:p>
    <w:p>
      <w:pPr>
        <w:ind w:left="780"/>
        <w:spacing w:after="0"/>
        <w:rPr>
          <w:sz w:val="20"/>
          <w:szCs w:val="20"/>
          <w:color w:val="auto"/>
        </w:rPr>
      </w:pPr>
      <w:r>
        <w:rPr>
          <w:rFonts w:ascii="Calibri" w:cs="Calibri" w:eastAsia="Calibri" w:hAnsi="Calibri"/>
          <w:sz w:val="17"/>
          <w:szCs w:val="17"/>
          <w:color w:val="auto"/>
        </w:rPr>
        <w:t>present value of the lease payments. Right of use assets represent the Company’s right to use an underlying asset for the lease term</w:t>
      </w:r>
    </w:p>
    <w:p>
      <w:pPr>
        <w:spacing w:after="0" w:line="28" w:lineRule="exact"/>
        <w:rPr>
          <w:sz w:val="20"/>
          <w:szCs w:val="20"/>
          <w:color w:val="auto"/>
        </w:rPr>
      </w:pPr>
    </w:p>
    <w:p>
      <w:pPr>
        <w:ind w:left="780"/>
        <w:spacing w:after="0"/>
        <w:rPr>
          <w:sz w:val="20"/>
          <w:szCs w:val="20"/>
          <w:color w:val="auto"/>
        </w:rPr>
      </w:pPr>
      <w:r>
        <w:rPr>
          <w:rFonts w:ascii="Calibri" w:cs="Calibri" w:eastAsia="Calibri" w:hAnsi="Calibri"/>
          <w:sz w:val="18"/>
          <w:szCs w:val="18"/>
          <w:color w:val="auto"/>
        </w:rPr>
        <w:t>and lease liabilities represent the Company’s obligation to make lease payments arising from the lease. The Company’s estimated</w:t>
      </w:r>
    </w:p>
    <w:p>
      <w:pPr>
        <w:spacing w:after="0" w:line="40" w:lineRule="exact"/>
        <w:rPr>
          <w:sz w:val="20"/>
          <w:szCs w:val="20"/>
          <w:color w:val="auto"/>
        </w:rPr>
      </w:pPr>
    </w:p>
    <w:p>
      <w:pPr>
        <w:ind w:left="780"/>
        <w:spacing w:after="0"/>
        <w:rPr>
          <w:sz w:val="20"/>
          <w:szCs w:val="20"/>
          <w:color w:val="auto"/>
        </w:rPr>
      </w:pPr>
      <w:r>
        <w:rPr>
          <w:rFonts w:ascii="Calibri" w:cs="Calibri" w:eastAsia="Calibri" w:hAnsi="Calibri"/>
          <w:sz w:val="17"/>
          <w:szCs w:val="17"/>
          <w:color w:val="auto"/>
        </w:rPr>
        <w:t>incremental borrowing rate, determined at the lease commencement date using the Company’s average secured borrowing rate, is</w:t>
      </w:r>
    </w:p>
    <w:p>
      <w:pPr>
        <w:spacing w:after="0" w:line="28" w:lineRule="exact"/>
        <w:rPr>
          <w:sz w:val="20"/>
          <w:szCs w:val="20"/>
          <w:color w:val="auto"/>
        </w:rPr>
      </w:pPr>
    </w:p>
    <w:p>
      <w:pPr>
        <w:ind w:left="780"/>
        <w:spacing w:after="0"/>
        <w:rPr>
          <w:sz w:val="20"/>
          <w:szCs w:val="20"/>
          <w:color w:val="auto"/>
        </w:rPr>
      </w:pPr>
      <w:r>
        <w:rPr>
          <w:rFonts w:ascii="Calibri" w:cs="Calibri" w:eastAsia="Calibri" w:hAnsi="Calibri"/>
          <w:sz w:val="18"/>
          <w:szCs w:val="18"/>
          <w:color w:val="auto"/>
        </w:rPr>
        <w:t>used to calculate present value. The weighted average estimated incremental borrowing rates used for the year ended</w:t>
      </w:r>
    </w:p>
    <w:p>
      <w:pPr>
        <w:spacing w:after="0" w:line="40" w:lineRule="exact"/>
        <w:rPr>
          <w:sz w:val="20"/>
          <w:szCs w:val="20"/>
          <w:color w:val="auto"/>
        </w:rPr>
      </w:pPr>
    </w:p>
    <w:p>
      <w:pPr>
        <w:ind w:left="780"/>
        <w:spacing w:after="0"/>
        <w:rPr>
          <w:sz w:val="20"/>
          <w:szCs w:val="20"/>
          <w:color w:val="auto"/>
        </w:rPr>
      </w:pPr>
      <w:r>
        <w:rPr>
          <w:rFonts w:ascii="Calibri" w:cs="Calibri" w:eastAsia="Calibri" w:hAnsi="Calibri"/>
          <w:sz w:val="17"/>
          <w:szCs w:val="17"/>
          <w:color w:val="auto"/>
        </w:rPr>
        <w:t>December 31, 2025 were 5.40% and 6.15% for operating leases and finance leases, respectively. For these purposes, the lease term</w:t>
      </w:r>
    </w:p>
    <w:p>
      <w:pPr>
        <w:spacing w:after="0" w:line="28" w:lineRule="exact"/>
        <w:rPr>
          <w:sz w:val="20"/>
          <w:szCs w:val="20"/>
          <w:color w:val="auto"/>
        </w:rPr>
      </w:pPr>
    </w:p>
    <w:p>
      <w:pPr>
        <w:ind w:left="780"/>
        <w:spacing w:after="0"/>
        <w:rPr>
          <w:sz w:val="20"/>
          <w:szCs w:val="20"/>
          <w:color w:val="auto"/>
        </w:rPr>
      </w:pPr>
      <w:r>
        <w:rPr>
          <w:rFonts w:ascii="Calibri" w:cs="Calibri" w:eastAsia="Calibri" w:hAnsi="Calibri"/>
          <w:sz w:val="18"/>
          <w:szCs w:val="18"/>
          <w:color w:val="auto"/>
        </w:rPr>
        <w:t>includes options to extend the lease when it is reasonably certain that the Company will exercise such option. Leases with terms of</w:t>
      </w:r>
    </w:p>
    <w:p>
      <w:pPr>
        <w:spacing w:after="0" w:line="40" w:lineRule="exact"/>
        <w:rPr>
          <w:sz w:val="20"/>
          <w:szCs w:val="20"/>
          <w:color w:val="auto"/>
        </w:rPr>
      </w:pPr>
    </w:p>
    <w:p>
      <w:pPr>
        <w:ind w:left="780"/>
        <w:spacing w:after="0"/>
        <w:rPr>
          <w:sz w:val="20"/>
          <w:szCs w:val="20"/>
          <w:color w:val="auto"/>
        </w:rPr>
      </w:pPr>
      <w:r>
        <w:rPr>
          <w:rFonts w:ascii="Calibri" w:cs="Calibri" w:eastAsia="Calibri" w:hAnsi="Calibri"/>
          <w:sz w:val="17"/>
          <w:szCs w:val="17"/>
          <w:color w:val="auto"/>
        </w:rPr>
        <w:t>12 months or less at inception are not recorded on the consolidated balance sheets unless there is a significant cost to terminate the</w:t>
      </w:r>
    </w:p>
    <w:p>
      <w:pPr>
        <w:spacing w:after="0" w:line="28" w:lineRule="exact"/>
        <w:rPr>
          <w:sz w:val="20"/>
          <w:szCs w:val="20"/>
          <w:color w:val="auto"/>
        </w:rPr>
      </w:pPr>
    </w:p>
    <w:p>
      <w:pPr>
        <w:ind w:left="780"/>
        <w:spacing w:after="0"/>
        <w:rPr>
          <w:sz w:val="20"/>
          <w:szCs w:val="20"/>
          <w:color w:val="auto"/>
        </w:rPr>
      </w:pPr>
      <w:r>
        <w:rPr>
          <w:rFonts w:ascii="Calibri" w:cs="Calibri" w:eastAsia="Calibri" w:hAnsi="Calibri"/>
          <w:sz w:val="18"/>
          <w:szCs w:val="18"/>
          <w:color w:val="auto"/>
        </w:rPr>
        <w:t>lease, including the cost of removal of the leased asset. As the Company is the responsible party under these arrangements, the</w:t>
      </w:r>
    </w:p>
    <w:p>
      <w:pPr>
        <w:spacing w:after="0" w:line="28" w:lineRule="exact"/>
        <w:rPr>
          <w:sz w:val="20"/>
          <w:szCs w:val="20"/>
          <w:color w:val="auto"/>
        </w:rPr>
      </w:pPr>
    </w:p>
    <w:p>
      <w:pPr>
        <w:ind w:left="780"/>
        <w:spacing w:after="0"/>
        <w:rPr>
          <w:sz w:val="20"/>
          <w:szCs w:val="20"/>
          <w:color w:val="auto"/>
        </w:rPr>
      </w:pPr>
      <w:r>
        <w:rPr>
          <w:rFonts w:ascii="Calibri" w:cs="Calibri" w:eastAsia="Calibri" w:hAnsi="Calibri"/>
          <w:sz w:val="18"/>
          <w:szCs w:val="18"/>
          <w:color w:val="auto"/>
        </w:rPr>
        <w:t>Company records the resulting assets and liabilities on a gross basis in its consolidated balance sheets.</w:t>
      </w:r>
    </w:p>
    <w:p>
      <w:pPr>
        <w:spacing w:after="0" w:line="241" w:lineRule="exact"/>
        <w:rPr>
          <w:sz w:val="20"/>
          <w:szCs w:val="20"/>
          <w:color w:val="auto"/>
        </w:rPr>
      </w:pPr>
    </w:p>
    <w:p>
      <w:pPr>
        <w:ind w:left="780" w:right="120" w:firstLine="241"/>
        <w:spacing w:after="0" w:line="264" w:lineRule="auto"/>
        <w:rPr>
          <w:sz w:val="20"/>
          <w:szCs w:val="20"/>
          <w:color w:val="auto"/>
        </w:rPr>
      </w:pPr>
      <w:r>
        <w:rPr>
          <w:rFonts w:ascii="Calibri" w:cs="Calibri" w:eastAsia="Calibri" w:hAnsi="Calibri"/>
          <w:sz w:val="18"/>
          <w:szCs w:val="18"/>
          <w:color w:val="auto"/>
        </w:rPr>
        <w:t>The following table presents supplemental consolidated statements of income information related to lease expenses, on a gross basis, for the years ended December 31, 2025 and 2024, respectively (in thousands). Lease payments represent gross payments to vendors, which, for certain of the Company’s operating assets, are partially offset by amounts received from other working interest owners in the Company’s operated wells.</w:t>
      </w:r>
    </w:p>
    <w:p>
      <w:pPr>
        <w:spacing w:after="0" w:line="198" w:lineRule="exact"/>
        <w:rPr>
          <w:sz w:val="20"/>
          <w:szCs w:val="20"/>
          <w:color w:val="auto"/>
        </w:rPr>
      </w:pPr>
    </w:p>
    <w:tbl>
      <w:tblPr>
        <w:tblLayout w:type="fixed"/>
        <w:tblInd w:w="780" w:type="dxa"/>
        <w:tblCellMar>
          <w:top w:w="0" w:type="dxa"/>
          <w:left w:w="0" w:type="dxa"/>
          <w:bottom w:w="0" w:type="dxa"/>
          <w:right w:w="0" w:type="dxa"/>
        </w:tblCellMar>
      </w:tblPr>
      <w:tr>
        <w:trPr>
          <w:trHeight w:val="193"/>
        </w:trPr>
        <w:tc>
          <w:tcPr>
            <w:tcW w:w="7060" w:type="dxa"/>
            <w:vAlign w:val="bottom"/>
          </w:tcPr>
          <w:p>
            <w:pPr>
              <w:spacing w:after="0"/>
              <w:rPr>
                <w:sz w:val="16"/>
                <w:szCs w:val="16"/>
                <w:color w:val="auto"/>
              </w:rPr>
            </w:pPr>
          </w:p>
        </w:tc>
        <w:tc>
          <w:tcPr>
            <w:tcW w:w="240" w:type="dxa"/>
            <w:vAlign w:val="bottom"/>
            <w:tcBorders>
              <w:bottom w:val="single" w:sz="8" w:color="214E93"/>
            </w:tcBorders>
          </w:tcPr>
          <w:p>
            <w:pPr>
              <w:spacing w:after="0"/>
              <w:rPr>
                <w:sz w:val="16"/>
                <w:szCs w:val="16"/>
                <w:color w:val="auto"/>
              </w:rPr>
            </w:pPr>
          </w:p>
        </w:tc>
        <w:tc>
          <w:tcPr>
            <w:tcW w:w="2260" w:type="dxa"/>
            <w:vAlign w:val="bottom"/>
            <w:tcBorders>
              <w:bottom w:val="single" w:sz="8" w:color="214E93"/>
            </w:tcBorders>
            <w:gridSpan w:val="3"/>
          </w:tcPr>
          <w:p>
            <w:pPr>
              <w:jc w:val="right"/>
              <w:ind w:right="262"/>
              <w:spacing w:after="0"/>
              <w:rPr>
                <w:sz w:val="20"/>
                <w:szCs w:val="20"/>
                <w:color w:val="auto"/>
              </w:rPr>
            </w:pPr>
            <w:r>
              <w:rPr>
                <w:rFonts w:ascii="Verdana" w:cs="Verdana" w:eastAsia="Verdana" w:hAnsi="Verdana"/>
                <w:sz w:val="14"/>
                <w:szCs w:val="14"/>
                <w:color w:val="auto"/>
              </w:rPr>
              <w:t>Year Ended December 31,</w:t>
            </w:r>
          </w:p>
        </w:tc>
      </w:tr>
      <w:tr>
        <w:trPr>
          <w:trHeight w:val="201"/>
        </w:trPr>
        <w:tc>
          <w:tcPr>
            <w:tcW w:w="7060" w:type="dxa"/>
            <w:vAlign w:val="bottom"/>
            <w:tcBorders>
              <w:bottom w:val="single" w:sz="8" w:color="214E93"/>
            </w:tcBorders>
          </w:tcPr>
          <w:p>
            <w:pPr>
              <w:spacing w:after="0"/>
              <w:rPr>
                <w:sz w:val="17"/>
                <w:szCs w:val="17"/>
                <w:color w:val="auto"/>
              </w:rPr>
            </w:pPr>
          </w:p>
        </w:tc>
        <w:tc>
          <w:tcPr>
            <w:tcW w:w="240" w:type="dxa"/>
            <w:vAlign w:val="bottom"/>
            <w:tcBorders>
              <w:bottom w:val="single" w:sz="8" w:color="214E93"/>
            </w:tcBorders>
          </w:tcPr>
          <w:p>
            <w:pPr>
              <w:spacing w:after="0"/>
              <w:rPr>
                <w:sz w:val="17"/>
                <w:szCs w:val="17"/>
                <w:color w:val="auto"/>
              </w:rPr>
            </w:pPr>
          </w:p>
        </w:tc>
        <w:tc>
          <w:tcPr>
            <w:tcW w:w="1000" w:type="dxa"/>
            <w:vAlign w:val="bottom"/>
            <w:tcBorders>
              <w:bottom w:val="single" w:sz="8" w:color="214E93"/>
            </w:tcBorders>
          </w:tcPr>
          <w:p>
            <w:pPr>
              <w:jc w:val="right"/>
              <w:ind w:right="383"/>
              <w:spacing w:after="0"/>
              <w:rPr>
                <w:sz w:val="20"/>
                <w:szCs w:val="20"/>
                <w:color w:val="auto"/>
              </w:rPr>
            </w:pPr>
            <w:r>
              <w:rPr>
                <w:rFonts w:ascii="Verdana" w:cs="Verdana" w:eastAsia="Verdana" w:hAnsi="Verdana"/>
                <w:sz w:val="14"/>
                <w:szCs w:val="14"/>
                <w:color w:val="214E93"/>
              </w:rPr>
              <w:t>2025</w:t>
            </w:r>
          </w:p>
        </w:tc>
        <w:tc>
          <w:tcPr>
            <w:tcW w:w="340" w:type="dxa"/>
            <w:vAlign w:val="bottom"/>
            <w:tcBorders>
              <w:bottom w:val="single" w:sz="8" w:color="214E93"/>
            </w:tcBorders>
          </w:tcPr>
          <w:p>
            <w:pPr>
              <w:spacing w:after="0"/>
              <w:rPr>
                <w:sz w:val="17"/>
                <w:szCs w:val="17"/>
                <w:color w:val="auto"/>
              </w:rPr>
            </w:pPr>
          </w:p>
        </w:tc>
        <w:tc>
          <w:tcPr>
            <w:tcW w:w="920" w:type="dxa"/>
            <w:vAlign w:val="bottom"/>
            <w:tcBorders>
              <w:bottom w:val="single" w:sz="8" w:color="214E93"/>
            </w:tcBorders>
          </w:tcPr>
          <w:p>
            <w:pPr>
              <w:jc w:val="right"/>
              <w:ind w:right="362"/>
              <w:spacing w:after="0"/>
              <w:rPr>
                <w:sz w:val="20"/>
                <w:szCs w:val="20"/>
                <w:color w:val="auto"/>
              </w:rPr>
            </w:pPr>
            <w:r>
              <w:rPr>
                <w:rFonts w:ascii="Verdana" w:cs="Verdana" w:eastAsia="Verdana" w:hAnsi="Verdana"/>
                <w:sz w:val="14"/>
                <w:szCs w:val="14"/>
                <w:color w:val="auto"/>
              </w:rPr>
              <w:t>2024</w:t>
            </w:r>
          </w:p>
        </w:tc>
      </w:tr>
      <w:tr>
        <w:trPr>
          <w:trHeight w:val="211"/>
        </w:trPr>
        <w:tc>
          <w:tcPr>
            <w:tcW w:w="7060" w:type="dxa"/>
            <w:vAlign w:val="bottom"/>
          </w:tcPr>
          <w:p>
            <w:pPr>
              <w:ind w:left="40"/>
              <w:spacing w:after="0"/>
              <w:rPr>
                <w:sz w:val="20"/>
                <w:szCs w:val="20"/>
                <w:color w:val="auto"/>
              </w:rPr>
            </w:pPr>
            <w:r>
              <w:rPr>
                <w:rFonts w:ascii="Verdana" w:cs="Verdana" w:eastAsia="Verdana" w:hAnsi="Verdana"/>
                <w:sz w:val="16"/>
                <w:szCs w:val="16"/>
                <w:color w:val="auto"/>
              </w:rPr>
              <w:t>Operating leases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5"/>
        </w:trPr>
        <w:tc>
          <w:tcPr>
            <w:tcW w:w="7060" w:type="dxa"/>
            <w:vAlign w:val="bottom"/>
          </w:tcPr>
          <w:p>
            <w:pPr>
              <w:ind w:left="160"/>
              <w:spacing w:after="0"/>
              <w:rPr>
                <w:sz w:val="20"/>
                <w:szCs w:val="20"/>
                <w:color w:val="auto"/>
              </w:rPr>
            </w:pPr>
            <w:r>
              <w:rPr>
                <w:rFonts w:ascii="Verdana" w:cs="Verdana" w:eastAsia="Verdana" w:hAnsi="Verdana"/>
                <w:sz w:val="16"/>
                <w:szCs w:val="16"/>
                <w:color w:val="auto"/>
              </w:rPr>
              <w:t>Lease operating</w:t>
            </w:r>
          </w:p>
        </w:tc>
        <w:tc>
          <w:tcPr>
            <w:tcW w:w="240" w:type="dxa"/>
            <w:vAlign w:val="bottom"/>
          </w:tcPr>
          <w:p>
            <w:pPr>
              <w:jc w:val="right"/>
              <w:ind w:right="21"/>
              <w:spacing w:after="0"/>
              <w:rPr>
                <w:sz w:val="20"/>
                <w:szCs w:val="20"/>
                <w:color w:val="auto"/>
              </w:rPr>
            </w:pPr>
            <w:r>
              <w:rPr>
                <w:rFonts w:ascii="Verdana" w:cs="Verdana" w:eastAsia="Verdana" w:hAnsi="Verdana"/>
                <w:sz w:val="16"/>
                <w:szCs w:val="16"/>
                <w:color w:val="214E93"/>
              </w:rPr>
              <w:t>$</w:t>
            </w:r>
          </w:p>
        </w:tc>
        <w:tc>
          <w:tcPr>
            <w:tcW w:w="1000" w:type="dxa"/>
            <w:vAlign w:val="bottom"/>
          </w:tcPr>
          <w:p>
            <w:pPr>
              <w:jc w:val="right"/>
              <w:ind w:right="23"/>
              <w:spacing w:after="0"/>
              <w:rPr>
                <w:sz w:val="20"/>
                <w:szCs w:val="20"/>
                <w:color w:val="auto"/>
              </w:rPr>
            </w:pPr>
            <w:r>
              <w:rPr>
                <w:rFonts w:ascii="Verdana" w:cs="Verdana" w:eastAsia="Verdana" w:hAnsi="Verdana"/>
                <w:sz w:val="16"/>
                <w:szCs w:val="16"/>
                <w:color w:val="214E93"/>
              </w:rPr>
              <w:t>35,407</w:t>
            </w:r>
          </w:p>
        </w:tc>
        <w:tc>
          <w:tcPr>
            <w:tcW w:w="340" w:type="dxa"/>
            <w:vAlign w:val="bottom"/>
          </w:tcPr>
          <w:p>
            <w:pPr>
              <w:jc w:val="right"/>
              <w:ind w:right="81"/>
              <w:spacing w:after="0"/>
              <w:rPr>
                <w:sz w:val="20"/>
                <w:szCs w:val="20"/>
                <w:color w:val="auto"/>
              </w:rPr>
            </w:pPr>
            <w:r>
              <w:rPr>
                <w:rFonts w:ascii="Verdana" w:cs="Verdana" w:eastAsia="Verdana" w:hAnsi="Verdana"/>
                <w:sz w:val="16"/>
                <w:szCs w:val="16"/>
                <w:color w:val="auto"/>
              </w:rPr>
              <w:t>$</w:t>
            </w:r>
          </w:p>
        </w:tc>
        <w:tc>
          <w:tcPr>
            <w:tcW w:w="920" w:type="dxa"/>
            <w:vAlign w:val="bottom"/>
          </w:tcPr>
          <w:p>
            <w:pPr>
              <w:jc w:val="right"/>
              <w:ind w:right="2"/>
              <w:spacing w:after="0"/>
              <w:rPr>
                <w:sz w:val="20"/>
                <w:szCs w:val="20"/>
                <w:color w:val="auto"/>
              </w:rPr>
            </w:pPr>
            <w:r>
              <w:rPr>
                <w:rFonts w:ascii="Verdana" w:cs="Verdana" w:eastAsia="Verdana" w:hAnsi="Verdana"/>
                <w:sz w:val="16"/>
                <w:szCs w:val="16"/>
                <w:color w:val="auto"/>
              </w:rPr>
              <w:t>30,141</w:t>
            </w:r>
          </w:p>
        </w:tc>
      </w:tr>
      <w:tr>
        <w:trPr>
          <w:trHeight w:val="242"/>
        </w:trPr>
        <w:tc>
          <w:tcPr>
            <w:tcW w:w="7060" w:type="dxa"/>
            <w:vAlign w:val="bottom"/>
            <w:tcBorders>
              <w:bottom w:val="single" w:sz="8" w:color="auto"/>
            </w:tcBorders>
          </w:tcPr>
          <w:p>
            <w:pPr>
              <w:ind w:left="160"/>
              <w:spacing w:after="0"/>
              <w:rPr>
                <w:sz w:val="20"/>
                <w:szCs w:val="20"/>
                <w:color w:val="auto"/>
              </w:rPr>
            </w:pPr>
            <w:r>
              <w:rPr>
                <w:rFonts w:ascii="Verdana" w:cs="Verdana" w:eastAsia="Verdana" w:hAnsi="Verdana"/>
                <w:sz w:val="16"/>
                <w:szCs w:val="16"/>
                <w:color w:val="auto"/>
              </w:rPr>
              <w:t>General and administrative</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3"/>
              <w:spacing w:after="0"/>
              <w:rPr>
                <w:sz w:val="20"/>
                <w:szCs w:val="20"/>
                <w:color w:val="auto"/>
              </w:rPr>
            </w:pPr>
            <w:r>
              <w:rPr>
                <w:rFonts w:ascii="Verdana" w:cs="Verdana" w:eastAsia="Verdana" w:hAnsi="Verdana"/>
                <w:sz w:val="16"/>
                <w:szCs w:val="16"/>
                <w:color w:val="214E93"/>
              </w:rPr>
              <w:t>5,189</w:t>
            </w: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auto"/>
              </w:rPr>
              <w:t>2,910</w:t>
            </w:r>
          </w:p>
        </w:tc>
      </w:tr>
      <w:tr>
        <w:trPr>
          <w:trHeight w:val="235"/>
        </w:trPr>
        <w:tc>
          <w:tcPr>
            <w:tcW w:w="7060" w:type="dxa"/>
            <w:vAlign w:val="bottom"/>
          </w:tcPr>
          <w:p>
            <w:pPr>
              <w:ind w:left="280"/>
              <w:spacing w:after="0" w:line="235" w:lineRule="exact"/>
              <w:rPr>
                <w:sz w:val="20"/>
                <w:szCs w:val="20"/>
                <w:color w:val="auto"/>
              </w:rPr>
            </w:pPr>
            <w:r>
              <w:rPr>
                <w:rFonts w:ascii="Verdana" w:cs="Verdana" w:eastAsia="Verdana" w:hAnsi="Verdana"/>
                <w:sz w:val="16"/>
                <w:szCs w:val="16"/>
                <w:color w:val="auto"/>
              </w:rPr>
              <w:t>Total operating leases</w:t>
            </w:r>
            <w:r>
              <w:rPr>
                <w:rFonts w:ascii="Verdana" w:cs="Verdana" w:eastAsia="Verdana" w:hAnsi="Verdana"/>
                <w:sz w:val="20"/>
                <w:szCs w:val="20"/>
                <w:color w:val="auto"/>
                <w:vertAlign w:val="superscript"/>
              </w:rPr>
              <w:t>(1)</w:t>
            </w:r>
          </w:p>
        </w:tc>
        <w:tc>
          <w:tcPr>
            <w:tcW w:w="24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Verdana" w:cs="Verdana" w:eastAsia="Verdana" w:hAnsi="Verdana"/>
                <w:sz w:val="16"/>
                <w:szCs w:val="16"/>
                <w:color w:val="214E93"/>
              </w:rPr>
              <w:t>40,596</w:t>
            </w:r>
          </w:p>
        </w:tc>
        <w:tc>
          <w:tcPr>
            <w:tcW w:w="34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Verdana" w:cs="Verdana" w:eastAsia="Verdana" w:hAnsi="Verdana"/>
                <w:sz w:val="16"/>
                <w:szCs w:val="16"/>
                <w:color w:val="auto"/>
              </w:rPr>
              <w:t>33,051</w:t>
            </w:r>
          </w:p>
        </w:tc>
      </w:tr>
      <w:tr>
        <w:trPr>
          <w:trHeight w:val="211"/>
        </w:trPr>
        <w:tc>
          <w:tcPr>
            <w:tcW w:w="7060" w:type="dxa"/>
            <w:vAlign w:val="bottom"/>
          </w:tcPr>
          <w:p>
            <w:pPr>
              <w:ind w:left="40"/>
              <w:spacing w:after="0"/>
              <w:rPr>
                <w:sz w:val="20"/>
                <w:szCs w:val="20"/>
                <w:color w:val="auto"/>
              </w:rPr>
            </w:pPr>
            <w:r>
              <w:rPr>
                <w:rFonts w:ascii="Verdana" w:cs="Verdana" w:eastAsia="Verdana" w:hAnsi="Verdana"/>
                <w:sz w:val="16"/>
                <w:szCs w:val="16"/>
                <w:color w:val="auto"/>
              </w:rPr>
              <w:t>Short-term leases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6"/>
        </w:trPr>
        <w:tc>
          <w:tcPr>
            <w:tcW w:w="7060" w:type="dxa"/>
            <w:vAlign w:val="bottom"/>
          </w:tcPr>
          <w:p>
            <w:pPr>
              <w:ind w:left="160"/>
              <w:spacing w:after="0"/>
              <w:rPr>
                <w:sz w:val="20"/>
                <w:szCs w:val="20"/>
                <w:color w:val="auto"/>
              </w:rPr>
            </w:pPr>
            <w:r>
              <w:rPr>
                <w:rFonts w:ascii="Verdana" w:cs="Verdana" w:eastAsia="Verdana" w:hAnsi="Verdana"/>
                <w:sz w:val="16"/>
                <w:szCs w:val="16"/>
                <w:color w:val="auto"/>
              </w:rPr>
              <w:t>Lease operating</w:t>
            </w:r>
          </w:p>
        </w:tc>
        <w:tc>
          <w:tcPr>
            <w:tcW w:w="24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Verdana" w:cs="Verdana" w:eastAsia="Verdana" w:hAnsi="Verdana"/>
                <w:sz w:val="16"/>
                <w:szCs w:val="16"/>
                <w:color w:val="214E93"/>
              </w:rPr>
              <w:t>68,277</w:t>
            </w:r>
          </w:p>
        </w:tc>
        <w:tc>
          <w:tcPr>
            <w:tcW w:w="34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Verdana" w:cs="Verdana" w:eastAsia="Verdana" w:hAnsi="Verdana"/>
                <w:sz w:val="16"/>
                <w:szCs w:val="16"/>
                <w:color w:val="auto"/>
              </w:rPr>
              <w:t>46,770</w:t>
            </w:r>
          </w:p>
        </w:tc>
      </w:tr>
      <w:tr>
        <w:trPr>
          <w:trHeight w:val="236"/>
        </w:trPr>
        <w:tc>
          <w:tcPr>
            <w:tcW w:w="7060" w:type="dxa"/>
            <w:vAlign w:val="bottom"/>
          </w:tcPr>
          <w:p>
            <w:pPr>
              <w:ind w:left="160"/>
              <w:spacing w:after="0"/>
              <w:rPr>
                <w:sz w:val="20"/>
                <w:szCs w:val="20"/>
                <w:color w:val="auto"/>
              </w:rPr>
            </w:pPr>
            <w:r>
              <w:rPr>
                <w:rFonts w:ascii="Verdana" w:cs="Verdana" w:eastAsia="Verdana" w:hAnsi="Verdana"/>
                <w:sz w:val="16"/>
                <w:szCs w:val="16"/>
                <w:color w:val="auto"/>
              </w:rPr>
              <w:t>Midstream operating</w:t>
            </w:r>
          </w:p>
        </w:tc>
        <w:tc>
          <w:tcPr>
            <w:tcW w:w="24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Verdana" w:cs="Verdana" w:eastAsia="Verdana" w:hAnsi="Verdana"/>
                <w:sz w:val="16"/>
                <w:szCs w:val="16"/>
                <w:color w:val="214E93"/>
              </w:rPr>
              <w:t>8,933</w:t>
            </w:r>
          </w:p>
        </w:tc>
        <w:tc>
          <w:tcPr>
            <w:tcW w:w="34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Verdana" w:cs="Verdana" w:eastAsia="Verdana" w:hAnsi="Verdana"/>
                <w:sz w:val="16"/>
                <w:szCs w:val="16"/>
                <w:color w:val="auto"/>
              </w:rPr>
              <w:t>11,110</w:t>
            </w:r>
          </w:p>
        </w:tc>
      </w:tr>
      <w:tr>
        <w:trPr>
          <w:trHeight w:val="242"/>
        </w:trPr>
        <w:tc>
          <w:tcPr>
            <w:tcW w:w="7060" w:type="dxa"/>
            <w:vAlign w:val="bottom"/>
            <w:tcBorders>
              <w:bottom w:val="single" w:sz="8" w:color="auto"/>
            </w:tcBorders>
          </w:tcPr>
          <w:p>
            <w:pPr>
              <w:ind w:left="160"/>
              <w:spacing w:after="0"/>
              <w:rPr>
                <w:sz w:val="20"/>
                <w:szCs w:val="20"/>
                <w:color w:val="auto"/>
              </w:rPr>
            </w:pPr>
            <w:r>
              <w:rPr>
                <w:rFonts w:ascii="Verdana" w:cs="Verdana" w:eastAsia="Verdana" w:hAnsi="Verdana"/>
                <w:sz w:val="16"/>
                <w:szCs w:val="16"/>
                <w:color w:val="auto"/>
              </w:rPr>
              <w:t>General and administrative</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3"/>
              <w:spacing w:after="0"/>
              <w:rPr>
                <w:sz w:val="20"/>
                <w:szCs w:val="20"/>
                <w:color w:val="auto"/>
              </w:rPr>
            </w:pPr>
            <w:r>
              <w:rPr>
                <w:rFonts w:ascii="Verdana" w:cs="Verdana" w:eastAsia="Verdana" w:hAnsi="Verdana"/>
                <w:sz w:val="16"/>
                <w:szCs w:val="16"/>
                <w:color w:val="214E93"/>
              </w:rPr>
              <w:t>22</w:t>
            </w: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auto"/>
              </w:rPr>
              <w:t>54</w:t>
            </w:r>
          </w:p>
        </w:tc>
      </w:tr>
      <w:tr>
        <w:trPr>
          <w:trHeight w:val="235"/>
        </w:trPr>
        <w:tc>
          <w:tcPr>
            <w:tcW w:w="7060" w:type="dxa"/>
            <w:vAlign w:val="bottom"/>
          </w:tcPr>
          <w:p>
            <w:pPr>
              <w:ind w:left="280"/>
              <w:spacing w:after="0" w:line="235" w:lineRule="exact"/>
              <w:rPr>
                <w:sz w:val="20"/>
                <w:szCs w:val="20"/>
                <w:color w:val="auto"/>
              </w:rPr>
            </w:pPr>
            <w:r>
              <w:rPr>
                <w:rFonts w:ascii="Verdana" w:cs="Verdana" w:eastAsia="Verdana" w:hAnsi="Verdana"/>
                <w:sz w:val="16"/>
                <w:szCs w:val="16"/>
                <w:color w:val="auto"/>
              </w:rPr>
              <w:t>Total short-term leases</w:t>
            </w:r>
            <w:r>
              <w:rPr>
                <w:rFonts w:ascii="Verdana" w:cs="Verdana" w:eastAsia="Verdana" w:hAnsi="Verdana"/>
                <w:sz w:val="20"/>
                <w:szCs w:val="20"/>
                <w:color w:val="auto"/>
                <w:vertAlign w:val="superscript"/>
              </w:rPr>
              <w:t>(2)(3)</w:t>
            </w:r>
          </w:p>
        </w:tc>
        <w:tc>
          <w:tcPr>
            <w:tcW w:w="24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Verdana" w:cs="Verdana" w:eastAsia="Verdana" w:hAnsi="Verdana"/>
                <w:sz w:val="16"/>
                <w:szCs w:val="16"/>
                <w:color w:val="214E93"/>
              </w:rPr>
              <w:t>77,232</w:t>
            </w:r>
          </w:p>
        </w:tc>
        <w:tc>
          <w:tcPr>
            <w:tcW w:w="34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Verdana" w:cs="Verdana" w:eastAsia="Verdana" w:hAnsi="Verdana"/>
                <w:sz w:val="16"/>
                <w:szCs w:val="16"/>
                <w:color w:val="auto"/>
              </w:rPr>
              <w:t>57,934</w:t>
            </w:r>
          </w:p>
        </w:tc>
      </w:tr>
      <w:tr>
        <w:trPr>
          <w:trHeight w:val="211"/>
        </w:trPr>
        <w:tc>
          <w:tcPr>
            <w:tcW w:w="7060" w:type="dxa"/>
            <w:vAlign w:val="bottom"/>
          </w:tcPr>
          <w:p>
            <w:pPr>
              <w:ind w:left="40"/>
              <w:spacing w:after="0"/>
              <w:rPr>
                <w:sz w:val="20"/>
                <w:szCs w:val="20"/>
                <w:color w:val="auto"/>
              </w:rPr>
            </w:pPr>
            <w:r>
              <w:rPr>
                <w:rFonts w:ascii="Verdana" w:cs="Verdana" w:eastAsia="Verdana" w:hAnsi="Verdana"/>
                <w:sz w:val="16"/>
                <w:szCs w:val="16"/>
                <w:color w:val="auto"/>
              </w:rPr>
              <w:t>Finance leases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6"/>
        </w:trPr>
        <w:tc>
          <w:tcPr>
            <w:tcW w:w="7060" w:type="dxa"/>
            <w:vAlign w:val="bottom"/>
          </w:tcPr>
          <w:p>
            <w:pPr>
              <w:ind w:left="160"/>
              <w:spacing w:after="0"/>
              <w:rPr>
                <w:sz w:val="20"/>
                <w:szCs w:val="20"/>
                <w:color w:val="auto"/>
              </w:rPr>
            </w:pPr>
            <w:r>
              <w:rPr>
                <w:rFonts w:ascii="Verdana" w:cs="Verdana" w:eastAsia="Verdana" w:hAnsi="Verdana"/>
                <w:sz w:val="16"/>
                <w:szCs w:val="16"/>
                <w:color w:val="auto"/>
              </w:rPr>
              <w:t>Depreciation of assets</w:t>
            </w:r>
          </w:p>
        </w:tc>
        <w:tc>
          <w:tcPr>
            <w:tcW w:w="24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Verdana" w:cs="Verdana" w:eastAsia="Verdana" w:hAnsi="Verdana"/>
                <w:sz w:val="16"/>
                <w:szCs w:val="16"/>
                <w:color w:val="214E93"/>
              </w:rPr>
              <w:t>1,765</w:t>
            </w:r>
          </w:p>
        </w:tc>
        <w:tc>
          <w:tcPr>
            <w:tcW w:w="34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Verdana" w:cs="Verdana" w:eastAsia="Verdana" w:hAnsi="Verdana"/>
                <w:sz w:val="16"/>
                <w:szCs w:val="16"/>
                <w:color w:val="auto"/>
              </w:rPr>
              <w:t>2,296</w:t>
            </w:r>
          </w:p>
        </w:tc>
      </w:tr>
      <w:tr>
        <w:trPr>
          <w:trHeight w:val="242"/>
        </w:trPr>
        <w:tc>
          <w:tcPr>
            <w:tcW w:w="7060" w:type="dxa"/>
            <w:vAlign w:val="bottom"/>
            <w:tcBorders>
              <w:bottom w:val="single" w:sz="8" w:color="auto"/>
            </w:tcBorders>
          </w:tcPr>
          <w:p>
            <w:pPr>
              <w:ind w:left="160"/>
              <w:spacing w:after="0"/>
              <w:rPr>
                <w:sz w:val="20"/>
                <w:szCs w:val="20"/>
                <w:color w:val="auto"/>
              </w:rPr>
            </w:pPr>
            <w:r>
              <w:rPr>
                <w:rFonts w:ascii="Verdana" w:cs="Verdana" w:eastAsia="Verdana" w:hAnsi="Verdana"/>
                <w:sz w:val="16"/>
                <w:szCs w:val="16"/>
                <w:color w:val="auto"/>
              </w:rPr>
              <w:t>Interest on lease liabilities</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3"/>
              <w:spacing w:after="0"/>
              <w:rPr>
                <w:sz w:val="20"/>
                <w:szCs w:val="20"/>
                <w:color w:val="auto"/>
              </w:rPr>
            </w:pPr>
            <w:r>
              <w:rPr>
                <w:rFonts w:ascii="Verdana" w:cs="Verdana" w:eastAsia="Verdana" w:hAnsi="Verdana"/>
                <w:sz w:val="16"/>
                <w:szCs w:val="16"/>
                <w:color w:val="214E93"/>
              </w:rPr>
              <w:t>866</w:t>
            </w: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auto"/>
              </w:rPr>
              <w:t>607</w:t>
            </w:r>
          </w:p>
        </w:tc>
      </w:tr>
      <w:tr>
        <w:trPr>
          <w:trHeight w:val="216"/>
        </w:trPr>
        <w:tc>
          <w:tcPr>
            <w:tcW w:w="7060" w:type="dxa"/>
            <w:vAlign w:val="bottom"/>
            <w:tcBorders>
              <w:bottom w:val="single" w:sz="8" w:color="auto"/>
            </w:tcBorders>
          </w:tcPr>
          <w:p>
            <w:pPr>
              <w:ind w:left="280"/>
              <w:spacing w:after="0"/>
              <w:rPr>
                <w:sz w:val="20"/>
                <w:szCs w:val="20"/>
                <w:color w:val="auto"/>
              </w:rPr>
            </w:pPr>
            <w:r>
              <w:rPr>
                <w:rFonts w:ascii="Verdana" w:cs="Verdana" w:eastAsia="Verdana" w:hAnsi="Verdana"/>
                <w:sz w:val="16"/>
                <w:szCs w:val="16"/>
                <w:color w:val="auto"/>
              </w:rPr>
              <w:t>Total finance leases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3"/>
              <w:spacing w:after="0"/>
              <w:rPr>
                <w:sz w:val="20"/>
                <w:szCs w:val="20"/>
                <w:color w:val="auto"/>
              </w:rPr>
            </w:pPr>
            <w:r>
              <w:rPr>
                <w:rFonts w:ascii="Verdana" w:cs="Verdana" w:eastAsia="Verdana" w:hAnsi="Verdana"/>
                <w:sz w:val="16"/>
                <w:szCs w:val="16"/>
                <w:color w:val="214E93"/>
              </w:rPr>
              <w:t>2,631</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auto"/>
              </w:rPr>
              <w:t>2,903</w:t>
            </w:r>
          </w:p>
        </w:tc>
      </w:tr>
      <w:tr>
        <w:trPr>
          <w:trHeight w:val="217"/>
        </w:trPr>
        <w:tc>
          <w:tcPr>
            <w:tcW w:w="7060" w:type="dxa"/>
            <w:vAlign w:val="bottom"/>
            <w:tcBorders>
              <w:bottom w:val="single" w:sz="8" w:color="214E93"/>
            </w:tcBorders>
          </w:tcPr>
          <w:p>
            <w:pPr>
              <w:ind w:left="400"/>
              <w:spacing w:after="0"/>
              <w:rPr>
                <w:sz w:val="20"/>
                <w:szCs w:val="20"/>
                <w:color w:val="auto"/>
              </w:rPr>
            </w:pPr>
            <w:r>
              <w:rPr>
                <w:rFonts w:ascii="Verdana" w:cs="Verdana" w:eastAsia="Verdana" w:hAnsi="Verdana"/>
                <w:sz w:val="16"/>
                <w:szCs w:val="16"/>
                <w:color w:val="auto"/>
              </w:rPr>
              <w:t>Total lease expense</w:t>
            </w:r>
          </w:p>
        </w:tc>
        <w:tc>
          <w:tcPr>
            <w:tcW w:w="240" w:type="dxa"/>
            <w:vAlign w:val="bottom"/>
            <w:tcBorders>
              <w:bottom w:val="single" w:sz="8" w:color="214E93"/>
            </w:tcBorders>
          </w:tcPr>
          <w:p>
            <w:pPr>
              <w:jc w:val="right"/>
              <w:ind w:right="21"/>
              <w:spacing w:after="0"/>
              <w:rPr>
                <w:sz w:val="20"/>
                <w:szCs w:val="20"/>
                <w:color w:val="auto"/>
              </w:rPr>
            </w:pPr>
            <w:r>
              <w:rPr>
                <w:rFonts w:ascii="Verdana" w:cs="Verdana" w:eastAsia="Verdana" w:hAnsi="Verdana"/>
                <w:sz w:val="16"/>
                <w:szCs w:val="16"/>
                <w:color w:val="214E93"/>
              </w:rPr>
              <w:t>$</w:t>
            </w:r>
          </w:p>
        </w:tc>
        <w:tc>
          <w:tcPr>
            <w:tcW w:w="1000" w:type="dxa"/>
            <w:vAlign w:val="bottom"/>
            <w:tcBorders>
              <w:bottom w:val="single" w:sz="8" w:color="214E93"/>
            </w:tcBorders>
          </w:tcPr>
          <w:p>
            <w:pPr>
              <w:jc w:val="right"/>
              <w:ind w:right="23"/>
              <w:spacing w:after="0"/>
              <w:rPr>
                <w:sz w:val="20"/>
                <w:szCs w:val="20"/>
                <w:color w:val="auto"/>
              </w:rPr>
            </w:pPr>
            <w:r>
              <w:rPr>
                <w:rFonts w:ascii="Verdana" w:cs="Verdana" w:eastAsia="Verdana" w:hAnsi="Verdana"/>
                <w:sz w:val="16"/>
                <w:szCs w:val="16"/>
                <w:color w:val="214E93"/>
              </w:rPr>
              <w:t>120,459</w:t>
            </w:r>
          </w:p>
        </w:tc>
        <w:tc>
          <w:tcPr>
            <w:tcW w:w="340" w:type="dxa"/>
            <w:vAlign w:val="bottom"/>
            <w:tcBorders>
              <w:bottom w:val="single" w:sz="8" w:color="214E93"/>
            </w:tcBorders>
          </w:tcPr>
          <w:p>
            <w:pPr>
              <w:jc w:val="right"/>
              <w:ind w:right="81"/>
              <w:spacing w:after="0"/>
              <w:rPr>
                <w:sz w:val="20"/>
                <w:szCs w:val="20"/>
                <w:color w:val="auto"/>
              </w:rPr>
            </w:pPr>
            <w:r>
              <w:rPr>
                <w:rFonts w:ascii="Verdana" w:cs="Verdana" w:eastAsia="Verdana" w:hAnsi="Verdana"/>
                <w:sz w:val="16"/>
                <w:szCs w:val="16"/>
                <w:color w:val="auto"/>
              </w:rPr>
              <w:t>$</w:t>
            </w:r>
          </w:p>
        </w:tc>
        <w:tc>
          <w:tcPr>
            <w:tcW w:w="920" w:type="dxa"/>
            <w:vAlign w:val="bottom"/>
            <w:tcBorders>
              <w:bottom w:val="single" w:sz="8" w:color="214E93"/>
            </w:tcBorders>
          </w:tcPr>
          <w:p>
            <w:pPr>
              <w:jc w:val="right"/>
              <w:ind w:right="2"/>
              <w:spacing w:after="0"/>
              <w:rPr>
                <w:sz w:val="20"/>
                <w:szCs w:val="20"/>
                <w:color w:val="auto"/>
              </w:rPr>
            </w:pPr>
            <w:r>
              <w:rPr>
                <w:rFonts w:ascii="Verdana" w:cs="Verdana" w:eastAsia="Verdana" w:hAnsi="Verdana"/>
                <w:sz w:val="16"/>
                <w:szCs w:val="16"/>
                <w:color w:val="auto"/>
              </w:rPr>
              <w:t>93,888</w:t>
            </w:r>
          </w:p>
        </w:tc>
      </w:tr>
    </w:tbl>
    <w:p>
      <w:pPr>
        <w:spacing w:after="0" w:line="20" w:lineRule="exact"/>
        <w:rPr>
          <w:sz w:val="20"/>
          <w:szCs w:val="20"/>
          <w:color w:val="auto"/>
        </w:rPr>
      </w:pPr>
    </w:p>
    <w:p>
      <w:pPr>
        <w:spacing w:after="0" w:line="119" w:lineRule="exact"/>
        <w:rPr>
          <w:sz w:val="20"/>
          <w:szCs w:val="20"/>
          <w:color w:val="auto"/>
        </w:rPr>
      </w:pPr>
    </w:p>
    <w:p>
      <w:pPr>
        <w:ind w:left="780" w:right="80" w:hanging="3"/>
        <w:spacing w:after="0" w:line="247" w:lineRule="auto"/>
        <w:tabs>
          <w:tab w:leader="none" w:pos="1134" w:val="left"/>
        </w:tabs>
        <w:numPr>
          <w:ilvl w:val="0"/>
          <w:numId w:val="79"/>
        </w:numPr>
        <w:rPr>
          <w:rFonts w:ascii="Calibri" w:cs="Calibri" w:eastAsia="Calibri" w:hAnsi="Calibri"/>
          <w:sz w:val="13"/>
          <w:szCs w:val="13"/>
          <w:color w:val="auto"/>
        </w:rPr>
      </w:pPr>
      <w:r>
        <w:rPr>
          <w:rFonts w:ascii="Calibri" w:cs="Calibri" w:eastAsia="Calibri" w:hAnsi="Calibri"/>
          <w:sz w:val="13"/>
          <w:szCs w:val="13"/>
          <w:color w:val="auto"/>
        </w:rPr>
        <w:t>Does not include gross payments related to drilling rig leases of $84.7 million and $87.8 million for the years ended December 31, 2025 and 2024, respectively, that were capitalized and recorded in “Oil and natural gas properties, full-cost method” in the consolidated balance sheets at December 31, 2025 and 2024, respectively.</w:t>
      </w:r>
    </w:p>
    <w:p>
      <w:pPr>
        <w:spacing w:after="0" w:line="69" w:lineRule="exact"/>
        <w:rPr>
          <w:rFonts w:ascii="Calibri" w:cs="Calibri" w:eastAsia="Calibri" w:hAnsi="Calibri"/>
          <w:sz w:val="13"/>
          <w:szCs w:val="13"/>
          <w:color w:val="auto"/>
        </w:rPr>
      </w:pPr>
    </w:p>
    <w:p>
      <w:pPr>
        <w:ind w:left="1140" w:hanging="363"/>
        <w:spacing w:after="0"/>
        <w:tabs>
          <w:tab w:leader="none" w:pos="1140" w:val="left"/>
        </w:tabs>
        <w:numPr>
          <w:ilvl w:val="0"/>
          <w:numId w:val="79"/>
        </w:numPr>
        <w:rPr>
          <w:rFonts w:ascii="Calibri" w:cs="Calibri" w:eastAsia="Calibri" w:hAnsi="Calibri"/>
          <w:sz w:val="14"/>
          <w:szCs w:val="14"/>
          <w:color w:val="auto"/>
        </w:rPr>
      </w:pPr>
      <w:r>
        <w:rPr>
          <w:rFonts w:ascii="Calibri" w:cs="Calibri" w:eastAsia="Calibri" w:hAnsi="Calibri"/>
          <w:sz w:val="14"/>
          <w:szCs w:val="14"/>
          <w:color w:val="auto"/>
        </w:rPr>
        <w:t>These costs are related to leases that are not recorded as right of use assets or lease liabilities in the consolidated balance sheets as they are short-term leases.</w:t>
      </w:r>
    </w:p>
    <w:p>
      <w:pPr>
        <w:spacing w:after="0" w:line="86" w:lineRule="exact"/>
        <w:rPr>
          <w:rFonts w:ascii="Calibri" w:cs="Calibri" w:eastAsia="Calibri" w:hAnsi="Calibri"/>
          <w:sz w:val="14"/>
          <w:szCs w:val="14"/>
          <w:color w:val="auto"/>
        </w:rPr>
      </w:pPr>
    </w:p>
    <w:p>
      <w:pPr>
        <w:ind w:left="780" w:right="120" w:hanging="3"/>
        <w:spacing w:after="0" w:line="228" w:lineRule="auto"/>
        <w:tabs>
          <w:tab w:leader="none" w:pos="1134" w:val="left"/>
        </w:tabs>
        <w:numPr>
          <w:ilvl w:val="0"/>
          <w:numId w:val="79"/>
        </w:numPr>
        <w:rPr>
          <w:rFonts w:ascii="Calibri" w:cs="Calibri" w:eastAsia="Calibri" w:hAnsi="Calibri"/>
          <w:sz w:val="14"/>
          <w:szCs w:val="14"/>
          <w:color w:val="auto"/>
        </w:rPr>
      </w:pPr>
      <w:r>
        <w:rPr>
          <w:rFonts w:ascii="Calibri" w:cs="Calibri" w:eastAsia="Calibri" w:hAnsi="Calibri"/>
          <w:sz w:val="14"/>
          <w:szCs w:val="14"/>
          <w:color w:val="auto"/>
        </w:rPr>
        <w:t>Does not include gross payments related to short-term drilling rig leases and other equipment rentals of $265.9 million and $231.8 million for the years ended December 31, 2025 and 2024, respectively, that were capitalized and recorded in “Oil and natural gas properties, full-cost method” in the consolidated balance sheets at December 31, 2025 and 2024, respectively.</w:t>
      </w:r>
    </w:p>
    <w:p>
      <w:pPr>
        <w:spacing w:after="0" w:line="197" w:lineRule="exact"/>
        <w:rPr>
          <w:sz w:val="20"/>
          <w:szCs w:val="20"/>
          <w:color w:val="auto"/>
        </w:rPr>
      </w:pPr>
    </w:p>
    <w:p>
      <w:pPr>
        <w:ind w:left="780" w:firstLine="241"/>
        <w:spacing w:after="0" w:line="252" w:lineRule="auto"/>
        <w:rPr>
          <w:sz w:val="20"/>
          <w:szCs w:val="20"/>
          <w:color w:val="auto"/>
        </w:rPr>
      </w:pPr>
      <w:r>
        <w:rPr>
          <w:rFonts w:ascii="Calibri" w:cs="Calibri" w:eastAsia="Calibri" w:hAnsi="Calibri"/>
          <w:sz w:val="18"/>
          <w:szCs w:val="18"/>
          <w:color w:val="auto"/>
        </w:rPr>
        <w:t>The following table presents supplemental consolidated balance sheet information related to leases as of December 31, 2025 and 2024, respectively (in thousands).</w:t>
      </w:r>
    </w:p>
    <w:p>
      <w:pPr>
        <w:sectPr>
          <w:pgSz w:w="11880" w:h="15480" w:orient="portrait"/>
          <w:cols w:equalWidth="0" w:num="1">
            <w:col w:w="10340"/>
          </w:cols>
          <w:pgMar w:left="380" w:top="498" w:right="1160" w:bottom="0" w:gutter="0" w:footer="0" w:header="0"/>
        </w:sectPr>
      </w:pPr>
    </w:p>
    <w:p>
      <w:pPr>
        <w:spacing w:after="0" w:line="200" w:lineRule="exact"/>
        <w:rPr>
          <w:sz w:val="20"/>
          <w:szCs w:val="20"/>
          <w:color w:val="auto"/>
        </w:rPr>
      </w:pPr>
    </w:p>
    <w:p>
      <w:pPr>
        <w:spacing w:after="0" w:line="337" w:lineRule="exact"/>
        <w:rPr>
          <w:sz w:val="20"/>
          <w:szCs w:val="20"/>
          <w:color w:val="auto"/>
        </w:rPr>
      </w:pPr>
    </w:p>
    <w:p>
      <w:pPr>
        <w:ind w:left="100"/>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0340"/>
          </w:cols>
          <w:pgMar w:left="380" w:top="498" w:right="1160" w:bottom="0" w:gutter="0" w:footer="0" w:header="0"/>
          <w:type w:val="continuous"/>
        </w:sectPr>
      </w:pPr>
    </w:p>
    <w:bookmarkStart w:id="148" w:name="page149"/>
    <w:bookmarkEnd w:id="148"/>
    <w:tbl>
      <w:tblPr>
        <w:tblLayout w:type="fixed"/>
        <w:tblInd w:w="0" w:type="dxa"/>
        <w:tblCellMar>
          <w:top w:w="0" w:type="dxa"/>
          <w:left w:w="0" w:type="dxa"/>
          <w:bottom w:w="0" w:type="dxa"/>
          <w:right w:w="0" w:type="dxa"/>
        </w:tblCellMar>
      </w:tblPr>
      <w:tr>
        <w:trPr>
          <w:trHeight w:val="220"/>
        </w:trPr>
        <w:tc>
          <w:tcPr>
            <w:tcW w:w="116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gridSpan w:val="3"/>
          </w:tcPr>
          <w:p>
            <w:pPr>
              <w:jc w:val="right"/>
              <w:spacing w:after="0"/>
              <w:rPr>
                <w:sz w:val="20"/>
                <w:szCs w:val="20"/>
                <w:color w:val="auto"/>
              </w:rPr>
            </w:pPr>
            <w:r>
              <w:rPr>
                <w:rFonts w:ascii="Calibri" w:cs="Calibri" w:eastAsia="Calibri" w:hAnsi="Calibri"/>
                <w:sz w:val="18"/>
                <w:szCs w:val="18"/>
                <w:color w:val="auto"/>
              </w:rPr>
              <w:t>2025 ANNUAL REPORT</w:t>
            </w:r>
          </w:p>
        </w:tc>
        <w:tc>
          <w:tcPr>
            <w:tcW w:w="780" w:type="dxa"/>
            <w:vAlign w:val="bottom"/>
          </w:tcPr>
          <w:p>
            <w:pPr>
              <w:ind w:left="460"/>
              <w:spacing w:after="0"/>
              <w:rPr>
                <w:sz w:val="20"/>
                <w:szCs w:val="20"/>
                <w:color w:val="auto"/>
              </w:rPr>
            </w:pPr>
            <w:r>
              <w:rPr>
                <w:rFonts w:ascii="Calibri" w:cs="Calibri" w:eastAsia="Calibri" w:hAnsi="Calibri"/>
                <w:sz w:val="18"/>
                <w:szCs w:val="18"/>
                <w:color w:val="auto"/>
                <w:w w:val="93"/>
              </w:rPr>
              <w:t>F-18</w:t>
            </w:r>
          </w:p>
        </w:tc>
      </w:tr>
      <w:tr>
        <w:trPr>
          <w:trHeight w:val="496"/>
        </w:trPr>
        <w:tc>
          <w:tcPr>
            <w:tcW w:w="8220" w:type="dxa"/>
            <w:vAlign w:val="bottom"/>
            <w:tcBorders>
              <w:bottom w:val="single" w:sz="8" w:color="214E93"/>
            </w:tcBorders>
            <w:gridSpan w:val="2"/>
          </w:tcPr>
          <w:p>
            <w:pPr>
              <w:spacing w:after="0"/>
              <w:rPr>
                <w:sz w:val="24"/>
                <w:szCs w:val="24"/>
                <w:color w:val="auto"/>
              </w:rPr>
            </w:pPr>
          </w:p>
        </w:tc>
        <w:tc>
          <w:tcPr>
            <w:tcW w:w="280" w:type="dxa"/>
            <w:vAlign w:val="bottom"/>
            <w:tcBorders>
              <w:bottom w:val="single" w:sz="8" w:color="214E93"/>
            </w:tcBorders>
          </w:tcPr>
          <w:p>
            <w:pPr>
              <w:spacing w:after="0"/>
              <w:rPr>
                <w:sz w:val="24"/>
                <w:szCs w:val="24"/>
                <w:color w:val="auto"/>
              </w:rPr>
            </w:pPr>
          </w:p>
        </w:tc>
        <w:tc>
          <w:tcPr>
            <w:tcW w:w="980" w:type="dxa"/>
            <w:vAlign w:val="bottom"/>
            <w:tcBorders>
              <w:bottom w:val="single" w:sz="8" w:color="214E93"/>
            </w:tcBorders>
          </w:tcPr>
          <w:p>
            <w:pPr>
              <w:spacing w:after="0"/>
              <w:rPr>
                <w:sz w:val="24"/>
                <w:szCs w:val="24"/>
                <w:color w:val="auto"/>
              </w:rPr>
            </w:pPr>
          </w:p>
        </w:tc>
        <w:tc>
          <w:tcPr>
            <w:tcW w:w="300" w:type="dxa"/>
            <w:vAlign w:val="bottom"/>
            <w:tcBorders>
              <w:bottom w:val="single" w:sz="8" w:color="214E93"/>
            </w:tcBorders>
          </w:tcPr>
          <w:p>
            <w:pPr>
              <w:spacing w:after="0"/>
              <w:rPr>
                <w:sz w:val="24"/>
                <w:szCs w:val="24"/>
                <w:color w:val="auto"/>
              </w:rPr>
            </w:pPr>
          </w:p>
        </w:tc>
        <w:tc>
          <w:tcPr>
            <w:tcW w:w="940" w:type="dxa"/>
            <w:vAlign w:val="bottom"/>
            <w:tcBorders>
              <w:bottom w:val="single" w:sz="8" w:color="214E93"/>
            </w:tcBorders>
          </w:tcPr>
          <w:p>
            <w:pPr>
              <w:spacing w:after="0"/>
              <w:rPr>
                <w:sz w:val="24"/>
                <w:szCs w:val="24"/>
                <w:color w:val="auto"/>
              </w:rPr>
            </w:pPr>
          </w:p>
        </w:tc>
        <w:tc>
          <w:tcPr>
            <w:tcW w:w="780" w:type="dxa"/>
            <w:vAlign w:val="bottom"/>
          </w:tcPr>
          <w:p>
            <w:pPr>
              <w:spacing w:after="0"/>
              <w:rPr>
                <w:sz w:val="24"/>
                <w:szCs w:val="24"/>
                <w:color w:val="auto"/>
              </w:rPr>
            </w:pPr>
          </w:p>
        </w:tc>
      </w:tr>
      <w:tr>
        <w:trPr>
          <w:trHeight w:val="388"/>
        </w:trPr>
        <w:tc>
          <w:tcPr>
            <w:tcW w:w="8220" w:type="dxa"/>
            <w:vAlign w:val="bottom"/>
            <w:gridSpan w:val="2"/>
          </w:tcPr>
          <w:p>
            <w:pPr>
              <w:ind w:left="1160"/>
              <w:spacing w:after="0"/>
              <w:rPr>
                <w:sz w:val="20"/>
                <w:szCs w:val="20"/>
                <w:color w:val="auto"/>
              </w:rPr>
            </w:pPr>
            <w:r>
              <w:rPr>
                <w:rFonts w:ascii="Verdana" w:cs="Verdana" w:eastAsia="Verdana" w:hAnsi="Verdana"/>
                <w:sz w:val="20"/>
                <w:szCs w:val="20"/>
                <w:color w:val="214E93"/>
              </w:rPr>
              <w:t>NOTE 4 — LEASES — Continued</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8"/>
        </w:trPr>
        <w:tc>
          <w:tcPr>
            <w:tcW w:w="116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80" w:type="dxa"/>
            <w:vAlign w:val="bottom"/>
            <w:tcBorders>
              <w:bottom w:val="single" w:sz="8" w:color="214E93"/>
            </w:tcBorders>
          </w:tcPr>
          <w:p>
            <w:pPr>
              <w:spacing w:after="0"/>
              <w:rPr>
                <w:sz w:val="24"/>
                <w:szCs w:val="24"/>
                <w:color w:val="auto"/>
              </w:rPr>
            </w:pPr>
          </w:p>
        </w:tc>
        <w:tc>
          <w:tcPr>
            <w:tcW w:w="2220" w:type="dxa"/>
            <w:vAlign w:val="bottom"/>
            <w:tcBorders>
              <w:bottom w:val="single" w:sz="8" w:color="214E93"/>
            </w:tcBorders>
            <w:gridSpan w:val="3"/>
          </w:tcPr>
          <w:p>
            <w:pPr>
              <w:jc w:val="right"/>
              <w:ind w:right="682"/>
              <w:spacing w:after="0"/>
              <w:rPr>
                <w:sz w:val="20"/>
                <w:szCs w:val="20"/>
                <w:color w:val="auto"/>
              </w:rPr>
            </w:pPr>
            <w:r>
              <w:rPr>
                <w:rFonts w:ascii="Verdana" w:cs="Verdana" w:eastAsia="Verdana" w:hAnsi="Verdana"/>
                <w:sz w:val="14"/>
                <w:szCs w:val="14"/>
                <w:color w:val="auto"/>
              </w:rPr>
              <w:t>December 31,</w:t>
            </w:r>
          </w:p>
        </w:tc>
        <w:tc>
          <w:tcPr>
            <w:tcW w:w="780" w:type="dxa"/>
            <w:vAlign w:val="bottom"/>
          </w:tcPr>
          <w:p>
            <w:pPr>
              <w:spacing w:after="0"/>
              <w:rPr>
                <w:sz w:val="24"/>
                <w:szCs w:val="24"/>
                <w:color w:val="auto"/>
              </w:rPr>
            </w:pPr>
          </w:p>
        </w:tc>
      </w:tr>
      <w:tr>
        <w:trPr>
          <w:trHeight w:val="201"/>
        </w:trPr>
        <w:tc>
          <w:tcPr>
            <w:tcW w:w="1160" w:type="dxa"/>
            <w:vAlign w:val="bottom"/>
          </w:tcPr>
          <w:p>
            <w:pPr>
              <w:spacing w:after="0"/>
              <w:rPr>
                <w:sz w:val="17"/>
                <w:szCs w:val="17"/>
                <w:color w:val="auto"/>
              </w:rPr>
            </w:pPr>
          </w:p>
        </w:tc>
        <w:tc>
          <w:tcPr>
            <w:tcW w:w="7060" w:type="dxa"/>
            <w:vAlign w:val="bottom"/>
            <w:tcBorders>
              <w:bottom w:val="single" w:sz="8" w:color="214E93"/>
            </w:tcBorders>
          </w:tcPr>
          <w:p>
            <w:pPr>
              <w:spacing w:after="0"/>
              <w:rPr>
                <w:sz w:val="17"/>
                <w:szCs w:val="17"/>
                <w:color w:val="auto"/>
              </w:rPr>
            </w:pPr>
          </w:p>
        </w:tc>
        <w:tc>
          <w:tcPr>
            <w:tcW w:w="280" w:type="dxa"/>
            <w:vAlign w:val="bottom"/>
            <w:tcBorders>
              <w:bottom w:val="single" w:sz="8" w:color="214E93"/>
            </w:tcBorders>
          </w:tcPr>
          <w:p>
            <w:pPr>
              <w:spacing w:after="0"/>
              <w:rPr>
                <w:sz w:val="17"/>
                <w:szCs w:val="17"/>
                <w:color w:val="auto"/>
              </w:rPr>
            </w:pPr>
          </w:p>
        </w:tc>
        <w:tc>
          <w:tcPr>
            <w:tcW w:w="980" w:type="dxa"/>
            <w:vAlign w:val="bottom"/>
            <w:tcBorders>
              <w:bottom w:val="single" w:sz="8" w:color="214E93"/>
            </w:tcBorders>
          </w:tcPr>
          <w:p>
            <w:pPr>
              <w:jc w:val="right"/>
              <w:ind w:right="402"/>
              <w:spacing w:after="0"/>
              <w:rPr>
                <w:sz w:val="20"/>
                <w:szCs w:val="20"/>
                <w:color w:val="auto"/>
              </w:rPr>
            </w:pPr>
            <w:r>
              <w:rPr>
                <w:rFonts w:ascii="Verdana" w:cs="Verdana" w:eastAsia="Verdana" w:hAnsi="Verdana"/>
                <w:sz w:val="14"/>
                <w:szCs w:val="14"/>
                <w:color w:val="214E93"/>
              </w:rPr>
              <w:t>2025</w:t>
            </w:r>
          </w:p>
        </w:tc>
        <w:tc>
          <w:tcPr>
            <w:tcW w:w="300" w:type="dxa"/>
            <w:vAlign w:val="bottom"/>
            <w:tcBorders>
              <w:bottom w:val="single" w:sz="8" w:color="214E93"/>
            </w:tcBorders>
          </w:tcPr>
          <w:p>
            <w:pPr>
              <w:spacing w:after="0"/>
              <w:rPr>
                <w:sz w:val="17"/>
                <w:szCs w:val="17"/>
                <w:color w:val="auto"/>
              </w:rPr>
            </w:pPr>
          </w:p>
        </w:tc>
        <w:tc>
          <w:tcPr>
            <w:tcW w:w="940" w:type="dxa"/>
            <w:vAlign w:val="bottom"/>
            <w:tcBorders>
              <w:bottom w:val="single" w:sz="8" w:color="214E93"/>
            </w:tcBorders>
          </w:tcPr>
          <w:p>
            <w:pPr>
              <w:jc w:val="right"/>
              <w:ind w:right="362"/>
              <w:spacing w:after="0"/>
              <w:rPr>
                <w:sz w:val="20"/>
                <w:szCs w:val="20"/>
                <w:color w:val="auto"/>
              </w:rPr>
            </w:pPr>
            <w:r>
              <w:rPr>
                <w:rFonts w:ascii="Verdana" w:cs="Verdana" w:eastAsia="Verdana" w:hAnsi="Verdana"/>
                <w:sz w:val="14"/>
                <w:szCs w:val="14"/>
                <w:color w:val="auto"/>
              </w:rPr>
              <w:t>2024</w:t>
            </w:r>
          </w:p>
        </w:tc>
        <w:tc>
          <w:tcPr>
            <w:tcW w:w="780" w:type="dxa"/>
            <w:vAlign w:val="bottom"/>
          </w:tcPr>
          <w:p>
            <w:pPr>
              <w:spacing w:after="0"/>
              <w:rPr>
                <w:sz w:val="17"/>
                <w:szCs w:val="17"/>
                <w:color w:val="auto"/>
              </w:rPr>
            </w:pPr>
          </w:p>
        </w:tc>
      </w:tr>
      <w:tr>
        <w:trPr>
          <w:trHeight w:val="211"/>
        </w:trPr>
        <w:tc>
          <w:tcPr>
            <w:tcW w:w="1160" w:type="dxa"/>
            <w:vAlign w:val="bottom"/>
          </w:tcPr>
          <w:p>
            <w:pPr>
              <w:spacing w:after="0"/>
              <w:rPr>
                <w:sz w:val="18"/>
                <w:szCs w:val="18"/>
                <w:color w:val="auto"/>
              </w:rPr>
            </w:pPr>
          </w:p>
        </w:tc>
        <w:tc>
          <w:tcPr>
            <w:tcW w:w="7060" w:type="dxa"/>
            <w:vAlign w:val="bottom"/>
          </w:tcPr>
          <w:p>
            <w:pPr>
              <w:ind w:left="40"/>
              <w:spacing w:after="0"/>
              <w:rPr>
                <w:sz w:val="20"/>
                <w:szCs w:val="20"/>
                <w:color w:val="auto"/>
              </w:rPr>
            </w:pPr>
            <w:r>
              <w:rPr>
                <w:rFonts w:ascii="Verdana" w:cs="Verdana" w:eastAsia="Verdana" w:hAnsi="Verdana"/>
                <w:sz w:val="16"/>
                <w:szCs w:val="16"/>
                <w:color w:val="auto"/>
              </w:rPr>
              <w:t>Operating leases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41"/>
        </w:trPr>
        <w:tc>
          <w:tcPr>
            <w:tcW w:w="1160" w:type="dxa"/>
            <w:vAlign w:val="bottom"/>
          </w:tcPr>
          <w:p>
            <w:pPr>
              <w:spacing w:after="0"/>
              <w:rPr>
                <w:sz w:val="20"/>
                <w:szCs w:val="20"/>
                <w:color w:val="auto"/>
              </w:rPr>
            </w:pPr>
          </w:p>
        </w:tc>
        <w:tc>
          <w:tcPr>
            <w:tcW w:w="7060" w:type="dxa"/>
            <w:vAlign w:val="bottom"/>
            <w:tcBorders>
              <w:bottom w:val="single" w:sz="8" w:color="214E93"/>
            </w:tcBorders>
          </w:tcPr>
          <w:p>
            <w:pPr>
              <w:ind w:left="160"/>
              <w:spacing w:after="0"/>
              <w:rPr>
                <w:sz w:val="20"/>
                <w:szCs w:val="20"/>
                <w:color w:val="auto"/>
              </w:rPr>
            </w:pPr>
            <w:r>
              <w:rPr>
                <w:rFonts w:ascii="Verdana" w:cs="Verdana" w:eastAsia="Verdana" w:hAnsi="Verdana"/>
                <w:sz w:val="16"/>
                <w:szCs w:val="16"/>
                <w:color w:val="auto"/>
              </w:rPr>
              <w:t>Other long-term assets</w:t>
            </w:r>
          </w:p>
        </w:tc>
        <w:tc>
          <w:tcPr>
            <w:tcW w:w="280" w:type="dxa"/>
            <w:vAlign w:val="bottom"/>
            <w:tcBorders>
              <w:bottom w:val="single" w:sz="8" w:color="214E93"/>
            </w:tcBorders>
          </w:tcPr>
          <w:p>
            <w:pPr>
              <w:jc w:val="right"/>
              <w:ind w:right="61"/>
              <w:spacing w:after="0"/>
              <w:rPr>
                <w:sz w:val="20"/>
                <w:szCs w:val="20"/>
                <w:color w:val="auto"/>
              </w:rPr>
            </w:pPr>
            <w:r>
              <w:rPr>
                <w:rFonts w:ascii="Verdana" w:cs="Verdana" w:eastAsia="Verdana" w:hAnsi="Verdana"/>
                <w:sz w:val="16"/>
                <w:szCs w:val="16"/>
                <w:color w:val="214E93"/>
              </w:rPr>
              <w:t>$</w:t>
            </w:r>
          </w:p>
        </w:tc>
        <w:tc>
          <w:tcPr>
            <w:tcW w:w="980" w:type="dxa"/>
            <w:vAlign w:val="bottom"/>
            <w:tcBorders>
              <w:bottom w:val="single" w:sz="8" w:color="214E93"/>
            </w:tcBorders>
          </w:tcPr>
          <w:p>
            <w:pPr>
              <w:jc w:val="right"/>
              <w:ind w:right="42"/>
              <w:spacing w:after="0"/>
              <w:rPr>
                <w:sz w:val="20"/>
                <w:szCs w:val="20"/>
                <w:color w:val="auto"/>
              </w:rPr>
            </w:pPr>
            <w:r>
              <w:rPr>
                <w:rFonts w:ascii="Verdana" w:cs="Verdana" w:eastAsia="Verdana" w:hAnsi="Verdana"/>
                <w:sz w:val="16"/>
                <w:szCs w:val="16"/>
                <w:color w:val="214E93"/>
              </w:rPr>
              <w:t>138,655</w:t>
            </w:r>
          </w:p>
        </w:tc>
        <w:tc>
          <w:tcPr>
            <w:tcW w:w="300" w:type="dxa"/>
            <w:vAlign w:val="bottom"/>
            <w:tcBorders>
              <w:bottom w:val="single" w:sz="8" w:color="214E93"/>
            </w:tcBorders>
          </w:tcPr>
          <w:p>
            <w:pPr>
              <w:jc w:val="right"/>
              <w:ind w:right="61"/>
              <w:spacing w:after="0"/>
              <w:rPr>
                <w:sz w:val="20"/>
                <w:szCs w:val="20"/>
                <w:color w:val="auto"/>
              </w:rPr>
            </w:pPr>
            <w:r>
              <w:rPr>
                <w:rFonts w:ascii="Verdana" w:cs="Verdana" w:eastAsia="Verdana" w:hAnsi="Verdana"/>
                <w:sz w:val="16"/>
                <w:szCs w:val="16"/>
                <w:color w:val="auto"/>
              </w:rPr>
              <w:t>$</w:t>
            </w:r>
          </w:p>
        </w:tc>
        <w:tc>
          <w:tcPr>
            <w:tcW w:w="940" w:type="dxa"/>
            <w:vAlign w:val="bottom"/>
            <w:tcBorders>
              <w:bottom w:val="single" w:sz="8" w:color="214E93"/>
            </w:tcBorders>
          </w:tcPr>
          <w:p>
            <w:pPr>
              <w:jc w:val="right"/>
              <w:ind w:right="2"/>
              <w:spacing w:after="0"/>
              <w:rPr>
                <w:sz w:val="20"/>
                <w:szCs w:val="20"/>
                <w:color w:val="auto"/>
              </w:rPr>
            </w:pPr>
            <w:r>
              <w:rPr>
                <w:rFonts w:ascii="Verdana" w:cs="Verdana" w:eastAsia="Verdana" w:hAnsi="Verdana"/>
                <w:sz w:val="16"/>
                <w:szCs w:val="16"/>
                <w:color w:val="auto"/>
              </w:rPr>
              <w:t>127,445</w:t>
            </w:r>
          </w:p>
        </w:tc>
        <w:tc>
          <w:tcPr>
            <w:tcW w:w="780" w:type="dxa"/>
            <w:vAlign w:val="bottom"/>
          </w:tcPr>
          <w:p>
            <w:pPr>
              <w:spacing w:after="0"/>
              <w:rPr>
                <w:sz w:val="20"/>
                <w:szCs w:val="20"/>
                <w:color w:val="auto"/>
              </w:rPr>
            </w:pPr>
          </w:p>
        </w:tc>
      </w:tr>
      <w:tr>
        <w:trPr>
          <w:trHeight w:val="211"/>
        </w:trPr>
        <w:tc>
          <w:tcPr>
            <w:tcW w:w="116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Verdana" w:cs="Verdana" w:eastAsia="Verdana" w:hAnsi="Verdana"/>
                <w:sz w:val="16"/>
                <w:szCs w:val="16"/>
                <w:color w:val="auto"/>
              </w:rPr>
              <w:t>Other current liabilities</w:t>
            </w:r>
          </w:p>
        </w:tc>
        <w:tc>
          <w:tcPr>
            <w:tcW w:w="280" w:type="dxa"/>
            <w:vAlign w:val="bottom"/>
          </w:tcPr>
          <w:p>
            <w:pPr>
              <w:jc w:val="right"/>
              <w:ind w:right="61"/>
              <w:spacing w:after="0"/>
              <w:rPr>
                <w:sz w:val="20"/>
                <w:szCs w:val="20"/>
                <w:color w:val="auto"/>
              </w:rPr>
            </w:pPr>
            <w:r>
              <w:rPr>
                <w:rFonts w:ascii="Verdana" w:cs="Verdana" w:eastAsia="Verdana" w:hAnsi="Verdana"/>
                <w:sz w:val="16"/>
                <w:szCs w:val="16"/>
                <w:color w:val="214E93"/>
              </w:rPr>
              <w:t>$</w:t>
            </w:r>
          </w:p>
        </w:tc>
        <w:tc>
          <w:tcPr>
            <w:tcW w:w="980" w:type="dxa"/>
            <w:vAlign w:val="bottom"/>
          </w:tcPr>
          <w:p>
            <w:pPr>
              <w:jc w:val="right"/>
              <w:spacing w:after="0"/>
              <w:rPr>
                <w:sz w:val="20"/>
                <w:szCs w:val="20"/>
                <w:color w:val="auto"/>
              </w:rPr>
            </w:pPr>
            <w:r>
              <w:rPr>
                <w:rFonts w:ascii="Verdana" w:cs="Verdana" w:eastAsia="Verdana" w:hAnsi="Verdana"/>
                <w:sz w:val="16"/>
                <w:szCs w:val="16"/>
                <w:color w:val="214E93"/>
              </w:rPr>
              <w:t>(65,091)</w:t>
            </w:r>
          </w:p>
        </w:tc>
        <w:tc>
          <w:tcPr>
            <w:tcW w:w="300" w:type="dxa"/>
            <w:vAlign w:val="bottom"/>
          </w:tcPr>
          <w:p>
            <w:pPr>
              <w:jc w:val="right"/>
              <w:ind w:right="61"/>
              <w:spacing w:after="0"/>
              <w:rPr>
                <w:sz w:val="20"/>
                <w:szCs w:val="20"/>
                <w:color w:val="auto"/>
              </w:rPr>
            </w:pPr>
            <w:r>
              <w:rPr>
                <w:rFonts w:ascii="Verdana" w:cs="Verdana" w:eastAsia="Verdana" w:hAnsi="Verdana"/>
                <w:sz w:val="16"/>
                <w:szCs w:val="16"/>
                <w:color w:val="auto"/>
              </w:rPr>
              <w:t>$</w:t>
            </w:r>
          </w:p>
        </w:tc>
        <w:tc>
          <w:tcPr>
            <w:tcW w:w="940" w:type="dxa"/>
            <w:vAlign w:val="bottom"/>
          </w:tcPr>
          <w:p>
            <w:pPr>
              <w:jc w:val="right"/>
              <w:spacing w:after="0"/>
              <w:rPr>
                <w:sz w:val="20"/>
                <w:szCs w:val="20"/>
                <w:color w:val="auto"/>
              </w:rPr>
            </w:pPr>
            <w:r>
              <w:rPr>
                <w:rFonts w:ascii="Verdana" w:cs="Verdana" w:eastAsia="Verdana" w:hAnsi="Verdana"/>
                <w:sz w:val="16"/>
                <w:szCs w:val="16"/>
                <w:color w:val="auto"/>
              </w:rPr>
              <w:t>(57,924)</w:t>
            </w:r>
          </w:p>
        </w:tc>
        <w:tc>
          <w:tcPr>
            <w:tcW w:w="780" w:type="dxa"/>
            <w:vAlign w:val="bottom"/>
          </w:tcPr>
          <w:p>
            <w:pPr>
              <w:spacing w:after="0"/>
              <w:rPr>
                <w:sz w:val="18"/>
                <w:szCs w:val="18"/>
                <w:color w:val="auto"/>
              </w:rPr>
            </w:pPr>
          </w:p>
        </w:tc>
      </w:tr>
      <w:tr>
        <w:trPr>
          <w:trHeight w:val="240"/>
        </w:trPr>
        <w:tc>
          <w:tcPr>
            <w:tcW w:w="1160" w:type="dxa"/>
            <w:vAlign w:val="bottom"/>
          </w:tcPr>
          <w:p>
            <w:pPr>
              <w:spacing w:after="0"/>
              <w:rPr>
                <w:sz w:val="20"/>
                <w:szCs w:val="20"/>
                <w:color w:val="auto"/>
              </w:rPr>
            </w:pPr>
          </w:p>
        </w:tc>
        <w:tc>
          <w:tcPr>
            <w:tcW w:w="7060" w:type="dxa"/>
            <w:vAlign w:val="bottom"/>
            <w:tcBorders>
              <w:bottom w:val="single" w:sz="8" w:color="auto"/>
            </w:tcBorders>
          </w:tcPr>
          <w:p>
            <w:pPr>
              <w:ind w:left="160"/>
              <w:spacing w:after="0"/>
              <w:rPr>
                <w:sz w:val="20"/>
                <w:szCs w:val="20"/>
                <w:color w:val="auto"/>
              </w:rPr>
            </w:pPr>
            <w:r>
              <w:rPr>
                <w:rFonts w:ascii="Verdana" w:cs="Verdana" w:eastAsia="Verdana" w:hAnsi="Verdana"/>
                <w:sz w:val="16"/>
                <w:szCs w:val="16"/>
                <w:color w:val="auto"/>
              </w:rPr>
              <w:t>Other long-term liabilities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214E93"/>
              </w:rPr>
              <w:t>(79,190)</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(72,498)</w:t>
            </w:r>
          </w:p>
        </w:tc>
        <w:tc>
          <w:tcPr>
            <w:tcW w:w="780" w:type="dxa"/>
            <w:vAlign w:val="bottom"/>
          </w:tcPr>
          <w:p>
            <w:pPr>
              <w:spacing w:after="0"/>
              <w:rPr>
                <w:sz w:val="20"/>
                <w:szCs w:val="20"/>
                <w:color w:val="auto"/>
              </w:rPr>
            </w:pPr>
          </w:p>
        </w:tc>
      </w:tr>
      <w:tr>
        <w:trPr>
          <w:trHeight w:val="217"/>
        </w:trPr>
        <w:tc>
          <w:tcPr>
            <w:tcW w:w="1160" w:type="dxa"/>
            <w:vAlign w:val="bottom"/>
          </w:tcPr>
          <w:p>
            <w:pPr>
              <w:spacing w:after="0"/>
              <w:rPr>
                <w:sz w:val="18"/>
                <w:szCs w:val="18"/>
                <w:color w:val="auto"/>
              </w:rPr>
            </w:pPr>
          </w:p>
        </w:tc>
        <w:tc>
          <w:tcPr>
            <w:tcW w:w="7060" w:type="dxa"/>
            <w:vAlign w:val="bottom"/>
            <w:tcBorders>
              <w:bottom w:val="single" w:sz="8" w:color="214E93"/>
            </w:tcBorders>
          </w:tcPr>
          <w:p>
            <w:pPr>
              <w:ind w:left="280"/>
              <w:spacing w:after="0"/>
              <w:rPr>
                <w:sz w:val="20"/>
                <w:szCs w:val="20"/>
                <w:color w:val="auto"/>
              </w:rPr>
            </w:pPr>
            <w:r>
              <w:rPr>
                <w:rFonts w:ascii="Verdana" w:cs="Verdana" w:eastAsia="Verdana" w:hAnsi="Verdana"/>
                <w:sz w:val="16"/>
                <w:szCs w:val="16"/>
                <w:color w:val="auto"/>
              </w:rPr>
              <w:t>Total operating lease liabilities</w:t>
            </w:r>
          </w:p>
        </w:tc>
        <w:tc>
          <w:tcPr>
            <w:tcW w:w="280" w:type="dxa"/>
            <w:vAlign w:val="bottom"/>
            <w:tcBorders>
              <w:bottom w:val="single" w:sz="8" w:color="214E93"/>
            </w:tcBorders>
          </w:tcPr>
          <w:p>
            <w:pPr>
              <w:jc w:val="right"/>
              <w:ind w:right="61"/>
              <w:spacing w:after="0"/>
              <w:rPr>
                <w:sz w:val="20"/>
                <w:szCs w:val="20"/>
                <w:color w:val="auto"/>
              </w:rPr>
            </w:pPr>
            <w:r>
              <w:rPr>
                <w:rFonts w:ascii="Verdana" w:cs="Verdana" w:eastAsia="Verdana" w:hAnsi="Verdana"/>
                <w:sz w:val="16"/>
                <w:szCs w:val="16"/>
                <w:color w:val="214E93"/>
              </w:rPr>
              <w:t>$</w:t>
            </w:r>
          </w:p>
        </w:tc>
        <w:tc>
          <w:tcPr>
            <w:tcW w:w="98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(144,281)</w:t>
            </w:r>
          </w:p>
        </w:tc>
        <w:tc>
          <w:tcPr>
            <w:tcW w:w="300" w:type="dxa"/>
            <w:vAlign w:val="bottom"/>
            <w:tcBorders>
              <w:bottom w:val="single" w:sz="8" w:color="214E93"/>
            </w:tcBorders>
          </w:tcPr>
          <w:p>
            <w:pPr>
              <w:jc w:val="right"/>
              <w:ind w:right="61"/>
              <w:spacing w:after="0"/>
              <w:rPr>
                <w:sz w:val="20"/>
                <w:szCs w:val="20"/>
                <w:color w:val="auto"/>
              </w:rPr>
            </w:pPr>
            <w:r>
              <w:rPr>
                <w:rFonts w:ascii="Verdana" w:cs="Verdana" w:eastAsia="Verdana" w:hAnsi="Verdana"/>
                <w:sz w:val="16"/>
                <w:szCs w:val="16"/>
                <w:color w:val="auto"/>
              </w:rPr>
              <w:t>$</w:t>
            </w:r>
          </w:p>
        </w:tc>
        <w:tc>
          <w:tcPr>
            <w:tcW w:w="94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(130,422)</w:t>
            </w:r>
          </w:p>
        </w:tc>
        <w:tc>
          <w:tcPr>
            <w:tcW w:w="780" w:type="dxa"/>
            <w:vAlign w:val="bottom"/>
          </w:tcPr>
          <w:p>
            <w:pPr>
              <w:spacing w:after="0"/>
              <w:rPr>
                <w:sz w:val="18"/>
                <w:szCs w:val="18"/>
                <w:color w:val="auto"/>
              </w:rPr>
            </w:pPr>
          </w:p>
        </w:tc>
      </w:tr>
      <w:tr>
        <w:trPr>
          <w:trHeight w:val="520"/>
        </w:trPr>
        <w:tc>
          <w:tcPr>
            <w:tcW w:w="1160" w:type="dxa"/>
            <w:vAlign w:val="bottom"/>
          </w:tcPr>
          <w:p>
            <w:pPr>
              <w:spacing w:after="0"/>
              <w:rPr>
                <w:sz w:val="24"/>
                <w:szCs w:val="24"/>
                <w:color w:val="auto"/>
              </w:rPr>
            </w:pPr>
          </w:p>
        </w:tc>
        <w:tc>
          <w:tcPr>
            <w:tcW w:w="7060" w:type="dxa"/>
            <w:vAlign w:val="bottom"/>
          </w:tcPr>
          <w:p>
            <w:pPr>
              <w:ind w:left="40"/>
              <w:spacing w:after="0"/>
              <w:rPr>
                <w:sz w:val="20"/>
                <w:szCs w:val="20"/>
                <w:color w:val="auto"/>
              </w:rPr>
            </w:pPr>
            <w:r>
              <w:rPr>
                <w:rFonts w:ascii="Verdana" w:cs="Verdana" w:eastAsia="Verdana" w:hAnsi="Verdana"/>
                <w:sz w:val="16"/>
                <w:szCs w:val="16"/>
                <w:color w:val="auto"/>
              </w:rPr>
              <w:t>Finance leases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6"/>
        </w:trPr>
        <w:tc>
          <w:tcPr>
            <w:tcW w:w="1160" w:type="dxa"/>
            <w:vAlign w:val="bottom"/>
          </w:tcPr>
          <w:p>
            <w:pPr>
              <w:spacing w:after="0"/>
              <w:rPr>
                <w:sz w:val="20"/>
                <w:szCs w:val="20"/>
                <w:color w:val="auto"/>
              </w:rPr>
            </w:pPr>
          </w:p>
        </w:tc>
        <w:tc>
          <w:tcPr>
            <w:tcW w:w="7060" w:type="dxa"/>
            <w:vAlign w:val="bottom"/>
          </w:tcPr>
          <w:p>
            <w:pPr>
              <w:ind w:left="160"/>
              <w:spacing w:after="0"/>
              <w:rPr>
                <w:sz w:val="20"/>
                <w:szCs w:val="20"/>
                <w:color w:val="auto"/>
              </w:rPr>
            </w:pPr>
            <w:r>
              <w:rPr>
                <w:rFonts w:ascii="Verdana" w:cs="Verdana" w:eastAsia="Verdana" w:hAnsi="Verdana"/>
                <w:sz w:val="16"/>
                <w:szCs w:val="16"/>
                <w:color w:val="auto"/>
              </w:rPr>
              <w:t>Other property and equipment, at cost</w:t>
            </w:r>
          </w:p>
        </w:tc>
        <w:tc>
          <w:tcPr>
            <w:tcW w:w="280" w:type="dxa"/>
            <w:vAlign w:val="bottom"/>
          </w:tcPr>
          <w:p>
            <w:pPr>
              <w:jc w:val="right"/>
              <w:ind w:right="61"/>
              <w:spacing w:after="0"/>
              <w:rPr>
                <w:sz w:val="20"/>
                <w:szCs w:val="20"/>
                <w:color w:val="auto"/>
              </w:rPr>
            </w:pPr>
            <w:r>
              <w:rPr>
                <w:rFonts w:ascii="Verdana" w:cs="Verdana" w:eastAsia="Verdana" w:hAnsi="Verdana"/>
                <w:sz w:val="16"/>
                <w:szCs w:val="16"/>
                <w:color w:val="214E93"/>
              </w:rPr>
              <w:t>$</w:t>
            </w:r>
          </w:p>
        </w:tc>
        <w:tc>
          <w:tcPr>
            <w:tcW w:w="980" w:type="dxa"/>
            <w:vAlign w:val="bottom"/>
          </w:tcPr>
          <w:p>
            <w:pPr>
              <w:jc w:val="right"/>
              <w:ind w:right="42"/>
              <w:spacing w:after="0"/>
              <w:rPr>
                <w:sz w:val="20"/>
                <w:szCs w:val="20"/>
                <w:color w:val="auto"/>
              </w:rPr>
            </w:pPr>
            <w:r>
              <w:rPr>
                <w:rFonts w:ascii="Verdana" w:cs="Verdana" w:eastAsia="Verdana" w:hAnsi="Verdana"/>
                <w:sz w:val="16"/>
                <w:szCs w:val="16"/>
                <w:color w:val="214E93"/>
              </w:rPr>
              <w:t>14,204</w:t>
            </w:r>
          </w:p>
        </w:tc>
        <w:tc>
          <w:tcPr>
            <w:tcW w:w="300" w:type="dxa"/>
            <w:vAlign w:val="bottom"/>
          </w:tcPr>
          <w:p>
            <w:pPr>
              <w:jc w:val="right"/>
              <w:ind w:right="61"/>
              <w:spacing w:after="0"/>
              <w:rPr>
                <w:sz w:val="20"/>
                <w:szCs w:val="20"/>
                <w:color w:val="auto"/>
              </w:rPr>
            </w:pPr>
            <w:r>
              <w:rPr>
                <w:rFonts w:ascii="Verdana" w:cs="Verdana" w:eastAsia="Verdana" w:hAnsi="Verdana"/>
                <w:sz w:val="16"/>
                <w:szCs w:val="16"/>
                <w:color w:val="auto"/>
              </w:rPr>
              <w:t>$</w:t>
            </w:r>
          </w:p>
        </w:tc>
        <w:tc>
          <w:tcPr>
            <w:tcW w:w="940" w:type="dxa"/>
            <w:vAlign w:val="bottom"/>
          </w:tcPr>
          <w:p>
            <w:pPr>
              <w:jc w:val="right"/>
              <w:ind w:right="2"/>
              <w:spacing w:after="0"/>
              <w:rPr>
                <w:sz w:val="20"/>
                <w:szCs w:val="20"/>
                <w:color w:val="auto"/>
              </w:rPr>
            </w:pPr>
            <w:r>
              <w:rPr>
                <w:rFonts w:ascii="Verdana" w:cs="Verdana" w:eastAsia="Verdana" w:hAnsi="Verdana"/>
                <w:sz w:val="16"/>
                <w:szCs w:val="16"/>
                <w:color w:val="auto"/>
              </w:rPr>
              <w:t>12,783</w:t>
            </w:r>
          </w:p>
        </w:tc>
        <w:tc>
          <w:tcPr>
            <w:tcW w:w="780" w:type="dxa"/>
            <w:vAlign w:val="bottom"/>
          </w:tcPr>
          <w:p>
            <w:pPr>
              <w:spacing w:after="0"/>
              <w:rPr>
                <w:sz w:val="20"/>
                <w:szCs w:val="20"/>
                <w:color w:val="auto"/>
              </w:rPr>
            </w:pPr>
          </w:p>
        </w:tc>
      </w:tr>
      <w:tr>
        <w:trPr>
          <w:trHeight w:val="242"/>
        </w:trPr>
        <w:tc>
          <w:tcPr>
            <w:tcW w:w="1160" w:type="dxa"/>
            <w:vAlign w:val="bottom"/>
          </w:tcPr>
          <w:p>
            <w:pPr>
              <w:spacing w:after="0"/>
              <w:rPr>
                <w:sz w:val="21"/>
                <w:szCs w:val="21"/>
                <w:color w:val="auto"/>
              </w:rPr>
            </w:pPr>
          </w:p>
        </w:tc>
        <w:tc>
          <w:tcPr>
            <w:tcW w:w="7060" w:type="dxa"/>
            <w:vAlign w:val="bottom"/>
            <w:tcBorders>
              <w:bottom w:val="single" w:sz="8" w:color="auto"/>
            </w:tcBorders>
          </w:tcPr>
          <w:p>
            <w:pPr>
              <w:ind w:left="160"/>
              <w:spacing w:after="0"/>
              <w:rPr>
                <w:sz w:val="20"/>
                <w:szCs w:val="20"/>
                <w:color w:val="auto"/>
              </w:rPr>
            </w:pPr>
            <w:r>
              <w:rPr>
                <w:rFonts w:ascii="Verdana" w:cs="Verdana" w:eastAsia="Verdana" w:hAnsi="Verdana"/>
                <w:sz w:val="16"/>
                <w:szCs w:val="16"/>
                <w:color w:val="auto"/>
              </w:rPr>
              <w:t>Accumulated depreciation</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214E93"/>
              </w:rPr>
              <w:t>(11,297)</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(9,532)</w:t>
            </w:r>
          </w:p>
        </w:tc>
        <w:tc>
          <w:tcPr>
            <w:tcW w:w="780" w:type="dxa"/>
            <w:vAlign w:val="bottom"/>
          </w:tcPr>
          <w:p>
            <w:pPr>
              <w:spacing w:after="0"/>
              <w:rPr>
                <w:sz w:val="21"/>
                <w:szCs w:val="21"/>
                <w:color w:val="auto"/>
              </w:rPr>
            </w:pPr>
          </w:p>
        </w:tc>
      </w:tr>
      <w:tr>
        <w:trPr>
          <w:trHeight w:val="217"/>
        </w:trPr>
        <w:tc>
          <w:tcPr>
            <w:tcW w:w="1160" w:type="dxa"/>
            <w:vAlign w:val="bottom"/>
          </w:tcPr>
          <w:p>
            <w:pPr>
              <w:spacing w:after="0"/>
              <w:rPr>
                <w:sz w:val="18"/>
                <w:szCs w:val="18"/>
                <w:color w:val="auto"/>
              </w:rPr>
            </w:pPr>
          </w:p>
        </w:tc>
        <w:tc>
          <w:tcPr>
            <w:tcW w:w="7060" w:type="dxa"/>
            <w:vAlign w:val="bottom"/>
            <w:tcBorders>
              <w:bottom w:val="single" w:sz="8" w:color="214E93"/>
            </w:tcBorders>
          </w:tcPr>
          <w:p>
            <w:pPr>
              <w:ind w:left="280"/>
              <w:spacing w:after="0"/>
              <w:rPr>
                <w:sz w:val="20"/>
                <w:szCs w:val="20"/>
                <w:color w:val="auto"/>
              </w:rPr>
            </w:pPr>
            <w:r>
              <w:rPr>
                <w:rFonts w:ascii="Verdana" w:cs="Verdana" w:eastAsia="Verdana" w:hAnsi="Verdana"/>
                <w:sz w:val="16"/>
                <w:szCs w:val="16"/>
                <w:color w:val="auto"/>
              </w:rPr>
              <w:t>Net property and equipment</w:t>
            </w:r>
          </w:p>
        </w:tc>
        <w:tc>
          <w:tcPr>
            <w:tcW w:w="280" w:type="dxa"/>
            <w:vAlign w:val="bottom"/>
            <w:tcBorders>
              <w:bottom w:val="single" w:sz="8" w:color="214E93"/>
            </w:tcBorders>
          </w:tcPr>
          <w:p>
            <w:pPr>
              <w:jc w:val="right"/>
              <w:ind w:right="61"/>
              <w:spacing w:after="0"/>
              <w:rPr>
                <w:sz w:val="20"/>
                <w:szCs w:val="20"/>
                <w:color w:val="auto"/>
              </w:rPr>
            </w:pPr>
            <w:r>
              <w:rPr>
                <w:rFonts w:ascii="Verdana" w:cs="Verdana" w:eastAsia="Verdana" w:hAnsi="Verdana"/>
                <w:sz w:val="16"/>
                <w:szCs w:val="16"/>
                <w:color w:val="214E93"/>
              </w:rPr>
              <w:t>$</w:t>
            </w:r>
          </w:p>
        </w:tc>
        <w:tc>
          <w:tcPr>
            <w:tcW w:w="980" w:type="dxa"/>
            <w:vAlign w:val="bottom"/>
            <w:tcBorders>
              <w:bottom w:val="single" w:sz="8" w:color="214E93"/>
            </w:tcBorders>
          </w:tcPr>
          <w:p>
            <w:pPr>
              <w:jc w:val="right"/>
              <w:ind w:right="42"/>
              <w:spacing w:after="0"/>
              <w:rPr>
                <w:sz w:val="20"/>
                <w:szCs w:val="20"/>
                <w:color w:val="auto"/>
              </w:rPr>
            </w:pPr>
            <w:r>
              <w:rPr>
                <w:rFonts w:ascii="Verdana" w:cs="Verdana" w:eastAsia="Verdana" w:hAnsi="Verdana"/>
                <w:sz w:val="16"/>
                <w:szCs w:val="16"/>
                <w:color w:val="214E93"/>
              </w:rPr>
              <w:t>2,907</w:t>
            </w:r>
          </w:p>
        </w:tc>
        <w:tc>
          <w:tcPr>
            <w:tcW w:w="300" w:type="dxa"/>
            <w:vAlign w:val="bottom"/>
            <w:tcBorders>
              <w:bottom w:val="single" w:sz="8" w:color="214E93"/>
            </w:tcBorders>
          </w:tcPr>
          <w:p>
            <w:pPr>
              <w:jc w:val="right"/>
              <w:ind w:right="61"/>
              <w:spacing w:after="0"/>
              <w:rPr>
                <w:sz w:val="20"/>
                <w:szCs w:val="20"/>
                <w:color w:val="auto"/>
              </w:rPr>
            </w:pPr>
            <w:r>
              <w:rPr>
                <w:rFonts w:ascii="Verdana" w:cs="Verdana" w:eastAsia="Verdana" w:hAnsi="Verdana"/>
                <w:sz w:val="16"/>
                <w:szCs w:val="16"/>
                <w:color w:val="auto"/>
              </w:rPr>
              <w:t>$</w:t>
            </w:r>
          </w:p>
        </w:tc>
        <w:tc>
          <w:tcPr>
            <w:tcW w:w="940" w:type="dxa"/>
            <w:vAlign w:val="bottom"/>
            <w:tcBorders>
              <w:bottom w:val="single" w:sz="8" w:color="214E93"/>
            </w:tcBorders>
          </w:tcPr>
          <w:p>
            <w:pPr>
              <w:jc w:val="right"/>
              <w:ind w:right="2"/>
              <w:spacing w:after="0"/>
              <w:rPr>
                <w:sz w:val="20"/>
                <w:szCs w:val="20"/>
                <w:color w:val="auto"/>
              </w:rPr>
            </w:pPr>
            <w:r>
              <w:rPr>
                <w:rFonts w:ascii="Verdana" w:cs="Verdana" w:eastAsia="Verdana" w:hAnsi="Verdana"/>
                <w:sz w:val="16"/>
                <w:szCs w:val="16"/>
                <w:color w:val="auto"/>
              </w:rPr>
              <w:t>3,251</w:t>
            </w:r>
          </w:p>
        </w:tc>
        <w:tc>
          <w:tcPr>
            <w:tcW w:w="780" w:type="dxa"/>
            <w:vAlign w:val="bottom"/>
          </w:tcPr>
          <w:p>
            <w:pPr>
              <w:spacing w:after="0"/>
              <w:rPr>
                <w:sz w:val="18"/>
                <w:szCs w:val="18"/>
                <w:color w:val="auto"/>
              </w:rPr>
            </w:pPr>
          </w:p>
        </w:tc>
      </w:tr>
      <w:tr>
        <w:trPr>
          <w:trHeight w:val="211"/>
        </w:trPr>
        <w:tc>
          <w:tcPr>
            <w:tcW w:w="116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Verdana" w:cs="Verdana" w:eastAsia="Verdana" w:hAnsi="Verdana"/>
                <w:sz w:val="16"/>
                <w:szCs w:val="16"/>
                <w:color w:val="auto"/>
              </w:rPr>
              <w:t>Other current liabilities</w:t>
            </w:r>
          </w:p>
        </w:tc>
        <w:tc>
          <w:tcPr>
            <w:tcW w:w="280" w:type="dxa"/>
            <w:vAlign w:val="bottom"/>
          </w:tcPr>
          <w:p>
            <w:pPr>
              <w:jc w:val="right"/>
              <w:ind w:right="61"/>
              <w:spacing w:after="0"/>
              <w:rPr>
                <w:sz w:val="20"/>
                <w:szCs w:val="20"/>
                <w:color w:val="auto"/>
              </w:rPr>
            </w:pPr>
            <w:r>
              <w:rPr>
                <w:rFonts w:ascii="Verdana" w:cs="Verdana" w:eastAsia="Verdana" w:hAnsi="Verdana"/>
                <w:sz w:val="16"/>
                <w:szCs w:val="16"/>
                <w:color w:val="214E93"/>
              </w:rPr>
              <w:t>$</w:t>
            </w:r>
          </w:p>
        </w:tc>
        <w:tc>
          <w:tcPr>
            <w:tcW w:w="980" w:type="dxa"/>
            <w:vAlign w:val="bottom"/>
          </w:tcPr>
          <w:p>
            <w:pPr>
              <w:jc w:val="right"/>
              <w:spacing w:after="0"/>
              <w:rPr>
                <w:sz w:val="20"/>
                <w:szCs w:val="20"/>
                <w:color w:val="auto"/>
              </w:rPr>
            </w:pPr>
            <w:r>
              <w:rPr>
                <w:rFonts w:ascii="Verdana" w:cs="Verdana" w:eastAsia="Verdana" w:hAnsi="Verdana"/>
                <w:sz w:val="16"/>
                <w:szCs w:val="16"/>
                <w:color w:val="214E93"/>
              </w:rPr>
              <w:t>(1,113)</w:t>
            </w:r>
          </w:p>
        </w:tc>
        <w:tc>
          <w:tcPr>
            <w:tcW w:w="300" w:type="dxa"/>
            <w:vAlign w:val="bottom"/>
          </w:tcPr>
          <w:p>
            <w:pPr>
              <w:jc w:val="right"/>
              <w:ind w:right="61"/>
              <w:spacing w:after="0"/>
              <w:rPr>
                <w:sz w:val="20"/>
                <w:szCs w:val="20"/>
                <w:color w:val="auto"/>
              </w:rPr>
            </w:pPr>
            <w:r>
              <w:rPr>
                <w:rFonts w:ascii="Verdana" w:cs="Verdana" w:eastAsia="Verdana" w:hAnsi="Verdana"/>
                <w:sz w:val="16"/>
                <w:szCs w:val="16"/>
                <w:color w:val="auto"/>
              </w:rPr>
              <w:t>$</w:t>
            </w:r>
          </w:p>
        </w:tc>
        <w:tc>
          <w:tcPr>
            <w:tcW w:w="940" w:type="dxa"/>
            <w:vAlign w:val="bottom"/>
          </w:tcPr>
          <w:p>
            <w:pPr>
              <w:jc w:val="right"/>
              <w:spacing w:after="0"/>
              <w:rPr>
                <w:sz w:val="20"/>
                <w:szCs w:val="20"/>
                <w:color w:val="auto"/>
              </w:rPr>
            </w:pPr>
            <w:r>
              <w:rPr>
                <w:rFonts w:ascii="Verdana" w:cs="Verdana" w:eastAsia="Verdana" w:hAnsi="Verdana"/>
                <w:sz w:val="16"/>
                <w:szCs w:val="16"/>
                <w:color w:val="auto"/>
              </w:rPr>
              <w:t>(1,312)</w:t>
            </w:r>
          </w:p>
        </w:tc>
        <w:tc>
          <w:tcPr>
            <w:tcW w:w="780" w:type="dxa"/>
            <w:vAlign w:val="bottom"/>
          </w:tcPr>
          <w:p>
            <w:pPr>
              <w:spacing w:after="0"/>
              <w:rPr>
                <w:sz w:val="18"/>
                <w:szCs w:val="18"/>
                <w:color w:val="auto"/>
              </w:rPr>
            </w:pPr>
          </w:p>
        </w:tc>
      </w:tr>
      <w:tr>
        <w:trPr>
          <w:trHeight w:val="240"/>
        </w:trPr>
        <w:tc>
          <w:tcPr>
            <w:tcW w:w="1160" w:type="dxa"/>
            <w:vAlign w:val="bottom"/>
          </w:tcPr>
          <w:p>
            <w:pPr>
              <w:spacing w:after="0"/>
              <w:rPr>
                <w:sz w:val="20"/>
                <w:szCs w:val="20"/>
                <w:color w:val="auto"/>
              </w:rPr>
            </w:pPr>
          </w:p>
        </w:tc>
        <w:tc>
          <w:tcPr>
            <w:tcW w:w="7060" w:type="dxa"/>
            <w:vAlign w:val="bottom"/>
            <w:tcBorders>
              <w:bottom w:val="single" w:sz="8" w:color="auto"/>
            </w:tcBorders>
          </w:tcPr>
          <w:p>
            <w:pPr>
              <w:ind w:left="160"/>
              <w:spacing w:after="0"/>
              <w:rPr>
                <w:sz w:val="20"/>
                <w:szCs w:val="20"/>
                <w:color w:val="auto"/>
              </w:rPr>
            </w:pPr>
            <w:r>
              <w:rPr>
                <w:rFonts w:ascii="Verdana" w:cs="Verdana" w:eastAsia="Verdana" w:hAnsi="Verdana"/>
                <w:sz w:val="16"/>
                <w:szCs w:val="16"/>
                <w:color w:val="auto"/>
              </w:rPr>
              <w:t>Other long-term liabilities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214E93"/>
              </w:rPr>
              <w:t>(1,175)</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(1,021)</w:t>
            </w:r>
          </w:p>
        </w:tc>
        <w:tc>
          <w:tcPr>
            <w:tcW w:w="780" w:type="dxa"/>
            <w:vAlign w:val="bottom"/>
          </w:tcPr>
          <w:p>
            <w:pPr>
              <w:spacing w:after="0"/>
              <w:rPr>
                <w:sz w:val="20"/>
                <w:szCs w:val="20"/>
                <w:color w:val="auto"/>
              </w:rPr>
            </w:pPr>
          </w:p>
        </w:tc>
      </w:tr>
      <w:tr>
        <w:trPr>
          <w:trHeight w:val="217"/>
        </w:trPr>
        <w:tc>
          <w:tcPr>
            <w:tcW w:w="1160" w:type="dxa"/>
            <w:vAlign w:val="bottom"/>
          </w:tcPr>
          <w:p>
            <w:pPr>
              <w:spacing w:after="0"/>
              <w:rPr>
                <w:sz w:val="18"/>
                <w:szCs w:val="18"/>
                <w:color w:val="auto"/>
              </w:rPr>
            </w:pPr>
          </w:p>
        </w:tc>
        <w:tc>
          <w:tcPr>
            <w:tcW w:w="7060" w:type="dxa"/>
            <w:vAlign w:val="bottom"/>
            <w:tcBorders>
              <w:bottom w:val="single" w:sz="8" w:color="214E93"/>
            </w:tcBorders>
          </w:tcPr>
          <w:p>
            <w:pPr>
              <w:ind w:left="280"/>
              <w:spacing w:after="0"/>
              <w:rPr>
                <w:sz w:val="20"/>
                <w:szCs w:val="20"/>
                <w:color w:val="auto"/>
              </w:rPr>
            </w:pPr>
            <w:r>
              <w:rPr>
                <w:rFonts w:ascii="Verdana" w:cs="Verdana" w:eastAsia="Verdana" w:hAnsi="Verdana"/>
                <w:sz w:val="16"/>
                <w:szCs w:val="16"/>
                <w:color w:val="auto"/>
              </w:rPr>
              <w:t>Total finance lease liabilities</w:t>
            </w:r>
          </w:p>
        </w:tc>
        <w:tc>
          <w:tcPr>
            <w:tcW w:w="280" w:type="dxa"/>
            <w:vAlign w:val="bottom"/>
            <w:tcBorders>
              <w:bottom w:val="single" w:sz="8" w:color="214E93"/>
            </w:tcBorders>
          </w:tcPr>
          <w:p>
            <w:pPr>
              <w:jc w:val="right"/>
              <w:ind w:right="61"/>
              <w:spacing w:after="0"/>
              <w:rPr>
                <w:sz w:val="20"/>
                <w:szCs w:val="20"/>
                <w:color w:val="auto"/>
              </w:rPr>
            </w:pPr>
            <w:r>
              <w:rPr>
                <w:rFonts w:ascii="Verdana" w:cs="Verdana" w:eastAsia="Verdana" w:hAnsi="Verdana"/>
                <w:sz w:val="16"/>
                <w:szCs w:val="16"/>
                <w:color w:val="214E93"/>
              </w:rPr>
              <w:t>$</w:t>
            </w:r>
          </w:p>
        </w:tc>
        <w:tc>
          <w:tcPr>
            <w:tcW w:w="98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(2,288)</w:t>
            </w:r>
          </w:p>
        </w:tc>
        <w:tc>
          <w:tcPr>
            <w:tcW w:w="300" w:type="dxa"/>
            <w:vAlign w:val="bottom"/>
            <w:tcBorders>
              <w:bottom w:val="single" w:sz="8" w:color="214E93"/>
            </w:tcBorders>
          </w:tcPr>
          <w:p>
            <w:pPr>
              <w:jc w:val="right"/>
              <w:ind w:right="61"/>
              <w:spacing w:after="0"/>
              <w:rPr>
                <w:sz w:val="20"/>
                <w:szCs w:val="20"/>
                <w:color w:val="auto"/>
              </w:rPr>
            </w:pPr>
            <w:r>
              <w:rPr>
                <w:rFonts w:ascii="Verdana" w:cs="Verdana" w:eastAsia="Verdana" w:hAnsi="Verdana"/>
                <w:sz w:val="16"/>
                <w:szCs w:val="16"/>
                <w:color w:val="auto"/>
              </w:rPr>
              <w:t>$</w:t>
            </w:r>
          </w:p>
        </w:tc>
        <w:tc>
          <w:tcPr>
            <w:tcW w:w="94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(2,333)</w:t>
            </w:r>
          </w:p>
        </w:tc>
        <w:tc>
          <w:tcPr>
            <w:tcW w:w="7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-2616835</wp:posOffset>
                </wp:positionV>
                <wp:extent cx="6811645" cy="0"/>
                <wp:wrapNone/>
                <wp:docPr id="295" name="Shape 2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95" o:spid="_x0000_s13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6.0499pt" to="536.35pt,-206.0499pt" o:allowincell="f" strokecolor="#000000" strokeweight="0pt"/>
            </w:pict>
          </mc:Fallback>
        </mc:AlternateContent>
      </w:r>
    </w:p>
    <w:p>
      <w:pPr>
        <w:spacing w:after="0" w:line="200" w:lineRule="exact"/>
        <w:rPr>
          <w:sz w:val="20"/>
          <w:szCs w:val="20"/>
          <w:color w:val="auto"/>
        </w:rPr>
      </w:pPr>
    </w:p>
    <w:p>
      <w:pPr>
        <w:spacing w:after="0" w:line="335" w:lineRule="exact"/>
        <w:rPr>
          <w:sz w:val="20"/>
          <w:szCs w:val="20"/>
          <w:color w:val="auto"/>
        </w:rPr>
      </w:pPr>
    </w:p>
    <w:p>
      <w:pPr>
        <w:ind w:left="1160" w:right="1100" w:firstLine="241"/>
        <w:spacing w:after="0" w:line="252" w:lineRule="auto"/>
        <w:rPr>
          <w:sz w:val="20"/>
          <w:szCs w:val="20"/>
          <w:color w:val="auto"/>
        </w:rPr>
      </w:pPr>
      <w:r>
        <w:rPr>
          <w:rFonts w:ascii="Calibri" w:cs="Calibri" w:eastAsia="Calibri" w:hAnsi="Calibri"/>
          <w:sz w:val="18"/>
          <w:szCs w:val="18"/>
          <w:color w:val="auto"/>
        </w:rPr>
        <w:t>The following table presents supplemental consolidated cash flow information related to lease payments for the years ended December 31, 2025 and 2024, respectively (in thousands).</w:t>
      </w:r>
    </w:p>
    <w:p>
      <w:pPr>
        <w:spacing w:after="0" w:line="188" w:lineRule="exact"/>
        <w:rPr>
          <w:sz w:val="20"/>
          <w:szCs w:val="20"/>
          <w:color w:val="auto"/>
        </w:rPr>
      </w:pPr>
    </w:p>
    <w:tbl>
      <w:tblPr>
        <w:tblLayout w:type="fixed"/>
        <w:tblInd w:w="1160" w:type="dxa"/>
        <w:tblCellMar>
          <w:top w:w="0" w:type="dxa"/>
          <w:left w:w="0" w:type="dxa"/>
          <w:bottom w:w="0" w:type="dxa"/>
          <w:right w:w="0" w:type="dxa"/>
        </w:tblCellMar>
      </w:tblPr>
      <w:tr>
        <w:trPr>
          <w:trHeight w:val="193"/>
        </w:trPr>
        <w:tc>
          <w:tcPr>
            <w:tcW w:w="7060" w:type="dxa"/>
            <w:vAlign w:val="bottom"/>
          </w:tcPr>
          <w:p>
            <w:pPr>
              <w:spacing w:after="0"/>
              <w:rPr>
                <w:sz w:val="16"/>
                <w:szCs w:val="16"/>
                <w:color w:val="auto"/>
              </w:rPr>
            </w:pPr>
          </w:p>
        </w:tc>
        <w:tc>
          <w:tcPr>
            <w:tcW w:w="240" w:type="dxa"/>
            <w:vAlign w:val="bottom"/>
            <w:tcBorders>
              <w:bottom w:val="single" w:sz="8" w:color="214E93"/>
            </w:tcBorders>
          </w:tcPr>
          <w:p>
            <w:pPr>
              <w:spacing w:after="0"/>
              <w:rPr>
                <w:sz w:val="16"/>
                <w:szCs w:val="16"/>
                <w:color w:val="auto"/>
              </w:rPr>
            </w:pPr>
          </w:p>
        </w:tc>
        <w:tc>
          <w:tcPr>
            <w:tcW w:w="2260" w:type="dxa"/>
            <w:vAlign w:val="bottom"/>
            <w:tcBorders>
              <w:bottom w:val="single" w:sz="8" w:color="214E93"/>
            </w:tcBorders>
            <w:gridSpan w:val="3"/>
          </w:tcPr>
          <w:p>
            <w:pPr>
              <w:jc w:val="right"/>
              <w:ind w:right="263"/>
              <w:spacing w:after="0"/>
              <w:rPr>
                <w:sz w:val="20"/>
                <w:szCs w:val="20"/>
                <w:color w:val="auto"/>
              </w:rPr>
            </w:pPr>
            <w:r>
              <w:rPr>
                <w:rFonts w:ascii="Verdana" w:cs="Verdana" w:eastAsia="Verdana" w:hAnsi="Verdana"/>
                <w:sz w:val="14"/>
                <w:szCs w:val="14"/>
                <w:color w:val="auto"/>
              </w:rPr>
              <w:t>Year Ended December 31,</w:t>
            </w:r>
          </w:p>
        </w:tc>
      </w:tr>
      <w:tr>
        <w:trPr>
          <w:trHeight w:val="201"/>
        </w:trPr>
        <w:tc>
          <w:tcPr>
            <w:tcW w:w="7060" w:type="dxa"/>
            <w:vAlign w:val="bottom"/>
            <w:tcBorders>
              <w:bottom w:val="single" w:sz="8" w:color="214E93"/>
            </w:tcBorders>
          </w:tcPr>
          <w:p>
            <w:pPr>
              <w:spacing w:after="0"/>
              <w:rPr>
                <w:sz w:val="17"/>
                <w:szCs w:val="17"/>
                <w:color w:val="auto"/>
              </w:rPr>
            </w:pPr>
          </w:p>
        </w:tc>
        <w:tc>
          <w:tcPr>
            <w:tcW w:w="240" w:type="dxa"/>
            <w:vAlign w:val="bottom"/>
            <w:tcBorders>
              <w:bottom w:val="single" w:sz="8" w:color="214E93"/>
            </w:tcBorders>
          </w:tcPr>
          <w:p>
            <w:pPr>
              <w:spacing w:after="0"/>
              <w:rPr>
                <w:sz w:val="17"/>
                <w:szCs w:val="17"/>
                <w:color w:val="auto"/>
              </w:rPr>
            </w:pPr>
          </w:p>
        </w:tc>
        <w:tc>
          <w:tcPr>
            <w:tcW w:w="1000" w:type="dxa"/>
            <w:vAlign w:val="bottom"/>
            <w:tcBorders>
              <w:bottom w:val="single" w:sz="8" w:color="214E93"/>
            </w:tcBorders>
          </w:tcPr>
          <w:p>
            <w:pPr>
              <w:jc w:val="right"/>
              <w:ind w:right="385"/>
              <w:spacing w:after="0"/>
              <w:rPr>
                <w:sz w:val="20"/>
                <w:szCs w:val="20"/>
                <w:color w:val="auto"/>
              </w:rPr>
            </w:pPr>
            <w:r>
              <w:rPr>
                <w:rFonts w:ascii="Verdana" w:cs="Verdana" w:eastAsia="Verdana" w:hAnsi="Verdana"/>
                <w:sz w:val="14"/>
                <w:szCs w:val="14"/>
                <w:color w:val="214E93"/>
              </w:rPr>
              <w:t>2025</w:t>
            </w:r>
          </w:p>
        </w:tc>
        <w:tc>
          <w:tcPr>
            <w:tcW w:w="340" w:type="dxa"/>
            <w:vAlign w:val="bottom"/>
            <w:tcBorders>
              <w:bottom w:val="single" w:sz="8" w:color="214E93"/>
            </w:tcBorders>
          </w:tcPr>
          <w:p>
            <w:pPr>
              <w:spacing w:after="0"/>
              <w:rPr>
                <w:sz w:val="17"/>
                <w:szCs w:val="17"/>
                <w:color w:val="auto"/>
              </w:rPr>
            </w:pPr>
          </w:p>
        </w:tc>
        <w:tc>
          <w:tcPr>
            <w:tcW w:w="920" w:type="dxa"/>
            <w:vAlign w:val="bottom"/>
            <w:tcBorders>
              <w:bottom w:val="single" w:sz="8" w:color="214E93"/>
            </w:tcBorders>
          </w:tcPr>
          <w:p>
            <w:pPr>
              <w:jc w:val="right"/>
              <w:ind w:right="363"/>
              <w:spacing w:after="0"/>
              <w:rPr>
                <w:sz w:val="20"/>
                <w:szCs w:val="20"/>
                <w:color w:val="auto"/>
              </w:rPr>
            </w:pPr>
            <w:r>
              <w:rPr>
                <w:rFonts w:ascii="Verdana" w:cs="Verdana" w:eastAsia="Verdana" w:hAnsi="Verdana"/>
                <w:sz w:val="14"/>
                <w:szCs w:val="14"/>
                <w:color w:val="auto"/>
              </w:rPr>
              <w:t>2024</w:t>
            </w:r>
          </w:p>
        </w:tc>
      </w:tr>
      <w:tr>
        <w:trPr>
          <w:trHeight w:val="211"/>
        </w:trPr>
        <w:tc>
          <w:tcPr>
            <w:tcW w:w="7060" w:type="dxa"/>
            <w:vAlign w:val="bottom"/>
          </w:tcPr>
          <w:p>
            <w:pPr>
              <w:ind w:left="40"/>
              <w:spacing w:after="0"/>
              <w:rPr>
                <w:sz w:val="20"/>
                <w:szCs w:val="20"/>
                <w:color w:val="auto"/>
              </w:rPr>
            </w:pPr>
            <w:r>
              <w:rPr>
                <w:rFonts w:ascii="Verdana" w:cs="Verdana" w:eastAsia="Verdana" w:hAnsi="Verdana"/>
                <w:sz w:val="16"/>
                <w:szCs w:val="16"/>
                <w:color w:val="auto"/>
              </w:rPr>
              <w:t>Cash paid related to lease liabilities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5"/>
        </w:trPr>
        <w:tc>
          <w:tcPr>
            <w:tcW w:w="7060" w:type="dxa"/>
            <w:vAlign w:val="bottom"/>
          </w:tcPr>
          <w:p>
            <w:pPr>
              <w:ind w:left="160"/>
              <w:spacing w:after="0"/>
              <w:rPr>
                <w:sz w:val="20"/>
                <w:szCs w:val="20"/>
                <w:color w:val="auto"/>
              </w:rPr>
            </w:pPr>
            <w:r>
              <w:rPr>
                <w:rFonts w:ascii="Verdana" w:cs="Verdana" w:eastAsia="Verdana" w:hAnsi="Verdana"/>
                <w:sz w:val="16"/>
                <w:szCs w:val="16"/>
                <w:color w:val="auto"/>
              </w:rPr>
              <w:t>Operating cash payments for operating leases</w:t>
            </w:r>
          </w:p>
        </w:tc>
        <w:tc>
          <w:tcPr>
            <w:tcW w:w="240" w:type="dxa"/>
            <w:vAlign w:val="bottom"/>
          </w:tcPr>
          <w:p>
            <w:pPr>
              <w:jc w:val="right"/>
              <w:ind w:right="21"/>
              <w:spacing w:after="0"/>
              <w:rPr>
                <w:sz w:val="20"/>
                <w:szCs w:val="20"/>
                <w:color w:val="auto"/>
              </w:rPr>
            </w:pPr>
            <w:r>
              <w:rPr>
                <w:rFonts w:ascii="Verdana" w:cs="Verdana" w:eastAsia="Verdana" w:hAnsi="Verdana"/>
                <w:sz w:val="16"/>
                <w:szCs w:val="16"/>
                <w:color w:val="214E93"/>
              </w:rPr>
              <w:t>$</w:t>
            </w:r>
          </w:p>
        </w:tc>
        <w:tc>
          <w:tcPr>
            <w:tcW w:w="1000" w:type="dxa"/>
            <w:vAlign w:val="bottom"/>
          </w:tcPr>
          <w:p>
            <w:pPr>
              <w:jc w:val="right"/>
              <w:ind w:right="25"/>
              <w:spacing w:after="0"/>
              <w:rPr>
                <w:sz w:val="20"/>
                <w:szCs w:val="20"/>
                <w:color w:val="auto"/>
              </w:rPr>
            </w:pPr>
            <w:r>
              <w:rPr>
                <w:rFonts w:ascii="Verdana" w:cs="Verdana" w:eastAsia="Verdana" w:hAnsi="Verdana"/>
                <w:sz w:val="16"/>
                <w:szCs w:val="16"/>
                <w:color w:val="214E93"/>
              </w:rPr>
              <w:t>36,725</w:t>
            </w:r>
          </w:p>
        </w:tc>
        <w:tc>
          <w:tcPr>
            <w:tcW w:w="340" w:type="dxa"/>
            <w:vAlign w:val="bottom"/>
          </w:tcPr>
          <w:p>
            <w:pPr>
              <w:jc w:val="right"/>
              <w:ind w:right="81"/>
              <w:spacing w:after="0"/>
              <w:rPr>
                <w:sz w:val="20"/>
                <w:szCs w:val="20"/>
                <w:color w:val="auto"/>
              </w:rPr>
            </w:pPr>
            <w:r>
              <w:rPr>
                <w:rFonts w:ascii="Verdana" w:cs="Verdana" w:eastAsia="Verdana" w:hAnsi="Verdana"/>
                <w:sz w:val="16"/>
                <w:szCs w:val="16"/>
                <w:color w:val="auto"/>
              </w:rPr>
              <w:t>$</w:t>
            </w:r>
          </w:p>
        </w:tc>
        <w:tc>
          <w:tcPr>
            <w:tcW w:w="920" w:type="dxa"/>
            <w:vAlign w:val="bottom"/>
          </w:tcPr>
          <w:p>
            <w:pPr>
              <w:jc w:val="right"/>
              <w:ind w:right="3"/>
              <w:spacing w:after="0"/>
              <w:rPr>
                <w:sz w:val="20"/>
                <w:szCs w:val="20"/>
                <w:color w:val="auto"/>
              </w:rPr>
            </w:pPr>
            <w:r>
              <w:rPr>
                <w:rFonts w:ascii="Verdana" w:cs="Verdana" w:eastAsia="Verdana" w:hAnsi="Verdana"/>
                <w:sz w:val="16"/>
                <w:szCs w:val="16"/>
                <w:color w:val="auto"/>
              </w:rPr>
              <w:t>37,155</w:t>
            </w:r>
          </w:p>
        </w:tc>
      </w:tr>
      <w:tr>
        <w:trPr>
          <w:trHeight w:val="236"/>
        </w:trPr>
        <w:tc>
          <w:tcPr>
            <w:tcW w:w="7060" w:type="dxa"/>
            <w:vAlign w:val="bottom"/>
          </w:tcPr>
          <w:p>
            <w:pPr>
              <w:ind w:left="160"/>
              <w:spacing w:after="0"/>
              <w:rPr>
                <w:sz w:val="20"/>
                <w:szCs w:val="20"/>
                <w:color w:val="auto"/>
              </w:rPr>
            </w:pPr>
            <w:r>
              <w:rPr>
                <w:rFonts w:ascii="Verdana" w:cs="Verdana" w:eastAsia="Verdana" w:hAnsi="Verdana"/>
                <w:sz w:val="16"/>
                <w:szCs w:val="16"/>
                <w:color w:val="auto"/>
              </w:rPr>
              <w:t>Investing cash payments for operating leases</w:t>
            </w:r>
          </w:p>
        </w:tc>
        <w:tc>
          <w:tcPr>
            <w:tcW w:w="240" w:type="dxa"/>
            <w:vAlign w:val="bottom"/>
          </w:tcPr>
          <w:p>
            <w:pPr>
              <w:jc w:val="right"/>
              <w:ind w:right="21"/>
              <w:spacing w:after="0"/>
              <w:rPr>
                <w:sz w:val="20"/>
                <w:szCs w:val="20"/>
                <w:color w:val="auto"/>
              </w:rPr>
            </w:pPr>
            <w:r>
              <w:rPr>
                <w:rFonts w:ascii="Verdana" w:cs="Verdana" w:eastAsia="Verdana" w:hAnsi="Verdana"/>
                <w:sz w:val="16"/>
                <w:szCs w:val="16"/>
                <w:color w:val="214E93"/>
              </w:rPr>
              <w:t>$</w:t>
            </w:r>
          </w:p>
        </w:tc>
        <w:tc>
          <w:tcPr>
            <w:tcW w:w="1000" w:type="dxa"/>
            <w:vAlign w:val="bottom"/>
          </w:tcPr>
          <w:p>
            <w:pPr>
              <w:jc w:val="right"/>
              <w:ind w:right="25"/>
              <w:spacing w:after="0"/>
              <w:rPr>
                <w:sz w:val="20"/>
                <w:szCs w:val="20"/>
                <w:color w:val="auto"/>
              </w:rPr>
            </w:pPr>
            <w:r>
              <w:rPr>
                <w:rFonts w:ascii="Verdana" w:cs="Verdana" w:eastAsia="Verdana" w:hAnsi="Verdana"/>
                <w:sz w:val="16"/>
                <w:szCs w:val="16"/>
                <w:color w:val="214E93"/>
              </w:rPr>
              <w:t>84,663</w:t>
            </w:r>
          </w:p>
        </w:tc>
        <w:tc>
          <w:tcPr>
            <w:tcW w:w="340" w:type="dxa"/>
            <w:vAlign w:val="bottom"/>
          </w:tcPr>
          <w:p>
            <w:pPr>
              <w:jc w:val="right"/>
              <w:ind w:right="81"/>
              <w:spacing w:after="0"/>
              <w:rPr>
                <w:sz w:val="20"/>
                <w:szCs w:val="20"/>
                <w:color w:val="auto"/>
              </w:rPr>
            </w:pPr>
            <w:r>
              <w:rPr>
                <w:rFonts w:ascii="Verdana" w:cs="Verdana" w:eastAsia="Verdana" w:hAnsi="Verdana"/>
                <w:sz w:val="16"/>
                <w:szCs w:val="16"/>
                <w:color w:val="auto"/>
              </w:rPr>
              <w:t>$</w:t>
            </w:r>
          </w:p>
        </w:tc>
        <w:tc>
          <w:tcPr>
            <w:tcW w:w="920" w:type="dxa"/>
            <w:vAlign w:val="bottom"/>
          </w:tcPr>
          <w:p>
            <w:pPr>
              <w:jc w:val="right"/>
              <w:ind w:right="3"/>
              <w:spacing w:after="0"/>
              <w:rPr>
                <w:sz w:val="20"/>
                <w:szCs w:val="20"/>
                <w:color w:val="auto"/>
              </w:rPr>
            </w:pPr>
            <w:r>
              <w:rPr>
                <w:rFonts w:ascii="Verdana" w:cs="Verdana" w:eastAsia="Verdana" w:hAnsi="Verdana"/>
                <w:sz w:val="16"/>
                <w:szCs w:val="16"/>
                <w:color w:val="auto"/>
              </w:rPr>
              <w:t>87,776</w:t>
            </w:r>
          </w:p>
        </w:tc>
      </w:tr>
      <w:tr>
        <w:trPr>
          <w:trHeight w:val="236"/>
        </w:trPr>
        <w:tc>
          <w:tcPr>
            <w:tcW w:w="7060" w:type="dxa"/>
            <w:vAlign w:val="bottom"/>
          </w:tcPr>
          <w:p>
            <w:pPr>
              <w:ind w:left="160"/>
              <w:spacing w:after="0"/>
              <w:rPr>
                <w:sz w:val="20"/>
                <w:szCs w:val="20"/>
                <w:color w:val="auto"/>
              </w:rPr>
            </w:pPr>
            <w:r>
              <w:rPr>
                <w:rFonts w:ascii="Verdana" w:cs="Verdana" w:eastAsia="Verdana" w:hAnsi="Verdana"/>
                <w:sz w:val="16"/>
                <w:szCs w:val="16"/>
                <w:color w:val="auto"/>
              </w:rPr>
              <w:t>Financing cash payments for finance leases</w:t>
            </w:r>
          </w:p>
        </w:tc>
        <w:tc>
          <w:tcPr>
            <w:tcW w:w="240" w:type="dxa"/>
            <w:vAlign w:val="bottom"/>
          </w:tcPr>
          <w:p>
            <w:pPr>
              <w:jc w:val="right"/>
              <w:ind w:right="21"/>
              <w:spacing w:after="0"/>
              <w:rPr>
                <w:sz w:val="20"/>
                <w:szCs w:val="20"/>
                <w:color w:val="auto"/>
              </w:rPr>
            </w:pPr>
            <w:r>
              <w:rPr>
                <w:rFonts w:ascii="Verdana" w:cs="Verdana" w:eastAsia="Verdana" w:hAnsi="Verdana"/>
                <w:sz w:val="16"/>
                <w:szCs w:val="16"/>
                <w:color w:val="214E93"/>
              </w:rPr>
              <w:t>$</w:t>
            </w:r>
          </w:p>
        </w:tc>
        <w:tc>
          <w:tcPr>
            <w:tcW w:w="1000" w:type="dxa"/>
            <w:vAlign w:val="bottom"/>
          </w:tcPr>
          <w:p>
            <w:pPr>
              <w:jc w:val="right"/>
              <w:ind w:right="25"/>
              <w:spacing w:after="0"/>
              <w:rPr>
                <w:sz w:val="20"/>
                <w:szCs w:val="20"/>
                <w:color w:val="auto"/>
              </w:rPr>
            </w:pPr>
            <w:r>
              <w:rPr>
                <w:rFonts w:ascii="Verdana" w:cs="Verdana" w:eastAsia="Verdana" w:hAnsi="Verdana"/>
                <w:sz w:val="16"/>
                <w:szCs w:val="16"/>
                <w:color w:val="214E93"/>
              </w:rPr>
              <w:t>1,466</w:t>
            </w:r>
          </w:p>
        </w:tc>
        <w:tc>
          <w:tcPr>
            <w:tcW w:w="340" w:type="dxa"/>
            <w:vAlign w:val="bottom"/>
          </w:tcPr>
          <w:p>
            <w:pPr>
              <w:jc w:val="right"/>
              <w:ind w:right="81"/>
              <w:spacing w:after="0"/>
              <w:rPr>
                <w:sz w:val="20"/>
                <w:szCs w:val="20"/>
                <w:color w:val="auto"/>
              </w:rPr>
            </w:pPr>
            <w:r>
              <w:rPr>
                <w:rFonts w:ascii="Verdana" w:cs="Verdana" w:eastAsia="Verdana" w:hAnsi="Verdana"/>
                <w:sz w:val="16"/>
                <w:szCs w:val="16"/>
                <w:color w:val="auto"/>
              </w:rPr>
              <w:t>$</w:t>
            </w:r>
          </w:p>
        </w:tc>
        <w:tc>
          <w:tcPr>
            <w:tcW w:w="920" w:type="dxa"/>
            <w:vAlign w:val="bottom"/>
          </w:tcPr>
          <w:p>
            <w:pPr>
              <w:jc w:val="right"/>
              <w:ind w:right="3"/>
              <w:spacing w:after="0"/>
              <w:rPr>
                <w:sz w:val="20"/>
                <w:szCs w:val="20"/>
                <w:color w:val="auto"/>
              </w:rPr>
            </w:pPr>
            <w:r>
              <w:rPr>
                <w:rFonts w:ascii="Verdana" w:cs="Verdana" w:eastAsia="Verdana" w:hAnsi="Verdana"/>
                <w:sz w:val="16"/>
                <w:szCs w:val="16"/>
                <w:color w:val="auto"/>
              </w:rPr>
              <w:t>1,257</w:t>
            </w:r>
          </w:p>
        </w:tc>
      </w:tr>
      <w:tr>
        <w:trPr>
          <w:trHeight w:val="527"/>
        </w:trPr>
        <w:tc>
          <w:tcPr>
            <w:tcW w:w="7060" w:type="dxa"/>
            <w:vAlign w:val="bottom"/>
          </w:tcPr>
          <w:p>
            <w:pPr>
              <w:ind w:left="40"/>
              <w:spacing w:after="0"/>
              <w:rPr>
                <w:sz w:val="20"/>
                <w:szCs w:val="20"/>
                <w:color w:val="auto"/>
              </w:rPr>
            </w:pPr>
            <w:r>
              <w:rPr>
                <w:rFonts w:ascii="Verdana" w:cs="Verdana" w:eastAsia="Verdana" w:hAnsi="Verdana"/>
                <w:sz w:val="16"/>
                <w:szCs w:val="16"/>
                <w:color w:val="auto"/>
              </w:rPr>
              <w:t>Right of use assets obtained in exchange for lease obligations entered into during the</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1"/>
        </w:trPr>
        <w:tc>
          <w:tcPr>
            <w:tcW w:w="7060" w:type="dxa"/>
            <w:vAlign w:val="bottom"/>
          </w:tcPr>
          <w:p>
            <w:pPr>
              <w:ind w:left="40"/>
              <w:spacing w:after="0"/>
              <w:rPr>
                <w:sz w:val="20"/>
                <w:szCs w:val="20"/>
                <w:color w:val="auto"/>
              </w:rPr>
            </w:pPr>
            <w:r>
              <w:rPr>
                <w:rFonts w:ascii="Verdana" w:cs="Verdana" w:eastAsia="Verdana" w:hAnsi="Verdana"/>
                <w:sz w:val="16"/>
                <w:szCs w:val="16"/>
                <w:color w:val="auto"/>
              </w:rPr>
              <w:t>period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6"/>
        </w:trPr>
        <w:tc>
          <w:tcPr>
            <w:tcW w:w="7060" w:type="dxa"/>
            <w:vAlign w:val="bottom"/>
          </w:tcPr>
          <w:p>
            <w:pPr>
              <w:ind w:left="160"/>
              <w:spacing w:after="0"/>
              <w:rPr>
                <w:sz w:val="20"/>
                <w:szCs w:val="20"/>
                <w:color w:val="auto"/>
              </w:rPr>
            </w:pPr>
            <w:r>
              <w:rPr>
                <w:rFonts w:ascii="Verdana" w:cs="Verdana" w:eastAsia="Verdana" w:hAnsi="Verdana"/>
                <w:sz w:val="16"/>
                <w:szCs w:val="16"/>
                <w:color w:val="auto"/>
              </w:rPr>
              <w:t>Operating leases</w:t>
            </w:r>
          </w:p>
        </w:tc>
        <w:tc>
          <w:tcPr>
            <w:tcW w:w="240" w:type="dxa"/>
            <w:vAlign w:val="bottom"/>
          </w:tcPr>
          <w:p>
            <w:pPr>
              <w:jc w:val="right"/>
              <w:ind w:right="21"/>
              <w:spacing w:after="0"/>
              <w:rPr>
                <w:sz w:val="20"/>
                <w:szCs w:val="20"/>
                <w:color w:val="auto"/>
              </w:rPr>
            </w:pPr>
            <w:r>
              <w:rPr>
                <w:rFonts w:ascii="Verdana" w:cs="Verdana" w:eastAsia="Verdana" w:hAnsi="Verdana"/>
                <w:sz w:val="16"/>
                <w:szCs w:val="16"/>
                <w:color w:val="214E93"/>
              </w:rPr>
              <w:t>$</w:t>
            </w:r>
          </w:p>
        </w:tc>
        <w:tc>
          <w:tcPr>
            <w:tcW w:w="1000" w:type="dxa"/>
            <w:vAlign w:val="bottom"/>
          </w:tcPr>
          <w:p>
            <w:pPr>
              <w:jc w:val="right"/>
              <w:ind w:right="25"/>
              <w:spacing w:after="0"/>
              <w:rPr>
                <w:sz w:val="20"/>
                <w:szCs w:val="20"/>
                <w:color w:val="auto"/>
              </w:rPr>
            </w:pPr>
            <w:r>
              <w:rPr>
                <w:rFonts w:ascii="Verdana" w:cs="Verdana" w:eastAsia="Verdana" w:hAnsi="Verdana"/>
                <w:sz w:val="16"/>
                <w:szCs w:val="16"/>
                <w:color w:val="214E93"/>
              </w:rPr>
              <w:t>139,400</w:t>
            </w:r>
          </w:p>
        </w:tc>
        <w:tc>
          <w:tcPr>
            <w:tcW w:w="340" w:type="dxa"/>
            <w:vAlign w:val="bottom"/>
          </w:tcPr>
          <w:p>
            <w:pPr>
              <w:jc w:val="right"/>
              <w:ind w:right="81"/>
              <w:spacing w:after="0"/>
              <w:rPr>
                <w:sz w:val="20"/>
                <w:szCs w:val="20"/>
                <w:color w:val="auto"/>
              </w:rPr>
            </w:pPr>
            <w:r>
              <w:rPr>
                <w:rFonts w:ascii="Verdana" w:cs="Verdana" w:eastAsia="Verdana" w:hAnsi="Verdana"/>
                <w:sz w:val="16"/>
                <w:szCs w:val="16"/>
                <w:color w:val="auto"/>
              </w:rPr>
              <w:t>$</w:t>
            </w:r>
          </w:p>
        </w:tc>
        <w:tc>
          <w:tcPr>
            <w:tcW w:w="920" w:type="dxa"/>
            <w:vAlign w:val="bottom"/>
          </w:tcPr>
          <w:p>
            <w:pPr>
              <w:jc w:val="right"/>
              <w:ind w:right="3"/>
              <w:spacing w:after="0"/>
              <w:rPr>
                <w:sz w:val="20"/>
                <w:szCs w:val="20"/>
                <w:color w:val="auto"/>
              </w:rPr>
            </w:pPr>
            <w:r>
              <w:rPr>
                <w:rFonts w:ascii="Verdana" w:cs="Verdana" w:eastAsia="Verdana" w:hAnsi="Verdana"/>
                <w:sz w:val="16"/>
                <w:szCs w:val="16"/>
                <w:color w:val="auto"/>
              </w:rPr>
              <w:t>207,279</w:t>
            </w:r>
          </w:p>
        </w:tc>
      </w:tr>
      <w:tr>
        <w:trPr>
          <w:trHeight w:val="236"/>
        </w:trPr>
        <w:tc>
          <w:tcPr>
            <w:tcW w:w="7060" w:type="dxa"/>
            <w:vAlign w:val="bottom"/>
          </w:tcPr>
          <w:p>
            <w:pPr>
              <w:ind w:left="160"/>
              <w:spacing w:after="0"/>
              <w:rPr>
                <w:sz w:val="20"/>
                <w:szCs w:val="20"/>
                <w:color w:val="auto"/>
              </w:rPr>
            </w:pPr>
            <w:r>
              <w:rPr>
                <w:rFonts w:ascii="Verdana" w:cs="Verdana" w:eastAsia="Verdana" w:hAnsi="Verdana"/>
                <w:sz w:val="16"/>
                <w:szCs w:val="16"/>
                <w:color w:val="auto"/>
              </w:rPr>
              <w:t>Finance leases</w:t>
            </w:r>
          </w:p>
        </w:tc>
        <w:tc>
          <w:tcPr>
            <w:tcW w:w="240" w:type="dxa"/>
            <w:vAlign w:val="bottom"/>
          </w:tcPr>
          <w:p>
            <w:pPr>
              <w:jc w:val="right"/>
              <w:ind w:right="21"/>
              <w:spacing w:after="0"/>
              <w:rPr>
                <w:sz w:val="20"/>
                <w:szCs w:val="20"/>
                <w:color w:val="auto"/>
              </w:rPr>
            </w:pPr>
            <w:r>
              <w:rPr>
                <w:rFonts w:ascii="Verdana" w:cs="Verdana" w:eastAsia="Verdana" w:hAnsi="Verdana"/>
                <w:sz w:val="16"/>
                <w:szCs w:val="16"/>
                <w:color w:val="214E93"/>
              </w:rPr>
              <w:t>$</w:t>
            </w:r>
          </w:p>
        </w:tc>
        <w:tc>
          <w:tcPr>
            <w:tcW w:w="1000" w:type="dxa"/>
            <w:vAlign w:val="bottom"/>
          </w:tcPr>
          <w:p>
            <w:pPr>
              <w:jc w:val="right"/>
              <w:ind w:right="25"/>
              <w:spacing w:after="0"/>
              <w:rPr>
                <w:sz w:val="20"/>
                <w:szCs w:val="20"/>
                <w:color w:val="auto"/>
              </w:rPr>
            </w:pPr>
            <w:r>
              <w:rPr>
                <w:rFonts w:ascii="Verdana" w:cs="Verdana" w:eastAsia="Verdana" w:hAnsi="Verdana"/>
                <w:sz w:val="16"/>
                <w:szCs w:val="16"/>
                <w:color w:val="214E93"/>
              </w:rPr>
              <w:t>1,421</w:t>
            </w:r>
          </w:p>
        </w:tc>
        <w:tc>
          <w:tcPr>
            <w:tcW w:w="340" w:type="dxa"/>
            <w:vAlign w:val="bottom"/>
          </w:tcPr>
          <w:p>
            <w:pPr>
              <w:jc w:val="right"/>
              <w:ind w:right="81"/>
              <w:spacing w:after="0"/>
              <w:rPr>
                <w:sz w:val="20"/>
                <w:szCs w:val="20"/>
                <w:color w:val="auto"/>
              </w:rPr>
            </w:pPr>
            <w:r>
              <w:rPr>
                <w:rFonts w:ascii="Verdana" w:cs="Verdana" w:eastAsia="Verdana" w:hAnsi="Verdana"/>
                <w:sz w:val="16"/>
                <w:szCs w:val="16"/>
                <w:color w:val="auto"/>
              </w:rPr>
              <w:t>$</w:t>
            </w:r>
          </w:p>
        </w:tc>
        <w:tc>
          <w:tcPr>
            <w:tcW w:w="920" w:type="dxa"/>
            <w:vAlign w:val="bottom"/>
          </w:tcPr>
          <w:p>
            <w:pPr>
              <w:jc w:val="right"/>
              <w:ind w:right="3"/>
              <w:spacing w:after="0"/>
              <w:rPr>
                <w:sz w:val="20"/>
                <w:szCs w:val="20"/>
                <w:color w:val="auto"/>
              </w:rPr>
            </w:pPr>
            <w:r>
              <w:rPr>
                <w:rFonts w:ascii="Verdana" w:cs="Verdana" w:eastAsia="Verdana" w:hAnsi="Verdana"/>
                <w:sz w:val="16"/>
                <w:szCs w:val="16"/>
                <w:color w:val="auto"/>
              </w:rPr>
              <w:t>1,467</w:t>
            </w:r>
          </w:p>
        </w:tc>
      </w:tr>
      <w:tr>
        <w:trPr>
          <w:trHeight w:val="477"/>
        </w:trPr>
        <w:tc>
          <w:tcPr>
            <w:tcW w:w="7060" w:type="dxa"/>
            <w:vAlign w:val="bottom"/>
          </w:tcPr>
          <w:p>
            <w:pPr>
              <w:ind w:left="240"/>
              <w:spacing w:after="0"/>
              <w:rPr>
                <w:sz w:val="20"/>
                <w:szCs w:val="20"/>
                <w:color w:val="auto"/>
              </w:rPr>
            </w:pPr>
            <w:r>
              <w:rPr>
                <w:rFonts w:ascii="Calibri" w:cs="Calibri" w:eastAsia="Calibri" w:hAnsi="Calibri"/>
                <w:sz w:val="18"/>
                <w:szCs w:val="18"/>
                <w:color w:val="auto"/>
                <w:w w:val="98"/>
              </w:rPr>
              <w:t>The following table presents the maturities of lease liabilities at December 31, 2025 (in years).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1"/>
        </w:trPr>
        <w:tc>
          <w:tcPr>
            <w:tcW w:w="7060" w:type="dxa"/>
            <w:vAlign w:val="bottom"/>
            <w:tcBorders>
              <w:bottom w:val="single" w:sz="8" w:color="214E93"/>
            </w:tcBorders>
          </w:tcPr>
          <w:p>
            <w:pPr>
              <w:ind w:left="40"/>
              <w:spacing w:after="0"/>
              <w:rPr>
                <w:sz w:val="20"/>
                <w:szCs w:val="20"/>
                <w:color w:val="auto"/>
              </w:rPr>
            </w:pPr>
            <w:r>
              <w:rPr>
                <w:rFonts w:ascii="Verdana" w:cs="Verdana" w:eastAsia="Verdana" w:hAnsi="Verdana"/>
                <w:sz w:val="14"/>
                <w:szCs w:val="14"/>
                <w:color w:val="auto"/>
              </w:rPr>
              <w:t>Weighted-Average Remaining Lease Term</w:t>
            </w:r>
          </w:p>
        </w:tc>
        <w:tc>
          <w:tcPr>
            <w:tcW w:w="240" w:type="dxa"/>
            <w:vAlign w:val="bottom"/>
            <w:tcBorders>
              <w:bottom w:val="single" w:sz="8" w:color="214E93"/>
            </w:tcBorders>
          </w:tcPr>
          <w:p>
            <w:pPr>
              <w:spacing w:after="0"/>
              <w:rPr>
                <w:sz w:val="24"/>
                <w:szCs w:val="24"/>
                <w:color w:val="auto"/>
              </w:rPr>
            </w:pPr>
          </w:p>
        </w:tc>
        <w:tc>
          <w:tcPr>
            <w:tcW w:w="2260" w:type="dxa"/>
            <w:vAlign w:val="bottom"/>
            <w:tcBorders>
              <w:bottom w:val="single" w:sz="8" w:color="214E93"/>
            </w:tcBorders>
            <w:gridSpan w:val="3"/>
          </w:tcPr>
          <w:p>
            <w:pPr>
              <w:jc w:val="right"/>
              <w:ind w:right="143"/>
              <w:spacing w:after="0"/>
              <w:rPr>
                <w:sz w:val="20"/>
                <w:szCs w:val="20"/>
                <w:color w:val="auto"/>
              </w:rPr>
            </w:pPr>
            <w:r>
              <w:rPr>
                <w:rFonts w:ascii="Verdana" w:cs="Verdana" w:eastAsia="Verdana" w:hAnsi="Verdana"/>
                <w:sz w:val="14"/>
                <w:szCs w:val="14"/>
                <w:color w:val="214E93"/>
              </w:rPr>
              <w:t>December 31, 2025</w:t>
            </w:r>
          </w:p>
        </w:tc>
      </w:tr>
      <w:tr>
        <w:trPr>
          <w:trHeight w:val="211"/>
        </w:trPr>
        <w:tc>
          <w:tcPr>
            <w:tcW w:w="7060" w:type="dxa"/>
            <w:vAlign w:val="bottom"/>
          </w:tcPr>
          <w:p>
            <w:pPr>
              <w:ind w:left="40"/>
              <w:spacing w:after="0"/>
              <w:rPr>
                <w:sz w:val="20"/>
                <w:szCs w:val="20"/>
                <w:color w:val="auto"/>
              </w:rPr>
            </w:pPr>
            <w:r>
              <w:rPr>
                <w:rFonts w:ascii="Verdana" w:cs="Verdana" w:eastAsia="Verdana" w:hAnsi="Verdana"/>
                <w:sz w:val="16"/>
                <w:szCs w:val="16"/>
                <w:color w:val="auto"/>
              </w:rPr>
              <w:t>Operating leases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Verdana" w:cs="Verdana" w:eastAsia="Verdana" w:hAnsi="Verdana"/>
                <w:sz w:val="16"/>
                <w:szCs w:val="16"/>
                <w:color w:val="214E93"/>
              </w:rPr>
              <w:t>7.3</w:t>
            </w:r>
          </w:p>
        </w:tc>
      </w:tr>
      <w:tr>
        <w:trPr>
          <w:trHeight w:val="235"/>
        </w:trPr>
        <w:tc>
          <w:tcPr>
            <w:tcW w:w="7060" w:type="dxa"/>
            <w:vAlign w:val="bottom"/>
          </w:tcPr>
          <w:p>
            <w:pPr>
              <w:ind w:left="40"/>
              <w:spacing w:after="0"/>
              <w:rPr>
                <w:sz w:val="20"/>
                <w:szCs w:val="20"/>
                <w:color w:val="auto"/>
              </w:rPr>
            </w:pPr>
            <w:r>
              <w:rPr>
                <w:rFonts w:ascii="Verdana" w:cs="Verdana" w:eastAsia="Verdana" w:hAnsi="Verdana"/>
                <w:sz w:val="16"/>
                <w:szCs w:val="16"/>
                <w:color w:val="auto"/>
              </w:rPr>
              <w:t>Finance leases</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Verdana" w:cs="Verdana" w:eastAsia="Verdana" w:hAnsi="Verdana"/>
                <w:sz w:val="16"/>
                <w:szCs w:val="16"/>
                <w:color w:val="214E93"/>
              </w:rPr>
              <w:t>1.9</w:t>
            </w:r>
          </w:p>
        </w:tc>
      </w:tr>
    </w:tbl>
    <w:p>
      <w:pPr>
        <w:spacing w:after="0" w:line="20" w:lineRule="exact"/>
        <w:rPr>
          <w:sz w:val="20"/>
          <w:szCs w:val="20"/>
          <w:color w:val="auto"/>
        </w:rPr>
      </w:pPr>
    </w:p>
    <w:p>
      <w:pPr>
        <w:sectPr>
          <w:pgSz w:w="11880" w:h="15480" w:orient="portrait"/>
          <w:cols w:equalWidth="0" w:num="1">
            <w:col w:w="11500"/>
          </w:cols>
          <w:pgMar w:left="0" w:top="498"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060"/>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1500"/>
          </w:cols>
          <w:pgMar w:left="0" w:top="498" w:right="380" w:bottom="0" w:gutter="0" w:footer="0" w:header="0"/>
          <w:type w:val="continuous"/>
        </w:sectPr>
      </w:pPr>
    </w:p>
    <w:bookmarkStart w:id="149" w:name="page150"/>
    <w:bookmarkEnd w:id="149"/>
    <w:p>
      <w:pPr>
        <w:spacing w:after="0"/>
        <w:tabs>
          <w:tab w:leader="none" w:pos="800" w:val="left"/>
        </w:tabs>
        <w:rPr>
          <w:sz w:val="20"/>
          <w:szCs w:val="20"/>
          <w:color w:val="auto"/>
        </w:rPr>
      </w:pPr>
      <w:r>
        <w:rPr>
          <w:rFonts w:ascii="Calibri" w:cs="Calibri" w:eastAsia="Calibri" w:hAnsi="Calibri"/>
          <w:sz w:val="18"/>
          <w:szCs w:val="18"/>
          <w:color w:val="auto"/>
        </w:rPr>
        <w:t>F-19</w:t>
      </w:r>
      <w:r>
        <w:rPr>
          <w:sz w:val="20"/>
          <w:szCs w:val="20"/>
          <w:color w:val="auto"/>
        </w:rPr>
        <w:tab/>
      </w:r>
      <w:r>
        <w:rPr>
          <w:rFonts w:ascii="Calibri" w:cs="Calibri" w:eastAsia="Calibri" w:hAnsi="Calibri"/>
          <w:sz w:val="17"/>
          <w:szCs w:val="17"/>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490220</wp:posOffset>
                </wp:positionH>
                <wp:positionV relativeFrom="paragraph">
                  <wp:posOffset>320675</wp:posOffset>
                </wp:positionV>
                <wp:extent cx="6812280" cy="0"/>
                <wp:wrapNone/>
                <wp:docPr id="296" name="Shape 2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96" o:spid="_x0000_s13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25.25pt" to="57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490220</wp:posOffset>
                </wp:positionH>
                <wp:positionV relativeFrom="paragraph">
                  <wp:posOffset>320675</wp:posOffset>
                </wp:positionV>
                <wp:extent cx="6812280" cy="0"/>
                <wp:wrapNone/>
                <wp:docPr id="297" name="Shape 2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97" o:spid="_x0000_s13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25.25pt" to="57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80"/>
        <w:spacing w:after="0"/>
        <w:rPr>
          <w:sz w:val="20"/>
          <w:szCs w:val="20"/>
          <w:color w:val="auto"/>
        </w:rPr>
      </w:pPr>
      <w:r>
        <w:rPr>
          <w:rFonts w:ascii="Verdana" w:cs="Verdana" w:eastAsia="Verdana" w:hAnsi="Verdana"/>
          <w:sz w:val="20"/>
          <w:szCs w:val="20"/>
          <w:color w:val="214E93"/>
        </w:rPr>
        <w:t>NOTE 4 — LEASES — Continued</w:t>
      </w:r>
    </w:p>
    <w:p>
      <w:pPr>
        <w:spacing w:after="0" w:line="209" w:lineRule="exact"/>
        <w:rPr>
          <w:sz w:val="20"/>
          <w:szCs w:val="20"/>
          <w:color w:val="auto"/>
        </w:rPr>
      </w:pPr>
    </w:p>
    <w:p>
      <w:pPr>
        <w:ind w:left="780" w:right="880" w:firstLine="241"/>
        <w:spacing w:after="0" w:line="252" w:lineRule="auto"/>
        <w:rPr>
          <w:sz w:val="20"/>
          <w:szCs w:val="20"/>
          <w:color w:val="auto"/>
        </w:rPr>
      </w:pPr>
      <w:r>
        <w:rPr>
          <w:rFonts w:ascii="Calibri" w:cs="Calibri" w:eastAsia="Calibri" w:hAnsi="Calibri"/>
          <w:sz w:val="18"/>
          <w:szCs w:val="18"/>
          <w:color w:val="auto"/>
        </w:rPr>
        <w:t>The following table presents a schedule of future minimum lease payments required under all lease agreements as of December 31, 2025 (in thousands).</w:t>
      </w:r>
    </w:p>
    <w:p>
      <w:pPr>
        <w:spacing w:after="0" w:line="188" w:lineRule="exact"/>
        <w:rPr>
          <w:sz w:val="20"/>
          <w:szCs w:val="20"/>
          <w:color w:val="auto"/>
        </w:rPr>
      </w:pPr>
    </w:p>
    <w:tbl>
      <w:tblPr>
        <w:tblLayout w:type="fixed"/>
        <w:tblInd w:w="780" w:type="dxa"/>
        <w:tblCellMar>
          <w:top w:w="0" w:type="dxa"/>
          <w:left w:w="0" w:type="dxa"/>
          <w:bottom w:w="0" w:type="dxa"/>
          <w:right w:w="0" w:type="dxa"/>
        </w:tblCellMar>
      </w:tblPr>
      <w:tr>
        <w:trPr>
          <w:trHeight w:val="193"/>
        </w:trPr>
        <w:tc>
          <w:tcPr>
            <w:tcW w:w="6540" w:type="dxa"/>
            <w:vAlign w:val="bottom"/>
          </w:tcPr>
          <w:p>
            <w:pPr>
              <w:spacing w:after="0"/>
              <w:rPr>
                <w:sz w:val="16"/>
                <w:szCs w:val="16"/>
                <w:color w:val="auto"/>
              </w:rPr>
            </w:pPr>
          </w:p>
        </w:tc>
        <w:tc>
          <w:tcPr>
            <w:tcW w:w="440" w:type="dxa"/>
            <w:vAlign w:val="bottom"/>
            <w:tcBorders>
              <w:bottom w:val="single" w:sz="8" w:color="214E93"/>
            </w:tcBorders>
          </w:tcPr>
          <w:p>
            <w:pPr>
              <w:spacing w:after="0"/>
              <w:rPr>
                <w:sz w:val="16"/>
                <w:szCs w:val="16"/>
                <w:color w:val="auto"/>
              </w:rPr>
            </w:pPr>
          </w:p>
        </w:tc>
        <w:tc>
          <w:tcPr>
            <w:tcW w:w="2580" w:type="dxa"/>
            <w:vAlign w:val="bottom"/>
            <w:tcBorders>
              <w:bottom w:val="single" w:sz="8" w:color="214E93"/>
            </w:tcBorders>
            <w:gridSpan w:val="3"/>
          </w:tcPr>
          <w:p>
            <w:pPr>
              <w:jc w:val="right"/>
              <w:ind w:right="742"/>
              <w:spacing w:after="0"/>
              <w:rPr>
                <w:sz w:val="20"/>
                <w:szCs w:val="20"/>
                <w:color w:val="auto"/>
              </w:rPr>
            </w:pPr>
            <w:r>
              <w:rPr>
                <w:rFonts w:ascii="Verdana" w:cs="Verdana" w:eastAsia="Verdana" w:hAnsi="Verdana"/>
                <w:sz w:val="14"/>
                <w:szCs w:val="14"/>
                <w:color w:val="auto"/>
              </w:rPr>
              <w:t>December 31, 2025</w:t>
            </w:r>
          </w:p>
        </w:tc>
      </w:tr>
      <w:tr>
        <w:trPr>
          <w:trHeight w:val="201"/>
        </w:trPr>
        <w:tc>
          <w:tcPr>
            <w:tcW w:w="6540" w:type="dxa"/>
            <w:vAlign w:val="bottom"/>
            <w:tcBorders>
              <w:bottom w:val="single" w:sz="8" w:color="214E93"/>
            </w:tcBorders>
          </w:tcPr>
          <w:p>
            <w:pPr>
              <w:spacing w:after="0"/>
              <w:rPr>
                <w:sz w:val="17"/>
                <w:szCs w:val="17"/>
                <w:color w:val="auto"/>
              </w:rPr>
            </w:pPr>
          </w:p>
        </w:tc>
        <w:tc>
          <w:tcPr>
            <w:tcW w:w="1520" w:type="dxa"/>
            <w:vAlign w:val="bottom"/>
            <w:tcBorders>
              <w:bottom w:val="single" w:sz="8" w:color="214E93"/>
            </w:tcBorders>
            <w:gridSpan w:val="2"/>
          </w:tcPr>
          <w:p>
            <w:pPr>
              <w:jc w:val="right"/>
              <w:ind w:right="102"/>
              <w:spacing w:after="0"/>
              <w:rPr>
                <w:sz w:val="20"/>
                <w:szCs w:val="20"/>
                <w:color w:val="auto"/>
              </w:rPr>
            </w:pPr>
            <w:r>
              <w:rPr>
                <w:rFonts w:ascii="Verdana" w:cs="Verdana" w:eastAsia="Verdana" w:hAnsi="Verdana"/>
                <w:sz w:val="14"/>
                <w:szCs w:val="14"/>
                <w:color w:val="auto"/>
              </w:rPr>
              <w:t>Operating Leases</w:t>
            </w:r>
          </w:p>
        </w:tc>
        <w:tc>
          <w:tcPr>
            <w:tcW w:w="220" w:type="dxa"/>
            <w:vAlign w:val="bottom"/>
            <w:tcBorders>
              <w:bottom w:val="single" w:sz="8" w:color="214E93"/>
            </w:tcBorders>
          </w:tcPr>
          <w:p>
            <w:pPr>
              <w:spacing w:after="0"/>
              <w:rPr>
                <w:sz w:val="17"/>
                <w:szCs w:val="17"/>
                <w:color w:val="auto"/>
              </w:rPr>
            </w:pPr>
          </w:p>
        </w:tc>
        <w:tc>
          <w:tcPr>
            <w:tcW w:w="1280" w:type="dxa"/>
            <w:vAlign w:val="bottom"/>
            <w:tcBorders>
              <w:bottom w:val="single" w:sz="8" w:color="214E93"/>
            </w:tcBorders>
          </w:tcPr>
          <w:p>
            <w:pPr>
              <w:jc w:val="right"/>
              <w:ind w:right="142"/>
              <w:spacing w:after="0"/>
              <w:rPr>
                <w:sz w:val="20"/>
                <w:szCs w:val="20"/>
                <w:color w:val="auto"/>
              </w:rPr>
            </w:pPr>
            <w:r>
              <w:rPr>
                <w:rFonts w:ascii="Verdana" w:cs="Verdana" w:eastAsia="Verdana" w:hAnsi="Verdana"/>
                <w:sz w:val="14"/>
                <w:szCs w:val="14"/>
                <w:color w:val="auto"/>
                <w:w w:val="97"/>
              </w:rPr>
              <w:t>Finance Leases</w:t>
            </w:r>
          </w:p>
        </w:tc>
      </w:tr>
      <w:tr>
        <w:trPr>
          <w:trHeight w:val="211"/>
        </w:trPr>
        <w:tc>
          <w:tcPr>
            <w:tcW w:w="6540" w:type="dxa"/>
            <w:vAlign w:val="bottom"/>
          </w:tcPr>
          <w:p>
            <w:pPr>
              <w:ind w:left="40"/>
              <w:spacing w:after="0"/>
              <w:rPr>
                <w:sz w:val="20"/>
                <w:szCs w:val="20"/>
                <w:color w:val="auto"/>
              </w:rPr>
            </w:pPr>
            <w:r>
              <w:rPr>
                <w:rFonts w:ascii="Verdana" w:cs="Verdana" w:eastAsia="Verdana" w:hAnsi="Verdana"/>
                <w:sz w:val="16"/>
                <w:szCs w:val="16"/>
                <w:color w:val="auto"/>
              </w:rPr>
              <w:t>2026</w:t>
            </w:r>
          </w:p>
        </w:tc>
        <w:tc>
          <w:tcPr>
            <w:tcW w:w="440" w:type="dxa"/>
            <w:vAlign w:val="bottom"/>
          </w:tcPr>
          <w:p>
            <w:pPr>
              <w:jc w:val="right"/>
              <w:ind w:right="225"/>
              <w:spacing w:after="0"/>
              <w:rPr>
                <w:sz w:val="20"/>
                <w:szCs w:val="20"/>
                <w:color w:val="auto"/>
              </w:rPr>
            </w:pPr>
            <w:r>
              <w:rPr>
                <w:rFonts w:ascii="Verdana" w:cs="Verdana" w:eastAsia="Verdana" w:hAnsi="Verdana"/>
                <w:sz w:val="16"/>
                <w:szCs w:val="16"/>
                <w:color w:val="214E93"/>
              </w:rPr>
              <w:t>$</w:t>
            </w:r>
          </w:p>
        </w:tc>
        <w:tc>
          <w:tcPr>
            <w:tcW w:w="1080" w:type="dxa"/>
            <w:vAlign w:val="bottom"/>
          </w:tcPr>
          <w:p>
            <w:pPr>
              <w:jc w:val="right"/>
              <w:ind w:right="62"/>
              <w:spacing w:after="0"/>
              <w:rPr>
                <w:sz w:val="20"/>
                <w:szCs w:val="20"/>
                <w:color w:val="auto"/>
              </w:rPr>
            </w:pPr>
            <w:r>
              <w:rPr>
                <w:rFonts w:ascii="Verdana" w:cs="Verdana" w:eastAsia="Verdana" w:hAnsi="Verdana"/>
                <w:sz w:val="16"/>
                <w:szCs w:val="16"/>
                <w:color w:val="214E93"/>
              </w:rPr>
              <w:t>65,091</w:t>
            </w:r>
          </w:p>
        </w:tc>
        <w:tc>
          <w:tcPr>
            <w:tcW w:w="220" w:type="dxa"/>
            <w:vAlign w:val="bottom"/>
          </w:tcPr>
          <w:p>
            <w:pPr>
              <w:jc w:val="right"/>
              <w:spacing w:after="0"/>
              <w:rPr>
                <w:sz w:val="20"/>
                <w:szCs w:val="20"/>
                <w:color w:val="auto"/>
              </w:rPr>
            </w:pPr>
            <w:r>
              <w:rPr>
                <w:rFonts w:ascii="Verdana" w:cs="Verdana" w:eastAsia="Verdana" w:hAnsi="Verdana"/>
                <w:sz w:val="16"/>
                <w:szCs w:val="16"/>
                <w:color w:val="auto"/>
              </w:rPr>
              <w:t>$</w:t>
            </w:r>
          </w:p>
        </w:tc>
        <w:tc>
          <w:tcPr>
            <w:tcW w:w="1280" w:type="dxa"/>
            <w:vAlign w:val="bottom"/>
          </w:tcPr>
          <w:p>
            <w:pPr>
              <w:jc w:val="right"/>
              <w:ind w:right="2"/>
              <w:spacing w:after="0"/>
              <w:rPr>
                <w:sz w:val="20"/>
                <w:szCs w:val="20"/>
                <w:color w:val="auto"/>
              </w:rPr>
            </w:pPr>
            <w:r>
              <w:rPr>
                <w:rFonts w:ascii="Verdana" w:cs="Verdana" w:eastAsia="Verdana" w:hAnsi="Verdana"/>
                <w:sz w:val="16"/>
                <w:szCs w:val="16"/>
                <w:color w:val="auto"/>
              </w:rPr>
              <w:t>1,113</w:t>
            </w:r>
          </w:p>
        </w:tc>
      </w:tr>
      <w:tr>
        <w:trPr>
          <w:trHeight w:val="235"/>
        </w:trPr>
        <w:tc>
          <w:tcPr>
            <w:tcW w:w="6540" w:type="dxa"/>
            <w:vAlign w:val="bottom"/>
          </w:tcPr>
          <w:p>
            <w:pPr>
              <w:ind w:left="40"/>
              <w:spacing w:after="0"/>
              <w:rPr>
                <w:sz w:val="20"/>
                <w:szCs w:val="20"/>
                <w:color w:val="auto"/>
              </w:rPr>
            </w:pPr>
            <w:r>
              <w:rPr>
                <w:rFonts w:ascii="Verdana" w:cs="Verdana" w:eastAsia="Verdana" w:hAnsi="Verdana"/>
                <w:sz w:val="16"/>
                <w:szCs w:val="16"/>
                <w:color w:val="auto"/>
              </w:rPr>
              <w:t>2027</w:t>
            </w:r>
          </w:p>
        </w:tc>
        <w:tc>
          <w:tcPr>
            <w:tcW w:w="440" w:type="dxa"/>
            <w:vAlign w:val="bottom"/>
          </w:tcPr>
          <w:p>
            <w:pPr>
              <w:spacing w:after="0"/>
              <w:rPr>
                <w:sz w:val="20"/>
                <w:szCs w:val="20"/>
                <w:color w:val="auto"/>
              </w:rPr>
            </w:pPr>
          </w:p>
        </w:tc>
        <w:tc>
          <w:tcPr>
            <w:tcW w:w="1080" w:type="dxa"/>
            <w:vAlign w:val="bottom"/>
          </w:tcPr>
          <w:p>
            <w:pPr>
              <w:jc w:val="right"/>
              <w:ind w:right="62"/>
              <w:spacing w:after="0"/>
              <w:rPr>
                <w:sz w:val="20"/>
                <w:szCs w:val="20"/>
                <w:color w:val="auto"/>
              </w:rPr>
            </w:pPr>
            <w:r>
              <w:rPr>
                <w:rFonts w:ascii="Verdana" w:cs="Verdana" w:eastAsia="Verdana" w:hAnsi="Verdana"/>
                <w:sz w:val="16"/>
                <w:szCs w:val="16"/>
                <w:color w:val="214E93"/>
              </w:rPr>
              <w:t>25,690</w:t>
            </w:r>
          </w:p>
        </w:tc>
        <w:tc>
          <w:tcPr>
            <w:tcW w:w="220" w:type="dxa"/>
            <w:vAlign w:val="bottom"/>
          </w:tcPr>
          <w:p>
            <w:pPr>
              <w:spacing w:after="0"/>
              <w:rPr>
                <w:sz w:val="20"/>
                <w:szCs w:val="20"/>
                <w:color w:val="auto"/>
              </w:rPr>
            </w:pPr>
          </w:p>
        </w:tc>
        <w:tc>
          <w:tcPr>
            <w:tcW w:w="1280" w:type="dxa"/>
            <w:vAlign w:val="bottom"/>
          </w:tcPr>
          <w:p>
            <w:pPr>
              <w:jc w:val="right"/>
              <w:ind w:right="2"/>
              <w:spacing w:after="0"/>
              <w:rPr>
                <w:sz w:val="20"/>
                <w:szCs w:val="20"/>
                <w:color w:val="auto"/>
              </w:rPr>
            </w:pPr>
            <w:r>
              <w:rPr>
                <w:rFonts w:ascii="Verdana" w:cs="Verdana" w:eastAsia="Verdana" w:hAnsi="Verdana"/>
                <w:sz w:val="16"/>
                <w:szCs w:val="16"/>
                <w:color w:val="auto"/>
              </w:rPr>
              <w:t>808</w:t>
            </w:r>
          </w:p>
        </w:tc>
      </w:tr>
      <w:tr>
        <w:trPr>
          <w:trHeight w:val="236"/>
        </w:trPr>
        <w:tc>
          <w:tcPr>
            <w:tcW w:w="6540" w:type="dxa"/>
            <w:vAlign w:val="bottom"/>
          </w:tcPr>
          <w:p>
            <w:pPr>
              <w:ind w:left="40"/>
              <w:spacing w:after="0"/>
              <w:rPr>
                <w:sz w:val="20"/>
                <w:szCs w:val="20"/>
                <w:color w:val="auto"/>
              </w:rPr>
            </w:pPr>
            <w:r>
              <w:rPr>
                <w:rFonts w:ascii="Verdana" w:cs="Verdana" w:eastAsia="Verdana" w:hAnsi="Verdana"/>
                <w:sz w:val="16"/>
                <w:szCs w:val="16"/>
                <w:color w:val="auto"/>
              </w:rPr>
              <w:t>2028</w:t>
            </w:r>
          </w:p>
        </w:tc>
        <w:tc>
          <w:tcPr>
            <w:tcW w:w="440" w:type="dxa"/>
            <w:vAlign w:val="bottom"/>
          </w:tcPr>
          <w:p>
            <w:pPr>
              <w:spacing w:after="0"/>
              <w:rPr>
                <w:sz w:val="20"/>
                <w:szCs w:val="20"/>
                <w:color w:val="auto"/>
              </w:rPr>
            </w:pPr>
          </w:p>
        </w:tc>
        <w:tc>
          <w:tcPr>
            <w:tcW w:w="1080" w:type="dxa"/>
            <w:vAlign w:val="bottom"/>
          </w:tcPr>
          <w:p>
            <w:pPr>
              <w:jc w:val="right"/>
              <w:ind w:right="62"/>
              <w:spacing w:after="0"/>
              <w:rPr>
                <w:sz w:val="20"/>
                <w:szCs w:val="20"/>
                <w:color w:val="auto"/>
              </w:rPr>
            </w:pPr>
            <w:r>
              <w:rPr>
                <w:rFonts w:ascii="Verdana" w:cs="Verdana" w:eastAsia="Verdana" w:hAnsi="Verdana"/>
                <w:sz w:val="16"/>
                <w:szCs w:val="16"/>
                <w:color w:val="214E93"/>
              </w:rPr>
              <w:t>13,383</w:t>
            </w:r>
          </w:p>
        </w:tc>
        <w:tc>
          <w:tcPr>
            <w:tcW w:w="220" w:type="dxa"/>
            <w:vAlign w:val="bottom"/>
          </w:tcPr>
          <w:p>
            <w:pPr>
              <w:spacing w:after="0"/>
              <w:rPr>
                <w:sz w:val="20"/>
                <w:szCs w:val="20"/>
                <w:color w:val="auto"/>
              </w:rPr>
            </w:pPr>
          </w:p>
        </w:tc>
        <w:tc>
          <w:tcPr>
            <w:tcW w:w="1280" w:type="dxa"/>
            <w:vAlign w:val="bottom"/>
          </w:tcPr>
          <w:p>
            <w:pPr>
              <w:jc w:val="right"/>
              <w:ind w:right="2"/>
              <w:spacing w:after="0"/>
              <w:rPr>
                <w:sz w:val="20"/>
                <w:szCs w:val="20"/>
                <w:color w:val="auto"/>
              </w:rPr>
            </w:pPr>
            <w:r>
              <w:rPr>
                <w:rFonts w:ascii="Verdana" w:cs="Verdana" w:eastAsia="Verdana" w:hAnsi="Verdana"/>
                <w:sz w:val="16"/>
                <w:szCs w:val="16"/>
                <w:color w:val="auto"/>
              </w:rPr>
              <w:t>384</w:t>
            </w:r>
          </w:p>
        </w:tc>
      </w:tr>
      <w:tr>
        <w:trPr>
          <w:trHeight w:val="236"/>
        </w:trPr>
        <w:tc>
          <w:tcPr>
            <w:tcW w:w="6540" w:type="dxa"/>
            <w:vAlign w:val="bottom"/>
          </w:tcPr>
          <w:p>
            <w:pPr>
              <w:ind w:left="40"/>
              <w:spacing w:after="0"/>
              <w:rPr>
                <w:sz w:val="20"/>
                <w:szCs w:val="20"/>
                <w:color w:val="auto"/>
              </w:rPr>
            </w:pPr>
            <w:r>
              <w:rPr>
                <w:rFonts w:ascii="Verdana" w:cs="Verdana" w:eastAsia="Verdana" w:hAnsi="Verdana"/>
                <w:sz w:val="16"/>
                <w:szCs w:val="16"/>
                <w:color w:val="auto"/>
              </w:rPr>
              <w:t>2029</w:t>
            </w:r>
          </w:p>
        </w:tc>
        <w:tc>
          <w:tcPr>
            <w:tcW w:w="440" w:type="dxa"/>
            <w:vAlign w:val="bottom"/>
          </w:tcPr>
          <w:p>
            <w:pPr>
              <w:spacing w:after="0"/>
              <w:rPr>
                <w:sz w:val="20"/>
                <w:szCs w:val="20"/>
                <w:color w:val="auto"/>
              </w:rPr>
            </w:pPr>
          </w:p>
        </w:tc>
        <w:tc>
          <w:tcPr>
            <w:tcW w:w="1080" w:type="dxa"/>
            <w:vAlign w:val="bottom"/>
          </w:tcPr>
          <w:p>
            <w:pPr>
              <w:jc w:val="right"/>
              <w:ind w:right="62"/>
              <w:spacing w:after="0"/>
              <w:rPr>
                <w:sz w:val="20"/>
                <w:szCs w:val="20"/>
                <w:color w:val="auto"/>
              </w:rPr>
            </w:pPr>
            <w:r>
              <w:rPr>
                <w:rFonts w:ascii="Verdana" w:cs="Verdana" w:eastAsia="Verdana" w:hAnsi="Verdana"/>
                <w:sz w:val="16"/>
                <w:szCs w:val="16"/>
                <w:color w:val="214E93"/>
              </w:rPr>
              <w:t>7,618</w:t>
            </w:r>
          </w:p>
        </w:tc>
        <w:tc>
          <w:tcPr>
            <w:tcW w:w="220" w:type="dxa"/>
            <w:vAlign w:val="bottom"/>
          </w:tcPr>
          <w:p>
            <w:pPr>
              <w:spacing w:after="0"/>
              <w:rPr>
                <w:sz w:val="20"/>
                <w:szCs w:val="20"/>
                <w:color w:val="auto"/>
              </w:rPr>
            </w:pPr>
          </w:p>
        </w:tc>
        <w:tc>
          <w:tcPr>
            <w:tcW w:w="1280" w:type="dxa"/>
            <w:vAlign w:val="bottom"/>
          </w:tcPr>
          <w:p>
            <w:pPr>
              <w:jc w:val="right"/>
              <w:ind w:right="2"/>
              <w:spacing w:after="0"/>
              <w:rPr>
                <w:sz w:val="20"/>
                <w:szCs w:val="20"/>
                <w:color w:val="auto"/>
              </w:rPr>
            </w:pPr>
            <w:r>
              <w:rPr>
                <w:rFonts w:ascii="Verdana" w:cs="Verdana" w:eastAsia="Verdana" w:hAnsi="Verdana"/>
                <w:sz w:val="16"/>
                <w:szCs w:val="16"/>
                <w:color w:val="auto"/>
              </w:rPr>
              <w:t>—</w:t>
            </w:r>
          </w:p>
        </w:tc>
      </w:tr>
      <w:tr>
        <w:trPr>
          <w:trHeight w:val="236"/>
        </w:trPr>
        <w:tc>
          <w:tcPr>
            <w:tcW w:w="6540" w:type="dxa"/>
            <w:vAlign w:val="bottom"/>
          </w:tcPr>
          <w:p>
            <w:pPr>
              <w:ind w:left="40"/>
              <w:spacing w:after="0"/>
              <w:rPr>
                <w:sz w:val="20"/>
                <w:szCs w:val="20"/>
                <w:color w:val="auto"/>
              </w:rPr>
            </w:pPr>
            <w:r>
              <w:rPr>
                <w:rFonts w:ascii="Verdana" w:cs="Verdana" w:eastAsia="Verdana" w:hAnsi="Verdana"/>
                <w:sz w:val="16"/>
                <w:szCs w:val="16"/>
                <w:color w:val="auto"/>
              </w:rPr>
              <w:t>2030</w:t>
            </w:r>
          </w:p>
        </w:tc>
        <w:tc>
          <w:tcPr>
            <w:tcW w:w="440" w:type="dxa"/>
            <w:vAlign w:val="bottom"/>
          </w:tcPr>
          <w:p>
            <w:pPr>
              <w:spacing w:after="0"/>
              <w:rPr>
                <w:sz w:val="20"/>
                <w:szCs w:val="20"/>
                <w:color w:val="auto"/>
              </w:rPr>
            </w:pPr>
          </w:p>
        </w:tc>
        <w:tc>
          <w:tcPr>
            <w:tcW w:w="1080" w:type="dxa"/>
            <w:vAlign w:val="bottom"/>
          </w:tcPr>
          <w:p>
            <w:pPr>
              <w:jc w:val="right"/>
              <w:ind w:right="62"/>
              <w:spacing w:after="0"/>
              <w:rPr>
                <w:sz w:val="20"/>
                <w:szCs w:val="20"/>
                <w:color w:val="auto"/>
              </w:rPr>
            </w:pPr>
            <w:r>
              <w:rPr>
                <w:rFonts w:ascii="Verdana" w:cs="Verdana" w:eastAsia="Verdana" w:hAnsi="Verdana"/>
                <w:sz w:val="16"/>
                <w:szCs w:val="16"/>
                <w:color w:val="214E93"/>
              </w:rPr>
              <w:t>5,076</w:t>
            </w:r>
          </w:p>
        </w:tc>
        <w:tc>
          <w:tcPr>
            <w:tcW w:w="220" w:type="dxa"/>
            <w:vAlign w:val="bottom"/>
          </w:tcPr>
          <w:p>
            <w:pPr>
              <w:spacing w:after="0"/>
              <w:rPr>
                <w:sz w:val="20"/>
                <w:szCs w:val="20"/>
                <w:color w:val="auto"/>
              </w:rPr>
            </w:pPr>
          </w:p>
        </w:tc>
        <w:tc>
          <w:tcPr>
            <w:tcW w:w="1280" w:type="dxa"/>
            <w:vAlign w:val="bottom"/>
          </w:tcPr>
          <w:p>
            <w:pPr>
              <w:jc w:val="right"/>
              <w:ind w:right="2"/>
              <w:spacing w:after="0"/>
              <w:rPr>
                <w:sz w:val="20"/>
                <w:szCs w:val="20"/>
                <w:color w:val="auto"/>
              </w:rPr>
            </w:pPr>
            <w:r>
              <w:rPr>
                <w:rFonts w:ascii="Verdana" w:cs="Verdana" w:eastAsia="Verdana" w:hAnsi="Verdana"/>
                <w:sz w:val="16"/>
                <w:szCs w:val="16"/>
                <w:color w:val="auto"/>
              </w:rPr>
              <w:t>—</w:t>
            </w:r>
          </w:p>
        </w:tc>
      </w:tr>
      <w:tr>
        <w:trPr>
          <w:trHeight w:val="242"/>
        </w:trPr>
        <w:tc>
          <w:tcPr>
            <w:tcW w:w="654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Thereafter</w:t>
            </w: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62"/>
              <w:spacing w:after="0"/>
              <w:rPr>
                <w:sz w:val="20"/>
                <w:szCs w:val="20"/>
                <w:color w:val="auto"/>
              </w:rPr>
            </w:pPr>
            <w:r>
              <w:rPr>
                <w:rFonts w:ascii="Verdana" w:cs="Verdana" w:eastAsia="Verdana" w:hAnsi="Verdana"/>
                <w:sz w:val="16"/>
                <w:szCs w:val="16"/>
                <w:color w:val="214E93"/>
              </w:rPr>
              <w:t>56,618</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auto"/>
              </w:rPr>
              <w:t>—</w:t>
            </w:r>
          </w:p>
        </w:tc>
      </w:tr>
      <w:tr>
        <w:trPr>
          <w:trHeight w:val="211"/>
        </w:trPr>
        <w:tc>
          <w:tcPr>
            <w:tcW w:w="6540" w:type="dxa"/>
            <w:vAlign w:val="bottom"/>
          </w:tcPr>
          <w:p>
            <w:pPr>
              <w:ind w:left="40"/>
              <w:spacing w:after="0"/>
              <w:rPr>
                <w:sz w:val="20"/>
                <w:szCs w:val="20"/>
                <w:color w:val="auto"/>
              </w:rPr>
            </w:pPr>
            <w:r>
              <w:rPr>
                <w:rFonts w:ascii="Verdana" w:cs="Verdana" w:eastAsia="Verdana" w:hAnsi="Verdana"/>
                <w:sz w:val="16"/>
                <w:szCs w:val="16"/>
                <w:color w:val="auto"/>
              </w:rPr>
              <w:t>Total lease payments</w:t>
            </w:r>
          </w:p>
        </w:tc>
        <w:tc>
          <w:tcPr>
            <w:tcW w:w="440" w:type="dxa"/>
            <w:vAlign w:val="bottom"/>
          </w:tcPr>
          <w:p>
            <w:pPr>
              <w:spacing w:after="0"/>
              <w:rPr>
                <w:sz w:val="18"/>
                <w:szCs w:val="18"/>
                <w:color w:val="auto"/>
              </w:rPr>
            </w:pPr>
          </w:p>
        </w:tc>
        <w:tc>
          <w:tcPr>
            <w:tcW w:w="1080" w:type="dxa"/>
            <w:vAlign w:val="bottom"/>
          </w:tcPr>
          <w:p>
            <w:pPr>
              <w:jc w:val="right"/>
              <w:ind w:right="62"/>
              <w:spacing w:after="0"/>
              <w:rPr>
                <w:sz w:val="20"/>
                <w:szCs w:val="20"/>
                <w:color w:val="auto"/>
              </w:rPr>
            </w:pPr>
            <w:r>
              <w:rPr>
                <w:rFonts w:ascii="Verdana" w:cs="Verdana" w:eastAsia="Verdana" w:hAnsi="Verdana"/>
                <w:sz w:val="16"/>
                <w:szCs w:val="16"/>
                <w:color w:val="214E93"/>
              </w:rPr>
              <w:t>173,476</w:t>
            </w:r>
          </w:p>
        </w:tc>
        <w:tc>
          <w:tcPr>
            <w:tcW w:w="22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Verdana" w:cs="Verdana" w:eastAsia="Verdana" w:hAnsi="Verdana"/>
                <w:sz w:val="16"/>
                <w:szCs w:val="16"/>
                <w:color w:val="auto"/>
              </w:rPr>
              <w:t>2,305</w:t>
            </w:r>
          </w:p>
        </w:tc>
      </w:tr>
      <w:tr>
        <w:trPr>
          <w:trHeight w:val="242"/>
        </w:trPr>
        <w:tc>
          <w:tcPr>
            <w:tcW w:w="654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Less imputed interest</w:t>
            </w: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214E93"/>
              </w:rPr>
              <w:t>(29,195)</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(17)</w:t>
            </w:r>
          </w:p>
        </w:tc>
      </w:tr>
      <w:tr>
        <w:trPr>
          <w:trHeight w:val="211"/>
        </w:trPr>
        <w:tc>
          <w:tcPr>
            <w:tcW w:w="6540" w:type="dxa"/>
            <w:vAlign w:val="bottom"/>
          </w:tcPr>
          <w:p>
            <w:pPr>
              <w:ind w:left="160"/>
              <w:spacing w:after="0"/>
              <w:rPr>
                <w:sz w:val="20"/>
                <w:szCs w:val="20"/>
                <w:color w:val="auto"/>
              </w:rPr>
            </w:pPr>
            <w:r>
              <w:rPr>
                <w:rFonts w:ascii="Verdana" w:cs="Verdana" w:eastAsia="Verdana" w:hAnsi="Verdana"/>
                <w:sz w:val="16"/>
                <w:szCs w:val="16"/>
                <w:color w:val="auto"/>
              </w:rPr>
              <w:t>Total lease obligations</w:t>
            </w:r>
          </w:p>
        </w:tc>
        <w:tc>
          <w:tcPr>
            <w:tcW w:w="440" w:type="dxa"/>
            <w:vAlign w:val="bottom"/>
          </w:tcPr>
          <w:p>
            <w:pPr>
              <w:spacing w:after="0"/>
              <w:rPr>
                <w:sz w:val="18"/>
                <w:szCs w:val="18"/>
                <w:color w:val="auto"/>
              </w:rPr>
            </w:pPr>
          </w:p>
        </w:tc>
        <w:tc>
          <w:tcPr>
            <w:tcW w:w="1080" w:type="dxa"/>
            <w:vAlign w:val="bottom"/>
          </w:tcPr>
          <w:p>
            <w:pPr>
              <w:jc w:val="right"/>
              <w:ind w:right="62"/>
              <w:spacing w:after="0"/>
              <w:rPr>
                <w:sz w:val="20"/>
                <w:szCs w:val="20"/>
                <w:color w:val="auto"/>
              </w:rPr>
            </w:pPr>
            <w:r>
              <w:rPr>
                <w:rFonts w:ascii="Verdana" w:cs="Verdana" w:eastAsia="Verdana" w:hAnsi="Verdana"/>
                <w:sz w:val="16"/>
                <w:szCs w:val="16"/>
                <w:color w:val="214E93"/>
              </w:rPr>
              <w:t>144,281</w:t>
            </w:r>
          </w:p>
        </w:tc>
        <w:tc>
          <w:tcPr>
            <w:tcW w:w="22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Verdana" w:cs="Verdana" w:eastAsia="Verdana" w:hAnsi="Verdana"/>
                <w:sz w:val="16"/>
                <w:szCs w:val="16"/>
                <w:color w:val="auto"/>
              </w:rPr>
              <w:t>2,288</w:t>
            </w:r>
          </w:p>
        </w:tc>
      </w:tr>
      <w:tr>
        <w:trPr>
          <w:trHeight w:val="242"/>
        </w:trPr>
        <w:tc>
          <w:tcPr>
            <w:tcW w:w="654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Less current obligations</w:t>
            </w: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214E93"/>
              </w:rPr>
              <w:t>(65,091)</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(1,113)</w:t>
            </w:r>
          </w:p>
        </w:tc>
      </w:tr>
      <w:tr>
        <w:trPr>
          <w:trHeight w:val="217"/>
        </w:trPr>
        <w:tc>
          <w:tcPr>
            <w:tcW w:w="6540" w:type="dxa"/>
            <w:vAlign w:val="bottom"/>
            <w:tcBorders>
              <w:bottom w:val="single" w:sz="8" w:color="214E93"/>
            </w:tcBorders>
          </w:tcPr>
          <w:p>
            <w:pPr>
              <w:ind w:left="160"/>
              <w:spacing w:after="0"/>
              <w:rPr>
                <w:sz w:val="20"/>
                <w:szCs w:val="20"/>
                <w:color w:val="auto"/>
              </w:rPr>
            </w:pPr>
            <w:r>
              <w:rPr>
                <w:rFonts w:ascii="Verdana" w:cs="Verdana" w:eastAsia="Verdana" w:hAnsi="Verdana"/>
                <w:sz w:val="16"/>
                <w:szCs w:val="16"/>
                <w:color w:val="auto"/>
              </w:rPr>
              <w:t>Long-term lease obligations</w:t>
            </w:r>
          </w:p>
        </w:tc>
        <w:tc>
          <w:tcPr>
            <w:tcW w:w="440" w:type="dxa"/>
            <w:vAlign w:val="bottom"/>
            <w:tcBorders>
              <w:bottom w:val="single" w:sz="8" w:color="214E93"/>
            </w:tcBorders>
          </w:tcPr>
          <w:p>
            <w:pPr>
              <w:jc w:val="right"/>
              <w:ind w:right="225"/>
              <w:spacing w:after="0"/>
              <w:rPr>
                <w:sz w:val="20"/>
                <w:szCs w:val="20"/>
                <w:color w:val="auto"/>
              </w:rPr>
            </w:pPr>
            <w:r>
              <w:rPr>
                <w:rFonts w:ascii="Verdana" w:cs="Verdana" w:eastAsia="Verdana" w:hAnsi="Verdana"/>
                <w:sz w:val="16"/>
                <w:szCs w:val="16"/>
                <w:color w:val="214E93"/>
              </w:rPr>
              <w:t>$</w:t>
            </w:r>
          </w:p>
        </w:tc>
        <w:tc>
          <w:tcPr>
            <w:tcW w:w="1080" w:type="dxa"/>
            <w:vAlign w:val="bottom"/>
            <w:tcBorders>
              <w:bottom w:val="single" w:sz="8" w:color="214E93"/>
            </w:tcBorders>
          </w:tcPr>
          <w:p>
            <w:pPr>
              <w:jc w:val="right"/>
              <w:ind w:right="62"/>
              <w:spacing w:after="0"/>
              <w:rPr>
                <w:sz w:val="20"/>
                <w:szCs w:val="20"/>
                <w:color w:val="auto"/>
              </w:rPr>
            </w:pPr>
            <w:r>
              <w:rPr>
                <w:rFonts w:ascii="Verdana" w:cs="Verdana" w:eastAsia="Verdana" w:hAnsi="Verdana"/>
                <w:sz w:val="16"/>
                <w:szCs w:val="16"/>
                <w:color w:val="214E93"/>
              </w:rPr>
              <w:t>79,190</w:t>
            </w:r>
          </w:p>
        </w:tc>
        <w:tc>
          <w:tcPr>
            <w:tcW w:w="22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w:t>
            </w:r>
          </w:p>
        </w:tc>
        <w:tc>
          <w:tcPr>
            <w:tcW w:w="1280" w:type="dxa"/>
            <w:vAlign w:val="bottom"/>
            <w:tcBorders>
              <w:bottom w:val="single" w:sz="8" w:color="214E93"/>
            </w:tcBorders>
          </w:tcPr>
          <w:p>
            <w:pPr>
              <w:jc w:val="right"/>
              <w:ind w:right="2"/>
              <w:spacing w:after="0"/>
              <w:rPr>
                <w:sz w:val="20"/>
                <w:szCs w:val="20"/>
                <w:color w:val="auto"/>
              </w:rPr>
            </w:pPr>
            <w:r>
              <w:rPr>
                <w:rFonts w:ascii="Verdana" w:cs="Verdana" w:eastAsia="Verdana" w:hAnsi="Verdana"/>
                <w:sz w:val="16"/>
                <w:szCs w:val="16"/>
                <w:color w:val="auto"/>
              </w:rPr>
              <w:t>1,175</w:t>
            </w:r>
          </w:p>
        </w:tc>
      </w:tr>
    </w:tbl>
    <w:p>
      <w:pPr>
        <w:spacing w:after="0" w:line="20" w:lineRule="exact"/>
        <w:rPr>
          <w:sz w:val="20"/>
          <w:szCs w:val="20"/>
          <w:color w:val="auto"/>
        </w:rPr>
      </w:pPr>
    </w:p>
    <w:p>
      <w:pPr>
        <w:spacing w:after="0" w:line="226" w:lineRule="exact"/>
        <w:rPr>
          <w:sz w:val="20"/>
          <w:szCs w:val="20"/>
          <w:color w:val="auto"/>
        </w:rPr>
      </w:pPr>
    </w:p>
    <w:p>
      <w:pPr>
        <w:ind w:left="780"/>
        <w:spacing w:after="0"/>
        <w:rPr>
          <w:sz w:val="20"/>
          <w:szCs w:val="20"/>
          <w:color w:val="auto"/>
        </w:rPr>
      </w:pPr>
      <w:r>
        <w:rPr>
          <w:rFonts w:ascii="Verdana" w:cs="Verdana" w:eastAsia="Verdana" w:hAnsi="Verdana"/>
          <w:sz w:val="20"/>
          <w:szCs w:val="20"/>
          <w:color w:val="214E93"/>
        </w:rPr>
        <w:t>NOTE 5 — ASSET RETIREMENT OBLIGATIONS</w:t>
      </w:r>
    </w:p>
    <w:p>
      <w:pPr>
        <w:spacing w:after="0" w:line="209" w:lineRule="exact"/>
        <w:rPr>
          <w:sz w:val="20"/>
          <w:szCs w:val="20"/>
          <w:color w:val="auto"/>
        </w:rPr>
      </w:pPr>
    </w:p>
    <w:p>
      <w:pPr>
        <w:ind w:left="780" w:right="60" w:firstLine="241"/>
        <w:spacing w:after="0" w:line="268" w:lineRule="auto"/>
        <w:rPr>
          <w:sz w:val="20"/>
          <w:szCs w:val="20"/>
          <w:color w:val="auto"/>
        </w:rPr>
      </w:pPr>
      <w:r>
        <w:rPr>
          <w:rFonts w:ascii="Calibri" w:cs="Calibri" w:eastAsia="Calibri" w:hAnsi="Calibri"/>
          <w:sz w:val="18"/>
          <w:szCs w:val="18"/>
          <w:color w:val="auto"/>
        </w:rPr>
        <w:t>The Company’s asset retirement obligations primarily relate to future costs associated with plugging and abandonment of its oil, natural gas and salt water disposal wells, removal of pipelines, equipment and facilities from leased acreage and returning such land to its original condition. The amounts recognized are based on numerous estimates and assumptions, including future retirement costs, future recoverable quantities of oil and natural gas, future inflation rates and the Company’s credit-adjusted risk-free interest rate. Revisions to the liability can occur due to changes in these estimates and assumptions or if federal or state regulators enact new plugging and abandonment requirements. At the time of the actual plugging and abandonment of its oil and natural gas wells, the Company includes any gain or loss associated with the operation in the amortization base to the extent the actual costs are different from the estimated liability.</w:t>
      </w:r>
    </w:p>
    <w:p>
      <w:pPr>
        <w:spacing w:after="0" w:line="217" w:lineRule="exact"/>
        <w:rPr>
          <w:sz w:val="20"/>
          <w:szCs w:val="20"/>
          <w:color w:val="auto"/>
        </w:rPr>
      </w:pPr>
    </w:p>
    <w:p>
      <w:pPr>
        <w:ind w:left="780" w:right="1340" w:firstLine="241"/>
        <w:spacing w:after="0" w:line="252" w:lineRule="auto"/>
        <w:rPr>
          <w:sz w:val="20"/>
          <w:szCs w:val="20"/>
          <w:color w:val="auto"/>
        </w:rPr>
      </w:pPr>
      <w:r>
        <w:rPr>
          <w:rFonts w:ascii="Calibri" w:cs="Calibri" w:eastAsia="Calibri" w:hAnsi="Calibri"/>
          <w:sz w:val="18"/>
          <w:szCs w:val="18"/>
          <w:color w:val="auto"/>
        </w:rPr>
        <w:t>The following table summarizes the changes in the Company’s asset retirement obligations for the years ended December 31, 2025 and 2024 (in thousands).</w:t>
      </w:r>
    </w:p>
    <w:p>
      <w:pPr>
        <w:spacing w:after="0" w:line="188" w:lineRule="exact"/>
        <w:rPr>
          <w:sz w:val="20"/>
          <w:szCs w:val="20"/>
          <w:color w:val="auto"/>
        </w:rPr>
      </w:pPr>
    </w:p>
    <w:tbl>
      <w:tblPr>
        <w:tblLayout w:type="fixed"/>
        <w:tblInd w:w="780" w:type="dxa"/>
        <w:tblCellMar>
          <w:top w:w="0" w:type="dxa"/>
          <w:left w:w="0" w:type="dxa"/>
          <w:bottom w:w="0" w:type="dxa"/>
          <w:right w:w="0" w:type="dxa"/>
        </w:tblCellMar>
      </w:tblPr>
      <w:tr>
        <w:trPr>
          <w:trHeight w:val="193"/>
        </w:trPr>
        <w:tc>
          <w:tcPr>
            <w:tcW w:w="7060" w:type="dxa"/>
            <w:vAlign w:val="bottom"/>
          </w:tcPr>
          <w:p>
            <w:pPr>
              <w:spacing w:after="0"/>
              <w:rPr>
                <w:sz w:val="16"/>
                <w:szCs w:val="16"/>
                <w:color w:val="auto"/>
              </w:rPr>
            </w:pPr>
          </w:p>
        </w:tc>
        <w:tc>
          <w:tcPr>
            <w:tcW w:w="240" w:type="dxa"/>
            <w:vAlign w:val="bottom"/>
            <w:tcBorders>
              <w:bottom w:val="single" w:sz="8" w:color="214E93"/>
            </w:tcBorders>
          </w:tcPr>
          <w:p>
            <w:pPr>
              <w:spacing w:after="0"/>
              <w:rPr>
                <w:sz w:val="16"/>
                <w:szCs w:val="16"/>
                <w:color w:val="auto"/>
              </w:rPr>
            </w:pPr>
          </w:p>
        </w:tc>
        <w:tc>
          <w:tcPr>
            <w:tcW w:w="2260" w:type="dxa"/>
            <w:vAlign w:val="bottom"/>
            <w:tcBorders>
              <w:bottom w:val="single" w:sz="8" w:color="214E93"/>
            </w:tcBorders>
            <w:gridSpan w:val="3"/>
          </w:tcPr>
          <w:p>
            <w:pPr>
              <w:jc w:val="right"/>
              <w:ind w:right="262"/>
              <w:spacing w:after="0"/>
              <w:rPr>
                <w:sz w:val="20"/>
                <w:szCs w:val="20"/>
                <w:color w:val="auto"/>
              </w:rPr>
            </w:pPr>
            <w:r>
              <w:rPr>
                <w:rFonts w:ascii="Verdana" w:cs="Verdana" w:eastAsia="Verdana" w:hAnsi="Verdana"/>
                <w:sz w:val="14"/>
                <w:szCs w:val="14"/>
                <w:color w:val="auto"/>
              </w:rPr>
              <w:t>Year Ended December 31,</w:t>
            </w:r>
          </w:p>
        </w:tc>
      </w:tr>
      <w:tr>
        <w:trPr>
          <w:trHeight w:val="201"/>
        </w:trPr>
        <w:tc>
          <w:tcPr>
            <w:tcW w:w="7060" w:type="dxa"/>
            <w:vAlign w:val="bottom"/>
            <w:tcBorders>
              <w:bottom w:val="single" w:sz="8" w:color="214E93"/>
            </w:tcBorders>
          </w:tcPr>
          <w:p>
            <w:pPr>
              <w:spacing w:after="0"/>
              <w:rPr>
                <w:sz w:val="17"/>
                <w:szCs w:val="17"/>
                <w:color w:val="auto"/>
              </w:rPr>
            </w:pPr>
          </w:p>
        </w:tc>
        <w:tc>
          <w:tcPr>
            <w:tcW w:w="240" w:type="dxa"/>
            <w:vAlign w:val="bottom"/>
            <w:tcBorders>
              <w:bottom w:val="single" w:sz="8" w:color="214E93"/>
            </w:tcBorders>
          </w:tcPr>
          <w:p>
            <w:pPr>
              <w:spacing w:after="0"/>
              <w:rPr>
                <w:sz w:val="17"/>
                <w:szCs w:val="17"/>
                <w:color w:val="auto"/>
              </w:rPr>
            </w:pPr>
          </w:p>
        </w:tc>
        <w:tc>
          <w:tcPr>
            <w:tcW w:w="1020" w:type="dxa"/>
            <w:vAlign w:val="bottom"/>
            <w:tcBorders>
              <w:bottom w:val="single" w:sz="8" w:color="214E93"/>
            </w:tcBorders>
          </w:tcPr>
          <w:p>
            <w:pPr>
              <w:jc w:val="right"/>
              <w:ind w:right="403"/>
              <w:spacing w:after="0"/>
              <w:rPr>
                <w:sz w:val="20"/>
                <w:szCs w:val="20"/>
                <w:color w:val="auto"/>
              </w:rPr>
            </w:pPr>
            <w:r>
              <w:rPr>
                <w:rFonts w:ascii="Verdana" w:cs="Verdana" w:eastAsia="Verdana" w:hAnsi="Verdana"/>
                <w:sz w:val="14"/>
                <w:szCs w:val="14"/>
                <w:color w:val="auto"/>
              </w:rPr>
              <w:t>2025</w:t>
            </w:r>
          </w:p>
        </w:tc>
        <w:tc>
          <w:tcPr>
            <w:tcW w:w="320" w:type="dxa"/>
            <w:vAlign w:val="bottom"/>
            <w:tcBorders>
              <w:bottom w:val="single" w:sz="8" w:color="214E93"/>
            </w:tcBorders>
          </w:tcPr>
          <w:p>
            <w:pPr>
              <w:spacing w:after="0"/>
              <w:rPr>
                <w:sz w:val="17"/>
                <w:szCs w:val="17"/>
                <w:color w:val="auto"/>
              </w:rPr>
            </w:pPr>
          </w:p>
        </w:tc>
        <w:tc>
          <w:tcPr>
            <w:tcW w:w="920" w:type="dxa"/>
            <w:vAlign w:val="bottom"/>
            <w:tcBorders>
              <w:bottom w:val="single" w:sz="8" w:color="214E93"/>
            </w:tcBorders>
          </w:tcPr>
          <w:p>
            <w:pPr>
              <w:jc w:val="right"/>
              <w:ind w:right="362"/>
              <w:spacing w:after="0"/>
              <w:rPr>
                <w:sz w:val="20"/>
                <w:szCs w:val="20"/>
                <w:color w:val="auto"/>
              </w:rPr>
            </w:pPr>
            <w:r>
              <w:rPr>
                <w:rFonts w:ascii="Verdana" w:cs="Verdana" w:eastAsia="Verdana" w:hAnsi="Verdana"/>
                <w:sz w:val="14"/>
                <w:szCs w:val="14"/>
                <w:color w:val="auto"/>
              </w:rPr>
              <w:t>2024</w:t>
            </w:r>
          </w:p>
        </w:tc>
      </w:tr>
      <w:tr>
        <w:trPr>
          <w:trHeight w:val="211"/>
        </w:trPr>
        <w:tc>
          <w:tcPr>
            <w:tcW w:w="7060" w:type="dxa"/>
            <w:vAlign w:val="bottom"/>
          </w:tcPr>
          <w:p>
            <w:pPr>
              <w:ind w:left="40"/>
              <w:spacing w:after="0"/>
              <w:rPr>
                <w:sz w:val="20"/>
                <w:szCs w:val="20"/>
                <w:color w:val="auto"/>
              </w:rPr>
            </w:pPr>
            <w:r>
              <w:rPr>
                <w:rFonts w:ascii="Verdana" w:cs="Verdana" w:eastAsia="Verdana" w:hAnsi="Verdana"/>
                <w:sz w:val="16"/>
                <w:szCs w:val="16"/>
                <w:color w:val="auto"/>
              </w:rPr>
              <w:t>Beginning asset retirement obligations</w:t>
            </w:r>
          </w:p>
        </w:tc>
        <w:tc>
          <w:tcPr>
            <w:tcW w:w="240" w:type="dxa"/>
            <w:vAlign w:val="bottom"/>
          </w:tcPr>
          <w:p>
            <w:pPr>
              <w:jc w:val="right"/>
              <w:ind w:right="21"/>
              <w:spacing w:after="0"/>
              <w:rPr>
                <w:sz w:val="20"/>
                <w:szCs w:val="20"/>
                <w:color w:val="auto"/>
              </w:rPr>
            </w:pPr>
            <w:r>
              <w:rPr>
                <w:rFonts w:ascii="Verdana" w:cs="Verdana" w:eastAsia="Verdana" w:hAnsi="Verdana"/>
                <w:sz w:val="16"/>
                <w:szCs w:val="16"/>
                <w:color w:val="214E93"/>
              </w:rPr>
              <w:t>$</w:t>
            </w:r>
          </w:p>
        </w:tc>
        <w:tc>
          <w:tcPr>
            <w:tcW w:w="1020" w:type="dxa"/>
            <w:vAlign w:val="bottom"/>
          </w:tcPr>
          <w:p>
            <w:pPr>
              <w:jc w:val="right"/>
              <w:ind w:right="63"/>
              <w:spacing w:after="0"/>
              <w:rPr>
                <w:sz w:val="20"/>
                <w:szCs w:val="20"/>
                <w:color w:val="auto"/>
              </w:rPr>
            </w:pPr>
            <w:r>
              <w:rPr>
                <w:rFonts w:ascii="Verdana" w:cs="Verdana" w:eastAsia="Verdana" w:hAnsi="Verdana"/>
                <w:sz w:val="16"/>
                <w:szCs w:val="16"/>
                <w:color w:val="214E93"/>
              </w:rPr>
              <w:t>122,668</w:t>
            </w:r>
          </w:p>
        </w:tc>
        <w:tc>
          <w:tcPr>
            <w:tcW w:w="320" w:type="dxa"/>
            <w:vAlign w:val="bottom"/>
          </w:tcPr>
          <w:p>
            <w:pPr>
              <w:jc w:val="right"/>
              <w:ind w:right="81"/>
              <w:spacing w:after="0"/>
              <w:rPr>
                <w:sz w:val="20"/>
                <w:szCs w:val="20"/>
                <w:color w:val="auto"/>
              </w:rPr>
            </w:pPr>
            <w:r>
              <w:rPr>
                <w:rFonts w:ascii="Verdana" w:cs="Verdana" w:eastAsia="Verdana" w:hAnsi="Verdana"/>
                <w:sz w:val="16"/>
                <w:szCs w:val="16"/>
                <w:color w:val="auto"/>
              </w:rPr>
              <w:t>$</w:t>
            </w:r>
          </w:p>
        </w:tc>
        <w:tc>
          <w:tcPr>
            <w:tcW w:w="920" w:type="dxa"/>
            <w:vAlign w:val="bottom"/>
          </w:tcPr>
          <w:p>
            <w:pPr>
              <w:jc w:val="right"/>
              <w:ind w:right="2"/>
              <w:spacing w:after="0"/>
              <w:rPr>
                <w:sz w:val="20"/>
                <w:szCs w:val="20"/>
                <w:color w:val="auto"/>
              </w:rPr>
            </w:pPr>
            <w:r>
              <w:rPr>
                <w:rFonts w:ascii="Verdana" w:cs="Verdana" w:eastAsia="Verdana" w:hAnsi="Verdana"/>
                <w:sz w:val="16"/>
                <w:szCs w:val="16"/>
                <w:color w:val="auto"/>
              </w:rPr>
              <w:t>92,090</w:t>
            </w:r>
          </w:p>
        </w:tc>
      </w:tr>
      <w:tr>
        <w:trPr>
          <w:trHeight w:val="235"/>
        </w:trPr>
        <w:tc>
          <w:tcPr>
            <w:tcW w:w="7060" w:type="dxa"/>
            <w:vAlign w:val="bottom"/>
          </w:tcPr>
          <w:p>
            <w:pPr>
              <w:ind w:left="160"/>
              <w:spacing w:after="0"/>
              <w:rPr>
                <w:sz w:val="20"/>
                <w:szCs w:val="20"/>
                <w:color w:val="auto"/>
              </w:rPr>
            </w:pPr>
            <w:r>
              <w:rPr>
                <w:rFonts w:ascii="Verdana" w:cs="Verdana" w:eastAsia="Verdana" w:hAnsi="Verdana"/>
                <w:sz w:val="16"/>
                <w:szCs w:val="16"/>
                <w:color w:val="auto"/>
              </w:rPr>
              <w:t>Liabilities incurred during period</w:t>
            </w:r>
          </w:p>
        </w:tc>
        <w:tc>
          <w:tcPr>
            <w:tcW w:w="240" w:type="dxa"/>
            <w:vAlign w:val="bottom"/>
          </w:tcPr>
          <w:p>
            <w:pPr>
              <w:spacing w:after="0"/>
              <w:rPr>
                <w:sz w:val="20"/>
                <w:szCs w:val="20"/>
                <w:color w:val="auto"/>
              </w:rPr>
            </w:pPr>
          </w:p>
        </w:tc>
        <w:tc>
          <w:tcPr>
            <w:tcW w:w="1020" w:type="dxa"/>
            <w:vAlign w:val="bottom"/>
          </w:tcPr>
          <w:p>
            <w:pPr>
              <w:jc w:val="right"/>
              <w:ind w:right="63"/>
              <w:spacing w:after="0"/>
              <w:rPr>
                <w:sz w:val="20"/>
                <w:szCs w:val="20"/>
                <w:color w:val="auto"/>
              </w:rPr>
            </w:pPr>
            <w:r>
              <w:rPr>
                <w:rFonts w:ascii="Verdana" w:cs="Verdana" w:eastAsia="Verdana" w:hAnsi="Verdana"/>
                <w:sz w:val="16"/>
                <w:szCs w:val="16"/>
                <w:color w:val="214E93"/>
              </w:rPr>
              <w:t>10,190</w:t>
            </w:r>
          </w:p>
        </w:tc>
        <w:tc>
          <w:tcPr>
            <w:tcW w:w="32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Verdana" w:cs="Verdana" w:eastAsia="Verdana" w:hAnsi="Verdana"/>
                <w:sz w:val="16"/>
                <w:szCs w:val="16"/>
                <w:color w:val="auto"/>
              </w:rPr>
              <w:t>7,538</w:t>
            </w:r>
          </w:p>
        </w:tc>
      </w:tr>
      <w:tr>
        <w:trPr>
          <w:trHeight w:val="236"/>
        </w:trPr>
        <w:tc>
          <w:tcPr>
            <w:tcW w:w="7060" w:type="dxa"/>
            <w:vAlign w:val="bottom"/>
          </w:tcPr>
          <w:p>
            <w:pPr>
              <w:ind w:left="160"/>
              <w:spacing w:after="0"/>
              <w:rPr>
                <w:sz w:val="20"/>
                <w:szCs w:val="20"/>
                <w:color w:val="auto"/>
              </w:rPr>
            </w:pPr>
            <w:r>
              <w:rPr>
                <w:rFonts w:ascii="Verdana" w:cs="Verdana" w:eastAsia="Verdana" w:hAnsi="Verdana"/>
                <w:sz w:val="16"/>
                <w:szCs w:val="16"/>
                <w:color w:val="auto"/>
              </w:rPr>
              <w:t>Liabilities settled during period</w:t>
            </w:r>
          </w:p>
        </w:tc>
        <w:tc>
          <w:tcPr>
            <w:tcW w:w="240" w:type="dxa"/>
            <w:vAlign w:val="bottom"/>
          </w:tcPr>
          <w:p>
            <w:pPr>
              <w:spacing w:after="0"/>
              <w:rPr>
                <w:sz w:val="20"/>
                <w:szCs w:val="20"/>
                <w:color w:val="auto"/>
              </w:rPr>
            </w:pPr>
          </w:p>
        </w:tc>
        <w:tc>
          <w:tcPr>
            <w:tcW w:w="1020" w:type="dxa"/>
            <w:vAlign w:val="bottom"/>
          </w:tcPr>
          <w:p>
            <w:pPr>
              <w:jc w:val="right"/>
              <w:ind w:right="3"/>
              <w:spacing w:after="0"/>
              <w:rPr>
                <w:sz w:val="20"/>
                <w:szCs w:val="20"/>
                <w:color w:val="auto"/>
              </w:rPr>
            </w:pPr>
            <w:r>
              <w:rPr>
                <w:rFonts w:ascii="Verdana" w:cs="Verdana" w:eastAsia="Verdana" w:hAnsi="Verdana"/>
                <w:sz w:val="16"/>
                <w:szCs w:val="16"/>
                <w:color w:val="214E93"/>
              </w:rPr>
              <w:t>(1,674)</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Verdana" w:cs="Verdana" w:eastAsia="Verdana" w:hAnsi="Verdana"/>
                <w:sz w:val="16"/>
                <w:szCs w:val="16"/>
                <w:color w:val="auto"/>
              </w:rPr>
              <w:t>(1,188)</w:t>
            </w:r>
          </w:p>
        </w:tc>
      </w:tr>
      <w:tr>
        <w:trPr>
          <w:trHeight w:val="236"/>
        </w:trPr>
        <w:tc>
          <w:tcPr>
            <w:tcW w:w="7060" w:type="dxa"/>
            <w:vAlign w:val="bottom"/>
          </w:tcPr>
          <w:p>
            <w:pPr>
              <w:ind w:left="160"/>
              <w:spacing w:after="0"/>
              <w:rPr>
                <w:sz w:val="20"/>
                <w:szCs w:val="20"/>
                <w:color w:val="auto"/>
              </w:rPr>
            </w:pPr>
            <w:r>
              <w:rPr>
                <w:rFonts w:ascii="Verdana" w:cs="Verdana" w:eastAsia="Verdana" w:hAnsi="Verdana"/>
                <w:sz w:val="16"/>
                <w:szCs w:val="16"/>
                <w:color w:val="auto"/>
              </w:rPr>
              <w:t>Revisions in estimated cash flows</w:t>
            </w:r>
          </w:p>
        </w:tc>
        <w:tc>
          <w:tcPr>
            <w:tcW w:w="240" w:type="dxa"/>
            <w:vAlign w:val="bottom"/>
          </w:tcPr>
          <w:p>
            <w:pPr>
              <w:spacing w:after="0"/>
              <w:rPr>
                <w:sz w:val="20"/>
                <w:szCs w:val="20"/>
                <w:color w:val="auto"/>
              </w:rPr>
            </w:pPr>
          </w:p>
        </w:tc>
        <w:tc>
          <w:tcPr>
            <w:tcW w:w="1020" w:type="dxa"/>
            <w:vAlign w:val="bottom"/>
          </w:tcPr>
          <w:p>
            <w:pPr>
              <w:jc w:val="right"/>
              <w:ind w:right="63"/>
              <w:spacing w:after="0"/>
              <w:rPr>
                <w:sz w:val="20"/>
                <w:szCs w:val="20"/>
                <w:color w:val="auto"/>
              </w:rPr>
            </w:pPr>
            <w:r>
              <w:rPr>
                <w:rFonts w:ascii="Verdana" w:cs="Verdana" w:eastAsia="Verdana" w:hAnsi="Verdana"/>
                <w:sz w:val="16"/>
                <w:szCs w:val="16"/>
                <w:color w:val="214E93"/>
              </w:rPr>
              <w:t>17,141</w:t>
            </w:r>
          </w:p>
        </w:tc>
        <w:tc>
          <w:tcPr>
            <w:tcW w:w="32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Verdana" w:cs="Verdana" w:eastAsia="Verdana" w:hAnsi="Verdana"/>
                <w:sz w:val="16"/>
                <w:szCs w:val="16"/>
                <w:color w:val="auto"/>
              </w:rPr>
              <w:t>16,351</w:t>
            </w:r>
          </w:p>
        </w:tc>
      </w:tr>
      <w:tr>
        <w:trPr>
          <w:trHeight w:val="236"/>
        </w:trPr>
        <w:tc>
          <w:tcPr>
            <w:tcW w:w="7060" w:type="dxa"/>
            <w:vAlign w:val="bottom"/>
          </w:tcPr>
          <w:p>
            <w:pPr>
              <w:ind w:left="160"/>
              <w:spacing w:after="0"/>
              <w:rPr>
                <w:sz w:val="20"/>
                <w:szCs w:val="20"/>
                <w:color w:val="auto"/>
              </w:rPr>
            </w:pPr>
            <w:r>
              <w:rPr>
                <w:rFonts w:ascii="Verdana" w:cs="Verdana" w:eastAsia="Verdana" w:hAnsi="Verdana"/>
                <w:sz w:val="16"/>
                <w:szCs w:val="16"/>
                <w:color w:val="auto"/>
              </w:rPr>
              <w:t>Acquisitions during the period</w:t>
            </w:r>
          </w:p>
        </w:tc>
        <w:tc>
          <w:tcPr>
            <w:tcW w:w="240" w:type="dxa"/>
            <w:vAlign w:val="bottom"/>
          </w:tcPr>
          <w:p>
            <w:pPr>
              <w:spacing w:after="0"/>
              <w:rPr>
                <w:sz w:val="20"/>
                <w:szCs w:val="20"/>
                <w:color w:val="auto"/>
              </w:rPr>
            </w:pPr>
          </w:p>
        </w:tc>
        <w:tc>
          <w:tcPr>
            <w:tcW w:w="1020" w:type="dxa"/>
            <w:vAlign w:val="bottom"/>
          </w:tcPr>
          <w:p>
            <w:pPr>
              <w:jc w:val="right"/>
              <w:ind w:right="63"/>
              <w:spacing w:after="0"/>
              <w:rPr>
                <w:sz w:val="20"/>
                <w:szCs w:val="20"/>
                <w:color w:val="auto"/>
              </w:rPr>
            </w:pPr>
            <w:r>
              <w:rPr>
                <w:rFonts w:ascii="Verdana" w:cs="Verdana" w:eastAsia="Verdana" w:hAnsi="Verdana"/>
                <w:sz w:val="16"/>
                <w:szCs w:val="16"/>
                <w:color w:val="214E93"/>
              </w:rPr>
              <w:t>—</w:t>
            </w:r>
          </w:p>
        </w:tc>
        <w:tc>
          <w:tcPr>
            <w:tcW w:w="32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Verdana" w:cs="Verdana" w:eastAsia="Verdana" w:hAnsi="Verdana"/>
                <w:sz w:val="16"/>
                <w:szCs w:val="16"/>
                <w:color w:val="auto"/>
              </w:rPr>
              <w:t>7,487</w:t>
            </w:r>
          </w:p>
        </w:tc>
      </w:tr>
      <w:tr>
        <w:trPr>
          <w:trHeight w:val="236"/>
        </w:trPr>
        <w:tc>
          <w:tcPr>
            <w:tcW w:w="7060" w:type="dxa"/>
            <w:vAlign w:val="bottom"/>
          </w:tcPr>
          <w:p>
            <w:pPr>
              <w:ind w:left="160"/>
              <w:spacing w:after="0"/>
              <w:rPr>
                <w:sz w:val="20"/>
                <w:szCs w:val="20"/>
                <w:color w:val="auto"/>
              </w:rPr>
            </w:pPr>
            <w:r>
              <w:rPr>
                <w:rFonts w:ascii="Verdana" w:cs="Verdana" w:eastAsia="Verdana" w:hAnsi="Verdana"/>
                <w:sz w:val="16"/>
                <w:szCs w:val="16"/>
                <w:color w:val="auto"/>
              </w:rPr>
              <w:t>Divestitures during the period</w:t>
            </w:r>
          </w:p>
        </w:tc>
        <w:tc>
          <w:tcPr>
            <w:tcW w:w="240" w:type="dxa"/>
            <w:vAlign w:val="bottom"/>
          </w:tcPr>
          <w:p>
            <w:pPr>
              <w:spacing w:after="0"/>
              <w:rPr>
                <w:sz w:val="20"/>
                <w:szCs w:val="20"/>
                <w:color w:val="auto"/>
              </w:rPr>
            </w:pPr>
          </w:p>
        </w:tc>
        <w:tc>
          <w:tcPr>
            <w:tcW w:w="1020" w:type="dxa"/>
            <w:vAlign w:val="bottom"/>
          </w:tcPr>
          <w:p>
            <w:pPr>
              <w:jc w:val="right"/>
              <w:ind w:right="3"/>
              <w:spacing w:after="0"/>
              <w:rPr>
                <w:sz w:val="20"/>
                <w:szCs w:val="20"/>
                <w:color w:val="auto"/>
              </w:rPr>
            </w:pPr>
            <w:r>
              <w:rPr>
                <w:rFonts w:ascii="Verdana" w:cs="Verdana" w:eastAsia="Verdana" w:hAnsi="Verdana"/>
                <w:sz w:val="16"/>
                <w:szCs w:val="16"/>
                <w:color w:val="214E93"/>
              </w:rPr>
              <w:t>(5,799)</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Verdana" w:cs="Verdana" w:eastAsia="Verdana" w:hAnsi="Verdana"/>
                <w:sz w:val="16"/>
                <w:szCs w:val="16"/>
                <w:color w:val="auto"/>
              </w:rPr>
              <w:t>(5,637)</w:t>
            </w:r>
          </w:p>
        </w:tc>
      </w:tr>
      <w:tr>
        <w:trPr>
          <w:trHeight w:val="242"/>
        </w:trPr>
        <w:tc>
          <w:tcPr>
            <w:tcW w:w="7060" w:type="dxa"/>
            <w:vAlign w:val="bottom"/>
            <w:tcBorders>
              <w:bottom w:val="single" w:sz="8" w:color="auto"/>
            </w:tcBorders>
          </w:tcPr>
          <w:p>
            <w:pPr>
              <w:ind w:left="160"/>
              <w:spacing w:after="0"/>
              <w:rPr>
                <w:sz w:val="20"/>
                <w:szCs w:val="20"/>
                <w:color w:val="auto"/>
              </w:rPr>
            </w:pPr>
            <w:r>
              <w:rPr>
                <w:rFonts w:ascii="Verdana" w:cs="Verdana" w:eastAsia="Verdana" w:hAnsi="Verdana"/>
                <w:sz w:val="16"/>
                <w:szCs w:val="16"/>
                <w:color w:val="auto"/>
              </w:rPr>
              <w:t>Accretion expense</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63"/>
              <w:spacing w:after="0"/>
              <w:rPr>
                <w:sz w:val="20"/>
                <w:szCs w:val="20"/>
                <w:color w:val="auto"/>
              </w:rPr>
            </w:pPr>
            <w:r>
              <w:rPr>
                <w:rFonts w:ascii="Verdana" w:cs="Verdana" w:eastAsia="Verdana" w:hAnsi="Verdana"/>
                <w:sz w:val="16"/>
                <w:szCs w:val="16"/>
                <w:color w:val="214E93"/>
              </w:rPr>
              <w:t>7,846</w:t>
            </w: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auto"/>
              </w:rPr>
              <w:t>6,027</w:t>
            </w:r>
          </w:p>
        </w:tc>
      </w:tr>
      <w:tr>
        <w:trPr>
          <w:trHeight w:val="211"/>
        </w:trPr>
        <w:tc>
          <w:tcPr>
            <w:tcW w:w="7060" w:type="dxa"/>
            <w:vAlign w:val="bottom"/>
          </w:tcPr>
          <w:p>
            <w:pPr>
              <w:ind w:left="280"/>
              <w:spacing w:after="0"/>
              <w:rPr>
                <w:sz w:val="20"/>
                <w:szCs w:val="20"/>
                <w:color w:val="auto"/>
              </w:rPr>
            </w:pPr>
            <w:r>
              <w:rPr>
                <w:rFonts w:ascii="Verdana" w:cs="Verdana" w:eastAsia="Verdana" w:hAnsi="Verdana"/>
                <w:sz w:val="16"/>
                <w:szCs w:val="16"/>
                <w:color w:val="auto"/>
              </w:rPr>
              <w:t>Ending asset retirement obligations</w:t>
            </w:r>
          </w:p>
        </w:tc>
        <w:tc>
          <w:tcPr>
            <w:tcW w:w="240" w:type="dxa"/>
            <w:vAlign w:val="bottom"/>
          </w:tcPr>
          <w:p>
            <w:pPr>
              <w:spacing w:after="0"/>
              <w:rPr>
                <w:sz w:val="18"/>
                <w:szCs w:val="18"/>
                <w:color w:val="auto"/>
              </w:rPr>
            </w:pPr>
          </w:p>
        </w:tc>
        <w:tc>
          <w:tcPr>
            <w:tcW w:w="1020" w:type="dxa"/>
            <w:vAlign w:val="bottom"/>
          </w:tcPr>
          <w:p>
            <w:pPr>
              <w:jc w:val="right"/>
              <w:ind w:right="63"/>
              <w:spacing w:after="0"/>
              <w:rPr>
                <w:sz w:val="20"/>
                <w:szCs w:val="20"/>
                <w:color w:val="auto"/>
              </w:rPr>
            </w:pPr>
            <w:r>
              <w:rPr>
                <w:rFonts w:ascii="Verdana" w:cs="Verdana" w:eastAsia="Verdana" w:hAnsi="Verdana"/>
                <w:sz w:val="16"/>
                <w:szCs w:val="16"/>
                <w:color w:val="214E93"/>
              </w:rPr>
              <w:t>150,372</w:t>
            </w:r>
          </w:p>
        </w:tc>
        <w:tc>
          <w:tcPr>
            <w:tcW w:w="32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Verdana" w:cs="Verdana" w:eastAsia="Verdana" w:hAnsi="Verdana"/>
                <w:sz w:val="16"/>
                <w:szCs w:val="16"/>
                <w:color w:val="auto"/>
              </w:rPr>
              <w:t>122,668</w:t>
            </w:r>
          </w:p>
        </w:tc>
      </w:tr>
      <w:tr>
        <w:trPr>
          <w:trHeight w:val="247"/>
        </w:trPr>
        <w:tc>
          <w:tcPr>
            <w:tcW w:w="706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Less: current asset retirement obligations</w:t>
            </w:r>
            <w:r>
              <w:rPr>
                <w:rFonts w:ascii="Verdana" w:cs="Verdana" w:eastAsia="Verdana" w:hAnsi="Verdana"/>
                <w:sz w:val="20"/>
                <w:szCs w:val="20"/>
                <w:color w:val="auto"/>
                <w:vertAlign w:val="superscript"/>
              </w:rPr>
              <w:t>(1)</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
              <w:spacing w:after="0"/>
              <w:rPr>
                <w:sz w:val="20"/>
                <w:szCs w:val="20"/>
                <w:color w:val="auto"/>
              </w:rPr>
            </w:pPr>
            <w:r>
              <w:rPr>
                <w:rFonts w:ascii="Verdana" w:cs="Verdana" w:eastAsia="Verdana" w:hAnsi="Verdana"/>
                <w:sz w:val="16"/>
                <w:szCs w:val="16"/>
                <w:color w:val="214E93"/>
              </w:rPr>
              <w:t>(6,309)</w:t>
            </w: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(8,431)</w:t>
            </w:r>
          </w:p>
        </w:tc>
      </w:tr>
      <w:tr>
        <w:trPr>
          <w:trHeight w:val="211"/>
        </w:trPr>
        <w:tc>
          <w:tcPr>
            <w:tcW w:w="7060" w:type="dxa"/>
            <w:vAlign w:val="bottom"/>
            <w:tcBorders>
              <w:bottom w:val="single" w:sz="8" w:color="214E93"/>
            </w:tcBorders>
          </w:tcPr>
          <w:p>
            <w:pPr>
              <w:ind w:left="40"/>
              <w:spacing w:after="0"/>
              <w:rPr>
                <w:sz w:val="20"/>
                <w:szCs w:val="20"/>
                <w:color w:val="auto"/>
              </w:rPr>
            </w:pPr>
            <w:r>
              <w:rPr>
                <w:rFonts w:ascii="Verdana" w:cs="Verdana" w:eastAsia="Verdana" w:hAnsi="Verdana"/>
                <w:sz w:val="16"/>
                <w:szCs w:val="16"/>
                <w:color w:val="auto"/>
              </w:rPr>
              <w:t>Long-term asset retirement obligations</w:t>
            </w:r>
          </w:p>
        </w:tc>
        <w:tc>
          <w:tcPr>
            <w:tcW w:w="240" w:type="dxa"/>
            <w:vAlign w:val="bottom"/>
            <w:tcBorders>
              <w:bottom w:val="single" w:sz="8" w:color="214E93"/>
            </w:tcBorders>
          </w:tcPr>
          <w:p>
            <w:pPr>
              <w:jc w:val="right"/>
              <w:ind w:right="21"/>
              <w:spacing w:after="0"/>
              <w:rPr>
                <w:sz w:val="20"/>
                <w:szCs w:val="20"/>
                <w:color w:val="auto"/>
              </w:rPr>
            </w:pPr>
            <w:r>
              <w:rPr>
                <w:rFonts w:ascii="Verdana" w:cs="Verdana" w:eastAsia="Verdana" w:hAnsi="Verdana"/>
                <w:sz w:val="16"/>
                <w:szCs w:val="16"/>
                <w:color w:val="214E93"/>
              </w:rPr>
              <w:t>$</w:t>
            </w:r>
          </w:p>
        </w:tc>
        <w:tc>
          <w:tcPr>
            <w:tcW w:w="1020" w:type="dxa"/>
            <w:vAlign w:val="bottom"/>
            <w:tcBorders>
              <w:bottom w:val="single" w:sz="8" w:color="214E93"/>
            </w:tcBorders>
          </w:tcPr>
          <w:p>
            <w:pPr>
              <w:jc w:val="right"/>
              <w:ind w:right="63"/>
              <w:spacing w:after="0"/>
              <w:rPr>
                <w:sz w:val="20"/>
                <w:szCs w:val="20"/>
                <w:color w:val="auto"/>
              </w:rPr>
            </w:pPr>
            <w:r>
              <w:rPr>
                <w:rFonts w:ascii="Verdana" w:cs="Verdana" w:eastAsia="Verdana" w:hAnsi="Verdana"/>
                <w:sz w:val="16"/>
                <w:szCs w:val="16"/>
                <w:color w:val="214E93"/>
              </w:rPr>
              <w:t>144,063</w:t>
            </w:r>
          </w:p>
        </w:tc>
        <w:tc>
          <w:tcPr>
            <w:tcW w:w="320" w:type="dxa"/>
            <w:vAlign w:val="bottom"/>
            <w:tcBorders>
              <w:bottom w:val="single" w:sz="8" w:color="214E93"/>
            </w:tcBorders>
          </w:tcPr>
          <w:p>
            <w:pPr>
              <w:jc w:val="right"/>
              <w:ind w:right="81"/>
              <w:spacing w:after="0"/>
              <w:rPr>
                <w:sz w:val="20"/>
                <w:szCs w:val="20"/>
                <w:color w:val="auto"/>
              </w:rPr>
            </w:pPr>
            <w:r>
              <w:rPr>
                <w:rFonts w:ascii="Verdana" w:cs="Verdana" w:eastAsia="Verdana" w:hAnsi="Verdana"/>
                <w:sz w:val="16"/>
                <w:szCs w:val="16"/>
                <w:color w:val="auto"/>
              </w:rPr>
              <w:t>$</w:t>
            </w:r>
          </w:p>
        </w:tc>
        <w:tc>
          <w:tcPr>
            <w:tcW w:w="920" w:type="dxa"/>
            <w:vAlign w:val="bottom"/>
            <w:tcBorders>
              <w:bottom w:val="single" w:sz="8" w:color="214E93"/>
            </w:tcBorders>
          </w:tcPr>
          <w:p>
            <w:pPr>
              <w:jc w:val="right"/>
              <w:ind w:right="2"/>
              <w:spacing w:after="0"/>
              <w:rPr>
                <w:sz w:val="20"/>
                <w:szCs w:val="20"/>
                <w:color w:val="auto"/>
              </w:rPr>
            </w:pPr>
            <w:r>
              <w:rPr>
                <w:rFonts w:ascii="Verdana" w:cs="Verdana" w:eastAsia="Verdana" w:hAnsi="Verdana"/>
                <w:sz w:val="16"/>
                <w:szCs w:val="16"/>
                <w:color w:val="auto"/>
              </w:rPr>
              <w:t>114,237</w:t>
            </w:r>
          </w:p>
        </w:tc>
      </w:tr>
    </w:tbl>
    <w:p>
      <w:pPr>
        <w:spacing w:after="0" w:line="20" w:lineRule="exact"/>
        <w:rPr>
          <w:sz w:val="20"/>
          <w:szCs w:val="20"/>
          <w:color w:val="auto"/>
        </w:rPr>
      </w:pPr>
    </w:p>
    <w:p>
      <w:pPr>
        <w:spacing w:after="0" w:line="106" w:lineRule="exact"/>
        <w:rPr>
          <w:sz w:val="20"/>
          <w:szCs w:val="20"/>
          <w:color w:val="auto"/>
        </w:rPr>
      </w:pPr>
    </w:p>
    <w:p>
      <w:pPr>
        <w:ind w:left="1400" w:hanging="357"/>
        <w:spacing w:after="0"/>
        <w:tabs>
          <w:tab w:leader="none" w:pos="1400" w:val="left"/>
        </w:tabs>
        <w:numPr>
          <w:ilvl w:val="0"/>
          <w:numId w:val="80"/>
        </w:numPr>
        <w:rPr>
          <w:rFonts w:ascii="Calibri" w:cs="Calibri" w:eastAsia="Calibri" w:hAnsi="Calibri"/>
          <w:sz w:val="14"/>
          <w:szCs w:val="14"/>
          <w:color w:val="auto"/>
        </w:rPr>
      </w:pPr>
      <w:r>
        <w:rPr>
          <w:rFonts w:ascii="Calibri" w:cs="Calibri" w:eastAsia="Calibri" w:hAnsi="Calibri"/>
          <w:sz w:val="14"/>
          <w:szCs w:val="14"/>
          <w:color w:val="auto"/>
        </w:rPr>
        <w:t>Included in “Accrued liabilities” in the Company’s consolidated balance sheets at December 31, 2025 and 2024.</w:t>
      </w:r>
    </w:p>
    <w:p>
      <w:pPr>
        <w:sectPr>
          <w:pgSz w:w="11880" w:h="15480" w:orient="portrait"/>
          <w:cols w:equalWidth="0" w:num="1">
            <w:col w:w="10340"/>
          </w:cols>
          <w:pgMar w:left="38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0"/>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0340"/>
          </w:cols>
          <w:pgMar w:left="380" w:top="498" w:right="1160" w:bottom="0" w:gutter="0" w:footer="0" w:header="0"/>
          <w:type w:val="continuous"/>
        </w:sectPr>
      </w:pPr>
    </w:p>
    <w:bookmarkStart w:id="150" w:name="page151"/>
    <w:bookmarkEnd w:id="150"/>
    <w:tbl>
      <w:tblPr>
        <w:tblLayout w:type="fixed"/>
        <w:tblInd w:w="7880" w:type="dxa"/>
        <w:tblCellMar>
          <w:top w:w="0" w:type="dxa"/>
          <w:left w:w="0" w:type="dxa"/>
          <w:bottom w:w="0" w:type="dxa"/>
          <w:right w:w="0" w:type="dxa"/>
        </w:tblCellMar>
      </w:tblPr>
      <w:tr>
        <w:trPr>
          <w:trHeight w:val="220"/>
        </w:trPr>
        <w:tc>
          <w:tcPr>
            <w:tcW w:w="188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580" w:type="dxa"/>
            <w:vAlign w:val="bottom"/>
          </w:tcPr>
          <w:p>
            <w:pPr>
              <w:ind w:left="260"/>
              <w:spacing w:after="0"/>
              <w:rPr>
                <w:sz w:val="20"/>
                <w:szCs w:val="20"/>
                <w:color w:val="auto"/>
              </w:rPr>
            </w:pPr>
            <w:r>
              <w:rPr>
                <w:rFonts w:ascii="Calibri" w:cs="Calibri" w:eastAsia="Calibri" w:hAnsi="Calibri"/>
                <w:sz w:val="18"/>
                <w:szCs w:val="18"/>
                <w:color w:val="auto"/>
                <w:w w:val="93"/>
              </w:rPr>
              <w:t>F-20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298" name="Shape 2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98" o:spid="_x0000_s13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299" name="Shape 2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299" o:spid="_x0000_s13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Verdana" w:cs="Verdana" w:eastAsia="Verdana" w:hAnsi="Verdana"/>
          <w:sz w:val="20"/>
          <w:szCs w:val="20"/>
          <w:color w:val="214E93"/>
        </w:rPr>
        <w:t>NOTE 6 — BUSINESS COMBINATIONS AND DIVESTITURES</w:t>
      </w:r>
    </w:p>
    <w:p>
      <w:pPr>
        <w:spacing w:after="0" w:line="196"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Business Combinations</w:t>
      </w:r>
    </w:p>
    <w:p>
      <w:pPr>
        <w:spacing w:after="0" w:line="194" w:lineRule="exact"/>
        <w:rPr>
          <w:sz w:val="20"/>
          <w:szCs w:val="20"/>
          <w:color w:val="auto"/>
        </w:rPr>
      </w:pPr>
    </w:p>
    <w:p>
      <w:pPr>
        <w:spacing w:after="0"/>
        <w:rPr>
          <w:sz w:val="20"/>
          <w:szCs w:val="20"/>
          <w:color w:val="auto"/>
        </w:rPr>
      </w:pPr>
      <w:r>
        <w:rPr>
          <w:rFonts w:ascii="Calibri" w:cs="Calibri" w:eastAsia="Calibri" w:hAnsi="Calibri"/>
          <w:sz w:val="19"/>
          <w:szCs w:val="19"/>
          <w:color w:val="214E93"/>
        </w:rPr>
        <w:t>San Mateo Joint Venture</w:t>
      </w:r>
    </w:p>
    <w:p>
      <w:pPr>
        <w:spacing w:after="0" w:line="191" w:lineRule="exact"/>
        <w:rPr>
          <w:sz w:val="20"/>
          <w:szCs w:val="20"/>
          <w:color w:val="auto"/>
        </w:rPr>
      </w:pPr>
    </w:p>
    <w:p>
      <w:pPr>
        <w:ind w:left="240"/>
        <w:spacing w:after="0"/>
        <w:rPr>
          <w:sz w:val="20"/>
          <w:szCs w:val="20"/>
          <w:color w:val="auto"/>
        </w:rPr>
      </w:pPr>
      <w:r>
        <w:rPr>
          <w:rFonts w:ascii="Calibri" w:cs="Calibri" w:eastAsia="Calibri" w:hAnsi="Calibri"/>
          <w:sz w:val="18"/>
          <w:szCs w:val="18"/>
          <w:color w:val="auto"/>
        </w:rPr>
        <w:t>On December 18, 2024, the Company completed a transaction with Five Point Infrastructure, LLC and its affiliates (previously,</w:t>
      </w:r>
    </w:p>
    <w:p>
      <w:pPr>
        <w:spacing w:after="0" w:line="28" w:lineRule="exact"/>
        <w:rPr>
          <w:sz w:val="20"/>
          <w:szCs w:val="20"/>
          <w:color w:val="auto"/>
        </w:rPr>
      </w:pPr>
    </w:p>
    <w:p>
      <w:pPr>
        <w:spacing w:after="0"/>
        <w:rPr>
          <w:sz w:val="20"/>
          <w:szCs w:val="20"/>
          <w:color w:val="auto"/>
        </w:rPr>
      </w:pPr>
      <w:r>
        <w:rPr>
          <w:rFonts w:ascii="Calibri" w:cs="Calibri" w:eastAsia="Calibri" w:hAnsi="Calibri"/>
          <w:sz w:val="18"/>
          <w:szCs w:val="18"/>
          <w:color w:val="auto"/>
        </w:rPr>
        <w:t>Five Point Energy LLC) (“Five Point”) in which the Company contributed Pronto Midstream, LLC and its subsidiary (“Pronto”), a</w:t>
      </w:r>
    </w:p>
    <w:p>
      <w:pPr>
        <w:spacing w:after="0" w:line="28" w:lineRule="exact"/>
        <w:rPr>
          <w:sz w:val="20"/>
          <w:szCs w:val="20"/>
          <w:color w:val="auto"/>
        </w:rPr>
      </w:pPr>
    </w:p>
    <w:p>
      <w:pPr>
        <w:spacing w:after="0"/>
        <w:rPr>
          <w:sz w:val="20"/>
          <w:szCs w:val="20"/>
          <w:color w:val="auto"/>
        </w:rPr>
      </w:pPr>
      <w:r>
        <w:rPr>
          <w:rFonts w:ascii="Calibri" w:cs="Calibri" w:eastAsia="Calibri" w:hAnsi="Calibri"/>
          <w:sz w:val="18"/>
          <w:szCs w:val="18"/>
          <w:color w:val="auto"/>
        </w:rPr>
        <w:t>wholly-owned subsidiary of the Company, to San Mateo, and Five Point made a cash contribution to San Mateo of $171.5 million</w:t>
      </w:r>
    </w:p>
    <w:p>
      <w:pPr>
        <w:spacing w:after="0" w:line="28" w:lineRule="exact"/>
        <w:rPr>
          <w:sz w:val="20"/>
          <w:szCs w:val="20"/>
          <w:color w:val="auto"/>
        </w:rPr>
      </w:pPr>
    </w:p>
    <w:p>
      <w:pPr>
        <w:spacing w:after="0"/>
        <w:rPr>
          <w:sz w:val="20"/>
          <w:szCs w:val="20"/>
          <w:color w:val="auto"/>
        </w:rPr>
      </w:pPr>
      <w:r>
        <w:rPr>
          <w:rFonts w:ascii="Calibri" w:cs="Calibri" w:eastAsia="Calibri" w:hAnsi="Calibri"/>
          <w:sz w:val="18"/>
          <w:szCs w:val="18"/>
          <w:color w:val="auto"/>
        </w:rPr>
        <w:t>(the “Pronto Transaction”). In connection with the Pronto Transaction, the Company received a special distribution from San Mateo</w:t>
      </w:r>
    </w:p>
    <w:p>
      <w:pPr>
        <w:spacing w:after="0" w:line="28" w:lineRule="exact"/>
        <w:rPr>
          <w:sz w:val="20"/>
          <w:szCs w:val="20"/>
          <w:color w:val="auto"/>
        </w:rPr>
      </w:pPr>
    </w:p>
    <w:p>
      <w:pPr>
        <w:spacing w:after="0"/>
        <w:rPr>
          <w:sz w:val="20"/>
          <w:szCs w:val="20"/>
          <w:color w:val="auto"/>
        </w:rPr>
      </w:pPr>
      <w:r>
        <w:rPr>
          <w:rFonts w:ascii="Calibri" w:cs="Calibri" w:eastAsia="Calibri" w:hAnsi="Calibri"/>
          <w:sz w:val="18"/>
          <w:szCs w:val="18"/>
          <w:color w:val="auto"/>
        </w:rPr>
        <w:t>of approximately $219.8 million. In addition, the Company has the potential to earn up to $75.0 million in incentive payments from</w:t>
      </w:r>
    </w:p>
    <w:p>
      <w:pPr>
        <w:spacing w:after="0" w:line="28" w:lineRule="exact"/>
        <w:rPr>
          <w:sz w:val="20"/>
          <w:szCs w:val="20"/>
          <w:color w:val="auto"/>
        </w:rPr>
      </w:pPr>
    </w:p>
    <w:p>
      <w:pPr>
        <w:spacing w:after="0"/>
        <w:rPr>
          <w:sz w:val="20"/>
          <w:szCs w:val="20"/>
          <w:color w:val="auto"/>
        </w:rPr>
      </w:pPr>
      <w:r>
        <w:rPr>
          <w:rFonts w:ascii="Calibri" w:cs="Calibri" w:eastAsia="Calibri" w:hAnsi="Calibri"/>
          <w:sz w:val="18"/>
          <w:szCs w:val="18"/>
          <w:color w:val="auto"/>
        </w:rPr>
        <w:t>Five Point over a five-year period, of which $13.0 million and $1.3 million was paid by Five Point during the years ended</w:t>
      </w:r>
    </w:p>
    <w:p>
      <w:pPr>
        <w:spacing w:after="0" w:line="28" w:lineRule="exact"/>
        <w:rPr>
          <w:sz w:val="20"/>
          <w:szCs w:val="20"/>
          <w:color w:val="auto"/>
        </w:rPr>
      </w:pPr>
    </w:p>
    <w:p>
      <w:pPr>
        <w:spacing w:after="0"/>
        <w:rPr>
          <w:sz w:val="20"/>
          <w:szCs w:val="20"/>
          <w:color w:val="auto"/>
        </w:rPr>
      </w:pPr>
      <w:r>
        <w:rPr>
          <w:rFonts w:ascii="Calibri" w:cs="Calibri" w:eastAsia="Calibri" w:hAnsi="Calibri"/>
          <w:sz w:val="18"/>
          <w:szCs w:val="18"/>
          <w:color w:val="auto"/>
        </w:rPr>
        <w:t>December 31, 2025 and 2024, respectively. San Mateo continues to be owned 51% by the Company and 49% by Five Point, with Five</w:t>
      </w:r>
    </w:p>
    <w:p>
      <w:pPr>
        <w:spacing w:after="0" w:line="28" w:lineRule="exact"/>
        <w:rPr>
          <w:sz w:val="20"/>
          <w:szCs w:val="20"/>
          <w:color w:val="auto"/>
        </w:rPr>
      </w:pPr>
    </w:p>
    <w:p>
      <w:pPr>
        <w:spacing w:after="0"/>
        <w:rPr>
          <w:sz w:val="20"/>
          <w:szCs w:val="20"/>
          <w:color w:val="auto"/>
        </w:rPr>
      </w:pPr>
      <w:r>
        <w:rPr>
          <w:rFonts w:ascii="Calibri" w:cs="Calibri" w:eastAsia="Calibri" w:hAnsi="Calibri"/>
          <w:sz w:val="18"/>
          <w:szCs w:val="18"/>
          <w:color w:val="auto"/>
        </w:rPr>
        <w:t>Point’s interest in San Mateo being accounted for as a non-controlling interest.</w:t>
      </w:r>
    </w:p>
    <w:p>
      <w:pPr>
        <w:spacing w:after="0" w:line="241" w:lineRule="exact"/>
        <w:rPr>
          <w:sz w:val="20"/>
          <w:szCs w:val="20"/>
          <w:color w:val="auto"/>
        </w:rPr>
      </w:pPr>
    </w:p>
    <w:p>
      <w:pPr>
        <w:ind w:right="1040" w:firstLine="241"/>
        <w:spacing w:after="0" w:line="261" w:lineRule="auto"/>
        <w:rPr>
          <w:sz w:val="20"/>
          <w:szCs w:val="20"/>
          <w:color w:val="auto"/>
        </w:rPr>
      </w:pPr>
      <w:r>
        <w:rPr>
          <w:rFonts w:ascii="Calibri" w:cs="Calibri" w:eastAsia="Calibri" w:hAnsi="Calibri"/>
          <w:sz w:val="18"/>
          <w:szCs w:val="18"/>
          <w:color w:val="auto"/>
        </w:rPr>
        <w:t>Subsequent to the Pronto Transaction, San Mateo owns and operates the expanded Marlan Processing Plant, which has a designed inlet capacity of 260 MMcf of natural gas per day, and operates Pronto’s six compressor stations and approximately 150 miles of natural gas gathering pipelines in Lea and Eddy Counties, New Mexico.</w:t>
      </w:r>
    </w:p>
    <w:p>
      <w:pPr>
        <w:spacing w:after="0" w:line="223" w:lineRule="exact"/>
        <w:rPr>
          <w:sz w:val="20"/>
          <w:szCs w:val="20"/>
          <w:color w:val="auto"/>
        </w:rPr>
      </w:pPr>
    </w:p>
    <w:p>
      <w:pPr>
        <w:ind w:right="900" w:firstLine="241"/>
        <w:spacing w:after="0" w:line="267" w:lineRule="auto"/>
        <w:rPr>
          <w:sz w:val="20"/>
          <w:szCs w:val="20"/>
          <w:color w:val="auto"/>
        </w:rPr>
      </w:pPr>
      <w:r>
        <w:rPr>
          <w:rFonts w:ascii="Calibri" w:cs="Calibri" w:eastAsia="Calibri" w:hAnsi="Calibri"/>
          <w:sz w:val="18"/>
          <w:szCs w:val="18"/>
          <w:color w:val="auto"/>
        </w:rPr>
        <w:t>In connection with the Pronto Transaction, the Company dedicated to San Mateo its current and certain future leasehold interests in the Ranger and Antelope Ridge asset areas pursuant to 15-year, fixed fee natural gas gathering, compression, treating and processing agreements whereby San Mateo will gather, compress, treat and process natural gas produced from the Company’s operated wells in northern Lea County, New Mexico. In addition, San Mateo entered into certain agreements with Northwind Midstream Partners LLC (“Northwind”), previously an affiliate of Five Point, whereby Northwind will treat certain sour gas gathered and delivered by San Mateo in northern Lea County, New Mexico. Under these agreements, Northwind will redeliver the treated sweet gas from San Mateo and other third-party customers to San Mateo for processing.</w:t>
      </w:r>
    </w:p>
    <w:p>
      <w:pPr>
        <w:spacing w:after="0" w:line="207" w:lineRule="exact"/>
        <w:rPr>
          <w:sz w:val="20"/>
          <w:szCs w:val="20"/>
          <w:color w:val="auto"/>
        </w:rPr>
      </w:pPr>
    </w:p>
    <w:p>
      <w:pPr>
        <w:spacing w:after="0"/>
        <w:rPr>
          <w:sz w:val="20"/>
          <w:szCs w:val="20"/>
          <w:color w:val="auto"/>
        </w:rPr>
      </w:pPr>
      <w:r>
        <w:rPr>
          <w:rFonts w:ascii="Calibri" w:cs="Calibri" w:eastAsia="Calibri" w:hAnsi="Calibri"/>
          <w:sz w:val="19"/>
          <w:szCs w:val="19"/>
          <w:color w:val="214E93"/>
        </w:rPr>
        <w:t>Ameredev Acquisition</w:t>
      </w:r>
    </w:p>
    <w:p>
      <w:pPr>
        <w:spacing w:after="0" w:line="208" w:lineRule="exact"/>
        <w:rPr>
          <w:sz w:val="20"/>
          <w:szCs w:val="20"/>
          <w:color w:val="auto"/>
        </w:rPr>
      </w:pPr>
    </w:p>
    <w:p>
      <w:pPr>
        <w:ind w:right="840" w:firstLine="241"/>
        <w:spacing w:after="0" w:line="269" w:lineRule="auto"/>
        <w:rPr>
          <w:sz w:val="20"/>
          <w:szCs w:val="20"/>
          <w:color w:val="auto"/>
        </w:rPr>
      </w:pPr>
      <w:r>
        <w:rPr>
          <w:rFonts w:ascii="Calibri" w:cs="Calibri" w:eastAsia="Calibri" w:hAnsi="Calibri"/>
          <w:sz w:val="18"/>
          <w:szCs w:val="18"/>
          <w:color w:val="auto"/>
        </w:rPr>
        <w:t>On September 18, 2024, a wholly-owned subsidiary of the Company completed the acquisition (the “Ameredev Acquisition”) of Ameredev Stateline II, LLC (“Ameredev”) from affiliates of EnCap Investments L.P., including (i) certain oil and natural gas producing properties and undeveloped acreage located in Lea County, New Mexico and Loving and Winkler Counties, Texas, and (ii) an approximate 19% stake (the “Piñon Investment”) in the parent company of Piñon Midstream, LLC (“Piñon”). The Ameredev Acquisition had an effective date of June 1, 2024 and an aggregate as-adjusted closing purchase price of approximately $1.83 billion in cash. The purchase price for the Ameredev Acquisition was funded by a combination of cash on hand and borrowings under the Company’s Credit Agreement, which was amended on September 18, 2024 to, among other things: (i) provide for a term loan of $250.0 million, the full amount of which was borrowed to fund the Ameredev Acquisition, and (ii) increase the elected borrowing commitments under the revolving credit facility from $1.50 billion to $2.25 billion. On September 25, 2024, the Company completed the sale of $750.0 million in aggregate principal amount of the Company’s 6.25% senior unsecured notes due 2033 (the “2033 Notes”) and used the net proceeds to partially repay borrowings outstanding under the Credit Agreement, including all of the $250.0 million in outstanding borrowings under the term loan.</w:t>
      </w:r>
    </w:p>
    <w:p>
      <w:pPr>
        <w:spacing w:after="0" w:line="216" w:lineRule="exact"/>
        <w:rPr>
          <w:sz w:val="20"/>
          <w:szCs w:val="20"/>
          <w:color w:val="auto"/>
        </w:rPr>
      </w:pPr>
    </w:p>
    <w:p>
      <w:pPr>
        <w:ind w:right="800" w:firstLine="241"/>
        <w:spacing w:after="0" w:line="267" w:lineRule="auto"/>
        <w:rPr>
          <w:sz w:val="20"/>
          <w:szCs w:val="20"/>
          <w:color w:val="auto"/>
        </w:rPr>
      </w:pPr>
      <w:r>
        <w:rPr>
          <w:rFonts w:ascii="Calibri" w:cs="Calibri" w:eastAsia="Calibri" w:hAnsi="Calibri"/>
          <w:sz w:val="18"/>
          <w:szCs w:val="18"/>
          <w:color w:val="auto"/>
        </w:rPr>
        <w:t>The Ameredev Acquisition was accounted for under the acquisition method of accounting as a business combination in accordance with ASC Topic 805, Business Combinations. Under ASC Topic 805, the purchase price is allocated to the underlying tangible and intangible assets acquired and liabilities assumed based upon their estimated fair values as of the respective acquisition date, with any excess purchase price allocated to goodwill. As the Company acquired 100% of the membership interests of Ameredev, the acquisition was treated as an asset acquisition for tax purposes. The Company concluded that the Piñon Investment was an equity method investment.</w:t>
      </w:r>
    </w:p>
    <w:p>
      <w:pPr>
        <w:spacing w:after="0" w:line="200" w:lineRule="exact"/>
        <w:rPr>
          <w:sz w:val="20"/>
          <w:szCs w:val="20"/>
          <w:color w:val="auto"/>
        </w:rPr>
      </w:pPr>
    </w:p>
    <w:p>
      <w:pPr>
        <w:ind w:left="240"/>
        <w:spacing w:after="0"/>
        <w:rPr>
          <w:sz w:val="20"/>
          <w:szCs w:val="20"/>
          <w:color w:val="auto"/>
        </w:rPr>
      </w:pPr>
      <w:r>
        <w:rPr>
          <w:rFonts w:ascii="Calibri" w:cs="Calibri" w:eastAsia="Calibri" w:hAnsi="Calibri"/>
          <w:sz w:val="18"/>
          <w:szCs w:val="18"/>
          <w:color w:val="auto"/>
        </w:rPr>
        <w:t>The final allocation of the total purchase price for the Ameredev Acquisition is set forth below (in thousands).</w:t>
      </w:r>
    </w:p>
    <w:p>
      <w:pPr>
        <w:sectPr>
          <w:pgSz w:w="11880" w:h="15480" w:orient="portrait"/>
          <w:cols w:equalWidth="0" w:num="1">
            <w:col w:w="10340"/>
          </w:cols>
          <w:pgMar w:left="1160" w:top="498"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900"/>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0340"/>
          </w:cols>
          <w:pgMar w:left="1160" w:top="498" w:right="380" w:bottom="0" w:gutter="0" w:footer="0" w:header="0"/>
          <w:type w:val="continuous"/>
        </w:sectPr>
      </w:pPr>
    </w:p>
    <w:bookmarkStart w:id="151" w:name="page152"/>
    <w:bookmarkEnd w:id="151"/>
    <w:p>
      <w:pPr>
        <w:spacing w:after="0"/>
        <w:tabs>
          <w:tab w:leader="none" w:pos="800" w:val="left"/>
        </w:tabs>
        <w:rPr>
          <w:sz w:val="20"/>
          <w:szCs w:val="20"/>
          <w:color w:val="auto"/>
        </w:rPr>
      </w:pPr>
      <w:r>
        <w:rPr>
          <w:rFonts w:ascii="Calibri" w:cs="Calibri" w:eastAsia="Calibri" w:hAnsi="Calibri"/>
          <w:sz w:val="18"/>
          <w:szCs w:val="18"/>
          <w:color w:val="auto"/>
        </w:rPr>
        <w:t>F-21</w:t>
      </w:r>
      <w:r>
        <w:rPr>
          <w:sz w:val="20"/>
          <w:szCs w:val="20"/>
          <w:color w:val="auto"/>
        </w:rPr>
        <w:tab/>
      </w:r>
      <w:r>
        <w:rPr>
          <w:rFonts w:ascii="Calibri" w:cs="Calibri" w:eastAsia="Calibri" w:hAnsi="Calibri"/>
          <w:sz w:val="17"/>
          <w:szCs w:val="17"/>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490220</wp:posOffset>
                </wp:positionH>
                <wp:positionV relativeFrom="paragraph">
                  <wp:posOffset>320675</wp:posOffset>
                </wp:positionV>
                <wp:extent cx="6812280" cy="0"/>
                <wp:wrapNone/>
                <wp:docPr id="300" name="Shape 3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0" o:spid="_x0000_s13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25.25pt" to="57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490220</wp:posOffset>
                </wp:positionH>
                <wp:positionV relativeFrom="paragraph">
                  <wp:posOffset>320675</wp:posOffset>
                </wp:positionV>
                <wp:extent cx="6812280" cy="0"/>
                <wp:wrapNone/>
                <wp:docPr id="301" name="Shape 3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01" o:spid="_x0000_s13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25.25pt" to="57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80"/>
        <w:spacing w:after="0"/>
        <w:rPr>
          <w:sz w:val="20"/>
          <w:szCs w:val="20"/>
          <w:color w:val="auto"/>
        </w:rPr>
      </w:pPr>
      <w:r>
        <w:rPr>
          <w:rFonts w:ascii="Verdana" w:cs="Verdana" w:eastAsia="Verdana" w:hAnsi="Verdana"/>
          <w:sz w:val="20"/>
          <w:szCs w:val="20"/>
          <w:color w:val="214E93"/>
        </w:rPr>
        <w:t>NOTE 6 — BUSINESS COMBINATIONS AND DIVESTITURES — Continued</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221"/>
        </w:trPr>
        <w:tc>
          <w:tcPr>
            <w:tcW w:w="5460" w:type="dxa"/>
            <w:vAlign w:val="bottom"/>
            <w:tcBorders>
              <w:bottom w:val="single" w:sz="8" w:color="214E93"/>
            </w:tcBorders>
          </w:tcPr>
          <w:p>
            <w:pPr>
              <w:ind w:left="40"/>
              <w:spacing w:after="0"/>
              <w:rPr>
                <w:sz w:val="20"/>
                <w:szCs w:val="20"/>
                <w:color w:val="auto"/>
              </w:rPr>
            </w:pPr>
            <w:r>
              <w:rPr>
                <w:rFonts w:ascii="Verdana" w:cs="Verdana" w:eastAsia="Verdana" w:hAnsi="Verdana"/>
                <w:sz w:val="16"/>
                <w:szCs w:val="16"/>
                <w:b w:val="1"/>
                <w:bCs w:val="1"/>
                <w:color w:val="auto"/>
              </w:rPr>
              <w:t>Consideration</w:t>
            </w:r>
          </w:p>
        </w:tc>
        <w:tc>
          <w:tcPr>
            <w:tcW w:w="3100" w:type="dxa"/>
            <w:vAlign w:val="bottom"/>
            <w:tcBorders>
              <w:bottom w:val="single" w:sz="8" w:color="214E93"/>
            </w:tcBorders>
          </w:tcPr>
          <w:p>
            <w:pPr>
              <w:spacing w:after="0"/>
              <w:rPr>
                <w:sz w:val="19"/>
                <w:szCs w:val="19"/>
                <w:color w:val="auto"/>
              </w:rPr>
            </w:pPr>
          </w:p>
        </w:tc>
        <w:tc>
          <w:tcPr>
            <w:tcW w:w="1000" w:type="dxa"/>
            <w:vAlign w:val="bottom"/>
            <w:tcBorders>
              <w:bottom w:val="single" w:sz="8" w:color="214E93"/>
            </w:tcBorders>
          </w:tcPr>
          <w:p>
            <w:pPr>
              <w:jc w:val="right"/>
              <w:ind w:right="202"/>
              <w:spacing w:after="0"/>
              <w:rPr>
                <w:sz w:val="20"/>
                <w:szCs w:val="20"/>
                <w:color w:val="auto"/>
              </w:rPr>
            </w:pPr>
            <w:r>
              <w:rPr>
                <w:rFonts w:ascii="Verdana" w:cs="Verdana" w:eastAsia="Verdana" w:hAnsi="Verdana"/>
                <w:sz w:val="14"/>
                <w:szCs w:val="14"/>
                <w:color w:val="auto"/>
              </w:rPr>
              <w:t>Allocation</w:t>
            </w:r>
          </w:p>
        </w:tc>
      </w:tr>
      <w:tr>
        <w:trPr>
          <w:trHeight w:val="216"/>
        </w:trPr>
        <w:tc>
          <w:tcPr>
            <w:tcW w:w="5460" w:type="dxa"/>
            <w:vAlign w:val="bottom"/>
            <w:tcBorders>
              <w:bottom w:val="single" w:sz="8" w:color="214E93"/>
            </w:tcBorders>
          </w:tcPr>
          <w:p>
            <w:pPr>
              <w:ind w:left="160"/>
              <w:spacing w:after="0"/>
              <w:rPr>
                <w:sz w:val="20"/>
                <w:szCs w:val="20"/>
                <w:color w:val="auto"/>
              </w:rPr>
            </w:pPr>
            <w:r>
              <w:rPr>
                <w:rFonts w:ascii="Verdana" w:cs="Verdana" w:eastAsia="Verdana" w:hAnsi="Verdana"/>
                <w:sz w:val="16"/>
                <w:szCs w:val="16"/>
                <w:color w:val="auto"/>
              </w:rPr>
              <w:t>Cash consideration given</w:t>
            </w:r>
          </w:p>
        </w:tc>
        <w:tc>
          <w:tcPr>
            <w:tcW w:w="3100" w:type="dxa"/>
            <w:vAlign w:val="bottom"/>
            <w:tcBorders>
              <w:bottom w:val="single" w:sz="8" w:color="214E93"/>
            </w:tcBorders>
          </w:tcPr>
          <w:p>
            <w:pPr>
              <w:jc w:val="right"/>
              <w:ind w:right="1"/>
              <w:spacing w:after="0"/>
              <w:rPr>
                <w:sz w:val="20"/>
                <w:szCs w:val="20"/>
                <w:color w:val="auto"/>
              </w:rPr>
            </w:pPr>
            <w:r>
              <w:rPr>
                <w:rFonts w:ascii="Verdana" w:cs="Verdana" w:eastAsia="Verdana" w:hAnsi="Verdana"/>
                <w:sz w:val="16"/>
                <w:szCs w:val="16"/>
                <w:color w:val="214E93"/>
              </w:rPr>
              <w:t>$</w:t>
            </w:r>
          </w:p>
        </w:tc>
        <w:tc>
          <w:tcPr>
            <w:tcW w:w="1000" w:type="dxa"/>
            <w:vAlign w:val="bottom"/>
            <w:tcBorders>
              <w:bottom w:val="single" w:sz="8" w:color="214E93"/>
            </w:tcBorders>
          </w:tcPr>
          <w:p>
            <w:pPr>
              <w:jc w:val="right"/>
              <w:ind w:right="2"/>
              <w:spacing w:after="0"/>
              <w:rPr>
                <w:sz w:val="20"/>
                <w:szCs w:val="20"/>
                <w:color w:val="auto"/>
              </w:rPr>
            </w:pPr>
            <w:r>
              <w:rPr>
                <w:rFonts w:ascii="Verdana" w:cs="Verdana" w:eastAsia="Verdana" w:hAnsi="Verdana"/>
                <w:sz w:val="16"/>
                <w:szCs w:val="16"/>
                <w:color w:val="214E93"/>
              </w:rPr>
              <w:t>1,831,214</w:t>
            </w:r>
          </w:p>
        </w:tc>
      </w:tr>
      <w:tr>
        <w:trPr>
          <w:trHeight w:val="215"/>
        </w:trPr>
        <w:tc>
          <w:tcPr>
            <w:tcW w:w="5460" w:type="dxa"/>
            <w:vAlign w:val="bottom"/>
          </w:tcPr>
          <w:p>
            <w:pPr>
              <w:ind w:left="40"/>
              <w:spacing w:after="0"/>
              <w:rPr>
                <w:sz w:val="20"/>
                <w:szCs w:val="20"/>
                <w:color w:val="auto"/>
              </w:rPr>
            </w:pPr>
            <w:r>
              <w:rPr>
                <w:rFonts w:ascii="Verdana" w:cs="Verdana" w:eastAsia="Verdana" w:hAnsi="Verdana"/>
                <w:sz w:val="16"/>
                <w:szCs w:val="16"/>
                <w:b w:val="1"/>
                <w:bCs w:val="1"/>
                <w:color w:val="auto"/>
              </w:rPr>
              <w:t>Allocation of purchase price</w:t>
            </w:r>
          </w:p>
        </w:tc>
        <w:tc>
          <w:tcPr>
            <w:tcW w:w="3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2"/>
        </w:trPr>
        <w:tc>
          <w:tcPr>
            <w:tcW w:w="5460" w:type="dxa"/>
            <w:vAlign w:val="bottom"/>
          </w:tcPr>
          <w:p>
            <w:pPr>
              <w:ind w:left="40"/>
              <w:spacing w:after="0"/>
              <w:rPr>
                <w:sz w:val="20"/>
                <w:szCs w:val="20"/>
                <w:color w:val="auto"/>
              </w:rPr>
            </w:pPr>
            <w:r>
              <w:rPr>
                <w:rFonts w:ascii="Verdana" w:cs="Verdana" w:eastAsia="Verdana" w:hAnsi="Verdana"/>
                <w:sz w:val="16"/>
                <w:szCs w:val="16"/>
                <w:color w:val="auto"/>
              </w:rPr>
              <w:t>Current assets</w:t>
            </w:r>
          </w:p>
        </w:tc>
        <w:tc>
          <w:tcPr>
            <w:tcW w:w="3100" w:type="dxa"/>
            <w:vAlign w:val="bottom"/>
          </w:tcPr>
          <w:p>
            <w:pPr>
              <w:jc w:val="right"/>
              <w:ind w:right="1"/>
              <w:spacing w:after="0"/>
              <w:rPr>
                <w:sz w:val="20"/>
                <w:szCs w:val="20"/>
                <w:color w:val="auto"/>
              </w:rPr>
            </w:pPr>
            <w:r>
              <w:rPr>
                <w:rFonts w:ascii="Verdana" w:cs="Verdana" w:eastAsia="Verdana" w:hAnsi="Verdana"/>
                <w:sz w:val="16"/>
                <w:szCs w:val="16"/>
                <w:color w:val="214E93"/>
              </w:rPr>
              <w:t>$</w:t>
            </w:r>
          </w:p>
        </w:tc>
        <w:tc>
          <w:tcPr>
            <w:tcW w:w="1000" w:type="dxa"/>
            <w:vAlign w:val="bottom"/>
          </w:tcPr>
          <w:p>
            <w:pPr>
              <w:jc w:val="right"/>
              <w:ind w:right="2"/>
              <w:spacing w:after="0"/>
              <w:rPr>
                <w:sz w:val="20"/>
                <w:szCs w:val="20"/>
                <w:color w:val="auto"/>
              </w:rPr>
            </w:pPr>
            <w:r>
              <w:rPr>
                <w:rFonts w:ascii="Verdana" w:cs="Verdana" w:eastAsia="Verdana" w:hAnsi="Verdana"/>
                <w:sz w:val="16"/>
                <w:szCs w:val="16"/>
                <w:color w:val="214E93"/>
              </w:rPr>
              <w:t>51,499</w:t>
            </w:r>
          </w:p>
        </w:tc>
      </w:tr>
      <w:tr>
        <w:trPr>
          <w:trHeight w:val="236"/>
        </w:trPr>
        <w:tc>
          <w:tcPr>
            <w:tcW w:w="5460" w:type="dxa"/>
            <w:vAlign w:val="bottom"/>
          </w:tcPr>
          <w:p>
            <w:pPr>
              <w:ind w:left="40"/>
              <w:spacing w:after="0"/>
              <w:rPr>
                <w:sz w:val="20"/>
                <w:szCs w:val="20"/>
                <w:color w:val="auto"/>
              </w:rPr>
            </w:pPr>
            <w:r>
              <w:rPr>
                <w:rFonts w:ascii="Verdana" w:cs="Verdana" w:eastAsia="Verdana" w:hAnsi="Verdana"/>
                <w:sz w:val="16"/>
                <w:szCs w:val="16"/>
                <w:color w:val="auto"/>
              </w:rPr>
              <w:t>Oil and natural gas properties</w:t>
            </w:r>
          </w:p>
        </w:tc>
        <w:tc>
          <w:tcPr>
            <w:tcW w:w="3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6"/>
        </w:trPr>
        <w:tc>
          <w:tcPr>
            <w:tcW w:w="5460" w:type="dxa"/>
            <w:vAlign w:val="bottom"/>
          </w:tcPr>
          <w:p>
            <w:pPr>
              <w:ind w:left="160"/>
              <w:spacing w:after="0"/>
              <w:rPr>
                <w:sz w:val="20"/>
                <w:szCs w:val="20"/>
                <w:color w:val="auto"/>
              </w:rPr>
            </w:pPr>
            <w:r>
              <w:rPr>
                <w:rFonts w:ascii="Verdana" w:cs="Verdana" w:eastAsia="Verdana" w:hAnsi="Verdana"/>
                <w:sz w:val="16"/>
                <w:szCs w:val="16"/>
                <w:color w:val="auto"/>
              </w:rPr>
              <w:t>Evaluated</w:t>
            </w:r>
          </w:p>
        </w:tc>
        <w:tc>
          <w:tcPr>
            <w:tcW w:w="310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Verdana" w:cs="Verdana" w:eastAsia="Verdana" w:hAnsi="Verdana"/>
                <w:sz w:val="16"/>
                <w:szCs w:val="16"/>
                <w:color w:val="214E93"/>
              </w:rPr>
              <w:t>1,316,532</w:t>
            </w:r>
          </w:p>
        </w:tc>
      </w:tr>
      <w:tr>
        <w:trPr>
          <w:trHeight w:val="236"/>
        </w:trPr>
        <w:tc>
          <w:tcPr>
            <w:tcW w:w="5460" w:type="dxa"/>
            <w:vAlign w:val="bottom"/>
          </w:tcPr>
          <w:p>
            <w:pPr>
              <w:ind w:left="160"/>
              <w:spacing w:after="0"/>
              <w:rPr>
                <w:sz w:val="20"/>
                <w:szCs w:val="20"/>
                <w:color w:val="auto"/>
              </w:rPr>
            </w:pPr>
            <w:r>
              <w:rPr>
                <w:rFonts w:ascii="Verdana" w:cs="Verdana" w:eastAsia="Verdana" w:hAnsi="Verdana"/>
                <w:sz w:val="16"/>
                <w:szCs w:val="16"/>
                <w:color w:val="auto"/>
              </w:rPr>
              <w:t>Unproved and unevaluated</w:t>
            </w:r>
          </w:p>
        </w:tc>
        <w:tc>
          <w:tcPr>
            <w:tcW w:w="310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Verdana" w:cs="Verdana" w:eastAsia="Verdana" w:hAnsi="Verdana"/>
                <w:sz w:val="16"/>
                <w:szCs w:val="16"/>
                <w:color w:val="214E93"/>
              </w:rPr>
              <w:t>316,586</w:t>
            </w:r>
          </w:p>
        </w:tc>
      </w:tr>
      <w:tr>
        <w:trPr>
          <w:trHeight w:val="236"/>
        </w:trPr>
        <w:tc>
          <w:tcPr>
            <w:tcW w:w="5460" w:type="dxa"/>
            <w:vAlign w:val="bottom"/>
          </w:tcPr>
          <w:p>
            <w:pPr>
              <w:ind w:left="40"/>
              <w:spacing w:after="0"/>
              <w:rPr>
                <w:sz w:val="20"/>
                <w:szCs w:val="20"/>
                <w:color w:val="auto"/>
              </w:rPr>
            </w:pPr>
            <w:r>
              <w:rPr>
                <w:rFonts w:ascii="Verdana" w:cs="Verdana" w:eastAsia="Verdana" w:hAnsi="Verdana"/>
                <w:sz w:val="16"/>
                <w:szCs w:val="16"/>
                <w:color w:val="auto"/>
              </w:rPr>
              <w:t>Midstream assets</w:t>
            </w:r>
          </w:p>
        </w:tc>
        <w:tc>
          <w:tcPr>
            <w:tcW w:w="310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Verdana" w:cs="Verdana" w:eastAsia="Verdana" w:hAnsi="Verdana"/>
                <w:sz w:val="16"/>
                <w:szCs w:val="16"/>
                <w:color w:val="214E93"/>
              </w:rPr>
              <w:t>117,762</w:t>
            </w:r>
          </w:p>
        </w:tc>
      </w:tr>
      <w:tr>
        <w:trPr>
          <w:trHeight w:val="236"/>
        </w:trPr>
        <w:tc>
          <w:tcPr>
            <w:tcW w:w="5460" w:type="dxa"/>
            <w:vAlign w:val="bottom"/>
          </w:tcPr>
          <w:p>
            <w:pPr>
              <w:ind w:left="40"/>
              <w:spacing w:after="0"/>
              <w:rPr>
                <w:sz w:val="20"/>
                <w:szCs w:val="20"/>
                <w:color w:val="auto"/>
              </w:rPr>
            </w:pPr>
            <w:r>
              <w:rPr>
                <w:rFonts w:ascii="Verdana" w:cs="Verdana" w:eastAsia="Verdana" w:hAnsi="Verdana"/>
                <w:sz w:val="16"/>
                <w:szCs w:val="16"/>
                <w:color w:val="auto"/>
              </w:rPr>
              <w:t>Equity method investment</w:t>
            </w:r>
          </w:p>
        </w:tc>
        <w:tc>
          <w:tcPr>
            <w:tcW w:w="310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Verdana" w:cs="Verdana" w:eastAsia="Verdana" w:hAnsi="Verdana"/>
                <w:sz w:val="16"/>
                <w:szCs w:val="16"/>
                <w:color w:val="214E93"/>
              </w:rPr>
              <w:t>115,819</w:t>
            </w:r>
          </w:p>
        </w:tc>
      </w:tr>
      <w:tr>
        <w:trPr>
          <w:trHeight w:val="236"/>
        </w:trPr>
        <w:tc>
          <w:tcPr>
            <w:tcW w:w="5460" w:type="dxa"/>
            <w:vAlign w:val="bottom"/>
          </w:tcPr>
          <w:p>
            <w:pPr>
              <w:ind w:left="40"/>
              <w:spacing w:after="0"/>
              <w:rPr>
                <w:sz w:val="20"/>
                <w:szCs w:val="20"/>
                <w:color w:val="auto"/>
              </w:rPr>
            </w:pPr>
            <w:r>
              <w:rPr>
                <w:rFonts w:ascii="Verdana" w:cs="Verdana" w:eastAsia="Verdana" w:hAnsi="Verdana"/>
                <w:sz w:val="16"/>
                <w:szCs w:val="16"/>
                <w:color w:val="auto"/>
              </w:rPr>
              <w:t>Current liabilities</w:t>
            </w:r>
          </w:p>
        </w:tc>
        <w:tc>
          <w:tcPr>
            <w:tcW w:w="3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Verdana" w:cs="Verdana" w:eastAsia="Verdana" w:hAnsi="Verdana"/>
                <w:sz w:val="16"/>
                <w:szCs w:val="16"/>
                <w:color w:val="214E93"/>
              </w:rPr>
              <w:t>(80,651)</w:t>
            </w:r>
          </w:p>
        </w:tc>
      </w:tr>
      <w:tr>
        <w:trPr>
          <w:trHeight w:val="242"/>
        </w:trPr>
        <w:tc>
          <w:tcPr>
            <w:tcW w:w="546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Asset retirement obligations</w:t>
            </w:r>
          </w:p>
        </w:tc>
        <w:tc>
          <w:tcPr>
            <w:tcW w:w="3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214E93"/>
              </w:rPr>
              <w:t>(6,333)</w:t>
            </w:r>
          </w:p>
        </w:tc>
      </w:tr>
      <w:tr>
        <w:trPr>
          <w:trHeight w:val="217"/>
        </w:trPr>
        <w:tc>
          <w:tcPr>
            <w:tcW w:w="5460" w:type="dxa"/>
            <w:vAlign w:val="bottom"/>
            <w:tcBorders>
              <w:bottom w:val="single" w:sz="8" w:color="214E93"/>
            </w:tcBorders>
          </w:tcPr>
          <w:p>
            <w:pPr>
              <w:ind w:left="160"/>
              <w:spacing w:after="0"/>
              <w:rPr>
                <w:sz w:val="20"/>
                <w:szCs w:val="20"/>
                <w:color w:val="auto"/>
              </w:rPr>
            </w:pPr>
            <w:r>
              <w:rPr>
                <w:rFonts w:ascii="Verdana" w:cs="Verdana" w:eastAsia="Verdana" w:hAnsi="Verdana"/>
                <w:sz w:val="16"/>
                <w:szCs w:val="16"/>
                <w:color w:val="auto"/>
              </w:rPr>
              <w:t>Net assets acquired</w:t>
            </w:r>
          </w:p>
        </w:tc>
        <w:tc>
          <w:tcPr>
            <w:tcW w:w="3100" w:type="dxa"/>
            <w:vAlign w:val="bottom"/>
            <w:tcBorders>
              <w:bottom w:val="single" w:sz="8" w:color="214E93"/>
            </w:tcBorders>
          </w:tcPr>
          <w:p>
            <w:pPr>
              <w:jc w:val="right"/>
              <w:ind w:right="1"/>
              <w:spacing w:after="0"/>
              <w:rPr>
                <w:sz w:val="20"/>
                <w:szCs w:val="20"/>
                <w:color w:val="auto"/>
              </w:rPr>
            </w:pPr>
            <w:r>
              <w:rPr>
                <w:rFonts w:ascii="Verdana" w:cs="Verdana" w:eastAsia="Verdana" w:hAnsi="Verdana"/>
                <w:sz w:val="16"/>
                <w:szCs w:val="16"/>
                <w:color w:val="214E93"/>
              </w:rPr>
              <w:t>$</w:t>
            </w:r>
          </w:p>
        </w:tc>
        <w:tc>
          <w:tcPr>
            <w:tcW w:w="1000" w:type="dxa"/>
            <w:vAlign w:val="bottom"/>
            <w:tcBorders>
              <w:bottom w:val="single" w:sz="8" w:color="214E93"/>
            </w:tcBorders>
          </w:tcPr>
          <w:p>
            <w:pPr>
              <w:jc w:val="right"/>
              <w:ind w:right="2"/>
              <w:spacing w:after="0"/>
              <w:rPr>
                <w:sz w:val="20"/>
                <w:szCs w:val="20"/>
                <w:color w:val="auto"/>
              </w:rPr>
            </w:pPr>
            <w:r>
              <w:rPr>
                <w:rFonts w:ascii="Verdana" w:cs="Verdana" w:eastAsia="Verdana" w:hAnsi="Verdana"/>
                <w:sz w:val="16"/>
                <w:szCs w:val="16"/>
                <w:color w:val="214E93"/>
              </w:rPr>
              <w:t>1,831,214</w:t>
            </w:r>
          </w:p>
        </w:tc>
      </w:tr>
    </w:tbl>
    <w:p>
      <w:pPr>
        <w:spacing w:after="0" w:line="20" w:lineRule="exact"/>
        <w:rPr>
          <w:sz w:val="20"/>
          <w:szCs w:val="20"/>
          <w:color w:val="auto"/>
        </w:rPr>
      </w:pPr>
    </w:p>
    <w:p>
      <w:pPr>
        <w:spacing w:after="0" w:line="228" w:lineRule="exact"/>
        <w:rPr>
          <w:sz w:val="20"/>
          <w:szCs w:val="20"/>
          <w:color w:val="auto"/>
        </w:rPr>
      </w:pPr>
    </w:p>
    <w:p>
      <w:pPr>
        <w:ind w:left="780" w:right="20" w:firstLine="241"/>
        <w:spacing w:after="0" w:line="261" w:lineRule="auto"/>
        <w:rPr>
          <w:sz w:val="20"/>
          <w:szCs w:val="20"/>
          <w:color w:val="auto"/>
        </w:rPr>
      </w:pPr>
      <w:r>
        <w:rPr>
          <w:rFonts w:ascii="Calibri" w:cs="Calibri" w:eastAsia="Calibri" w:hAnsi="Calibri"/>
          <w:sz w:val="18"/>
          <w:szCs w:val="18"/>
          <w:color w:val="auto"/>
        </w:rPr>
        <w:t>The fair value measurements of assets acquired and liabilities assumed are based on inputs that are not observable in the market and therefore represent Level 3 inputs. The fair value of evaluated oil and natural gas properties and asset retirement obligations were measured using the discounted cash flow technique of valuation.</w:t>
      </w:r>
    </w:p>
    <w:p>
      <w:pPr>
        <w:spacing w:after="0" w:line="223" w:lineRule="exact"/>
        <w:rPr>
          <w:sz w:val="20"/>
          <w:szCs w:val="20"/>
          <w:color w:val="auto"/>
        </w:rPr>
      </w:pPr>
    </w:p>
    <w:p>
      <w:pPr>
        <w:jc w:val="both"/>
        <w:ind w:left="780" w:right="80" w:firstLine="241"/>
        <w:spacing w:after="0" w:line="261" w:lineRule="auto"/>
        <w:rPr>
          <w:sz w:val="20"/>
          <w:szCs w:val="20"/>
          <w:color w:val="auto"/>
        </w:rPr>
      </w:pPr>
      <w:r>
        <w:rPr>
          <w:rFonts w:ascii="Calibri" w:cs="Calibri" w:eastAsia="Calibri" w:hAnsi="Calibri"/>
          <w:sz w:val="18"/>
          <w:szCs w:val="18"/>
          <w:color w:val="auto"/>
        </w:rPr>
        <w:t>Significant inputs to the valuation of oil and natural gas properties include estimates of: (i) future production volumes, (ii) future commodity prices and (iii) recent market comparable transactions for unproved acreage. These inputs require significant judgments and estimates and are the most sensitive and subject to change.</w:t>
      </w:r>
    </w:p>
    <w:p>
      <w:pPr>
        <w:spacing w:after="0" w:line="232" w:lineRule="exact"/>
        <w:rPr>
          <w:sz w:val="20"/>
          <w:szCs w:val="20"/>
          <w:color w:val="auto"/>
        </w:rPr>
      </w:pPr>
    </w:p>
    <w:p>
      <w:pPr>
        <w:ind w:left="780"/>
        <w:spacing w:after="0"/>
        <w:rPr>
          <w:sz w:val="20"/>
          <w:szCs w:val="20"/>
          <w:color w:val="auto"/>
        </w:rPr>
      </w:pPr>
      <w:r>
        <w:rPr>
          <w:rFonts w:ascii="Calibri" w:cs="Calibri" w:eastAsia="Calibri" w:hAnsi="Calibri"/>
          <w:sz w:val="19"/>
          <w:szCs w:val="19"/>
          <w:i w:val="1"/>
          <w:iCs w:val="1"/>
          <w:color w:val="214E93"/>
        </w:rPr>
        <w:t>Divestitures</w:t>
      </w:r>
    </w:p>
    <w:p>
      <w:pPr>
        <w:spacing w:after="0" w:line="244" w:lineRule="exact"/>
        <w:rPr>
          <w:sz w:val="20"/>
          <w:szCs w:val="20"/>
          <w:color w:val="auto"/>
        </w:rPr>
      </w:pPr>
    </w:p>
    <w:p>
      <w:pPr>
        <w:ind w:left="780" w:right="400" w:firstLine="241"/>
        <w:spacing w:after="0" w:line="261" w:lineRule="auto"/>
        <w:rPr>
          <w:sz w:val="20"/>
          <w:szCs w:val="20"/>
          <w:color w:val="auto"/>
        </w:rPr>
      </w:pPr>
      <w:r>
        <w:rPr>
          <w:rFonts w:ascii="Calibri" w:cs="Calibri" w:eastAsia="Calibri" w:hAnsi="Calibri"/>
          <w:sz w:val="18"/>
          <w:szCs w:val="18"/>
          <w:color w:val="auto"/>
        </w:rPr>
        <w:t>During the first quarter of 2025, the Company sold its remaining South Texas assets in the Eagle Ford shale for $22.2 million. During 2024, the Company converted approximately $12.4 million of non-core assets to cash. These properties were primarily located in South Texas and Northwest Louisiana.</w:t>
      </w:r>
    </w:p>
    <w:p>
      <w:pPr>
        <w:spacing w:after="0" w:line="206"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color w:val="auto"/>
        </w:rPr>
        <w:t>On October 28, 2024, Piñon was acquired by an affiliate of Enterprise Products Partners L.P. The Company received</w:t>
      </w:r>
    </w:p>
    <w:p>
      <w:pPr>
        <w:spacing w:after="0" w:line="45" w:lineRule="exact"/>
        <w:rPr>
          <w:sz w:val="20"/>
          <w:szCs w:val="20"/>
          <w:color w:val="auto"/>
        </w:rPr>
      </w:pPr>
    </w:p>
    <w:p>
      <w:pPr>
        <w:ind w:left="780" w:right="280"/>
        <w:spacing w:after="0" w:line="252" w:lineRule="auto"/>
        <w:rPr>
          <w:sz w:val="20"/>
          <w:szCs w:val="20"/>
          <w:color w:val="auto"/>
        </w:rPr>
      </w:pPr>
      <w:r>
        <w:rPr>
          <w:rFonts w:ascii="Calibri" w:cs="Calibri" w:eastAsia="Calibri" w:hAnsi="Calibri"/>
          <w:sz w:val="18"/>
          <w:szCs w:val="18"/>
          <w:color w:val="auto"/>
        </w:rPr>
        <w:t>$113.6 million from the sale of Piñon during the fourth quarter of 2024 and used these proceeds to reduce borrowings under the Credit Agreement. The Company received an additional $3.3 million from the sale of Piñon in the first half of 2025.</w:t>
      </w:r>
    </w:p>
    <w:p>
      <w:pPr>
        <w:sectPr>
          <w:pgSz w:w="11880" w:h="15480" w:orient="portrait"/>
          <w:cols w:equalWidth="0" w:num="1">
            <w:col w:w="10340"/>
          </w:cols>
          <w:pgMar w:left="38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0"/>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0340"/>
          </w:cols>
          <w:pgMar w:left="380" w:top="498" w:right="1160" w:bottom="0" w:gutter="0" w:footer="0" w:header="0"/>
          <w:type w:val="continuous"/>
        </w:sectPr>
      </w:pPr>
    </w:p>
    <w:bookmarkStart w:id="152" w:name="page153"/>
    <w:bookmarkEnd w:id="152"/>
    <w:tbl>
      <w:tblPr>
        <w:tblLayout w:type="fixed"/>
        <w:tblInd w:w="7880" w:type="dxa"/>
        <w:tblCellMar>
          <w:top w:w="0" w:type="dxa"/>
          <w:left w:w="0" w:type="dxa"/>
          <w:bottom w:w="0" w:type="dxa"/>
          <w:right w:w="0" w:type="dxa"/>
        </w:tblCellMar>
      </w:tblPr>
      <w:tr>
        <w:trPr>
          <w:trHeight w:val="220"/>
        </w:trPr>
        <w:tc>
          <w:tcPr>
            <w:tcW w:w="188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580" w:type="dxa"/>
            <w:vAlign w:val="bottom"/>
          </w:tcPr>
          <w:p>
            <w:pPr>
              <w:ind w:left="260"/>
              <w:spacing w:after="0"/>
              <w:rPr>
                <w:sz w:val="20"/>
                <w:szCs w:val="20"/>
                <w:color w:val="auto"/>
              </w:rPr>
            </w:pPr>
            <w:r>
              <w:rPr>
                <w:rFonts w:ascii="Calibri" w:cs="Calibri" w:eastAsia="Calibri" w:hAnsi="Calibri"/>
                <w:sz w:val="18"/>
                <w:szCs w:val="18"/>
                <w:color w:val="auto"/>
                <w:w w:val="93"/>
              </w:rPr>
              <w:t>F-22</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302" name="Shape 3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2" o:spid="_x0000_s13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303" name="Shape 3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03" o:spid="_x0000_s13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Verdana" w:cs="Verdana" w:eastAsia="Verdana" w:hAnsi="Verdana"/>
          <w:sz w:val="20"/>
          <w:szCs w:val="20"/>
          <w:color w:val="214E93"/>
        </w:rPr>
        <w:t>NOTE 7 — DEBT</w:t>
      </w:r>
    </w:p>
    <w:p>
      <w:pPr>
        <w:spacing w:after="0" w:line="200" w:lineRule="exact"/>
        <w:rPr>
          <w:sz w:val="20"/>
          <w:szCs w:val="20"/>
          <w:color w:val="auto"/>
        </w:rPr>
      </w:pPr>
    </w:p>
    <w:p>
      <w:pPr>
        <w:ind w:right="1080" w:firstLine="241"/>
        <w:spacing w:after="0" w:line="252" w:lineRule="auto"/>
        <w:rPr>
          <w:sz w:val="20"/>
          <w:szCs w:val="20"/>
          <w:color w:val="auto"/>
        </w:rPr>
      </w:pPr>
      <w:r>
        <w:rPr>
          <w:rFonts w:ascii="Calibri" w:cs="Calibri" w:eastAsia="Calibri" w:hAnsi="Calibri"/>
          <w:sz w:val="18"/>
          <w:szCs w:val="18"/>
          <w:color w:val="auto"/>
        </w:rPr>
        <w:t>The components of debt, including the effects of issuance costs and discounts, net as of December 31, 2025 and 2024, are set forth below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060" w:type="dxa"/>
            <w:vAlign w:val="bottom"/>
          </w:tcPr>
          <w:p>
            <w:pPr>
              <w:spacing w:after="0"/>
              <w:rPr>
                <w:sz w:val="16"/>
                <w:szCs w:val="16"/>
                <w:color w:val="auto"/>
              </w:rPr>
            </w:pPr>
          </w:p>
        </w:tc>
        <w:tc>
          <w:tcPr>
            <w:tcW w:w="240" w:type="dxa"/>
            <w:vAlign w:val="bottom"/>
            <w:tcBorders>
              <w:bottom w:val="single" w:sz="8" w:color="214E93"/>
            </w:tcBorders>
          </w:tcPr>
          <w:p>
            <w:pPr>
              <w:spacing w:after="0"/>
              <w:rPr>
                <w:sz w:val="16"/>
                <w:szCs w:val="16"/>
                <w:color w:val="auto"/>
              </w:rPr>
            </w:pPr>
          </w:p>
        </w:tc>
        <w:tc>
          <w:tcPr>
            <w:tcW w:w="2260" w:type="dxa"/>
            <w:vAlign w:val="bottom"/>
            <w:tcBorders>
              <w:bottom w:val="single" w:sz="8" w:color="214E93"/>
            </w:tcBorders>
            <w:gridSpan w:val="3"/>
          </w:tcPr>
          <w:p>
            <w:pPr>
              <w:jc w:val="right"/>
              <w:ind w:right="682"/>
              <w:spacing w:after="0"/>
              <w:rPr>
                <w:sz w:val="20"/>
                <w:szCs w:val="20"/>
                <w:color w:val="auto"/>
              </w:rPr>
            </w:pPr>
            <w:r>
              <w:rPr>
                <w:rFonts w:ascii="Verdana" w:cs="Verdana" w:eastAsia="Verdana" w:hAnsi="Verdana"/>
                <w:sz w:val="14"/>
                <w:szCs w:val="14"/>
                <w:color w:val="auto"/>
              </w:rPr>
              <w:t>December 31,</w:t>
            </w:r>
          </w:p>
        </w:tc>
      </w:tr>
      <w:tr>
        <w:trPr>
          <w:trHeight w:val="201"/>
        </w:trPr>
        <w:tc>
          <w:tcPr>
            <w:tcW w:w="7060" w:type="dxa"/>
            <w:vAlign w:val="bottom"/>
            <w:tcBorders>
              <w:bottom w:val="single" w:sz="8" w:color="214E93"/>
            </w:tcBorders>
          </w:tcPr>
          <w:p>
            <w:pPr>
              <w:spacing w:after="0"/>
              <w:rPr>
                <w:sz w:val="17"/>
                <w:szCs w:val="17"/>
                <w:color w:val="auto"/>
              </w:rPr>
            </w:pPr>
          </w:p>
        </w:tc>
        <w:tc>
          <w:tcPr>
            <w:tcW w:w="240" w:type="dxa"/>
            <w:vAlign w:val="bottom"/>
            <w:tcBorders>
              <w:bottom w:val="single" w:sz="8" w:color="214E93"/>
            </w:tcBorders>
          </w:tcPr>
          <w:p>
            <w:pPr>
              <w:spacing w:after="0"/>
              <w:rPr>
                <w:sz w:val="17"/>
                <w:szCs w:val="17"/>
                <w:color w:val="auto"/>
              </w:rPr>
            </w:pPr>
          </w:p>
        </w:tc>
        <w:tc>
          <w:tcPr>
            <w:tcW w:w="1020" w:type="dxa"/>
            <w:vAlign w:val="bottom"/>
            <w:tcBorders>
              <w:bottom w:val="single" w:sz="8" w:color="214E93"/>
            </w:tcBorders>
          </w:tcPr>
          <w:p>
            <w:pPr>
              <w:jc w:val="right"/>
              <w:ind w:right="403"/>
              <w:spacing w:after="0"/>
              <w:rPr>
                <w:sz w:val="20"/>
                <w:szCs w:val="20"/>
                <w:color w:val="auto"/>
              </w:rPr>
            </w:pPr>
            <w:r>
              <w:rPr>
                <w:rFonts w:ascii="Verdana" w:cs="Verdana" w:eastAsia="Verdana" w:hAnsi="Verdana"/>
                <w:sz w:val="14"/>
                <w:szCs w:val="14"/>
                <w:color w:val="214E93"/>
              </w:rPr>
              <w:t>2025</w:t>
            </w:r>
          </w:p>
        </w:tc>
        <w:tc>
          <w:tcPr>
            <w:tcW w:w="260" w:type="dxa"/>
            <w:vAlign w:val="bottom"/>
            <w:tcBorders>
              <w:bottom w:val="single" w:sz="8" w:color="214E93"/>
            </w:tcBorders>
          </w:tcPr>
          <w:p>
            <w:pPr>
              <w:spacing w:after="0"/>
              <w:rPr>
                <w:sz w:val="17"/>
                <w:szCs w:val="17"/>
                <w:color w:val="auto"/>
              </w:rPr>
            </w:pPr>
          </w:p>
        </w:tc>
        <w:tc>
          <w:tcPr>
            <w:tcW w:w="980" w:type="dxa"/>
            <w:vAlign w:val="bottom"/>
            <w:tcBorders>
              <w:bottom w:val="single" w:sz="8" w:color="214E93"/>
            </w:tcBorders>
          </w:tcPr>
          <w:p>
            <w:pPr>
              <w:jc w:val="right"/>
              <w:ind w:right="362"/>
              <w:spacing w:after="0"/>
              <w:rPr>
                <w:sz w:val="20"/>
                <w:szCs w:val="20"/>
                <w:color w:val="auto"/>
              </w:rPr>
            </w:pPr>
            <w:r>
              <w:rPr>
                <w:rFonts w:ascii="Verdana" w:cs="Verdana" w:eastAsia="Verdana" w:hAnsi="Verdana"/>
                <w:sz w:val="14"/>
                <w:szCs w:val="14"/>
                <w:color w:val="auto"/>
              </w:rPr>
              <w:t>2024</w:t>
            </w:r>
          </w:p>
        </w:tc>
      </w:tr>
      <w:tr>
        <w:trPr>
          <w:trHeight w:val="211"/>
        </w:trPr>
        <w:tc>
          <w:tcPr>
            <w:tcW w:w="7060" w:type="dxa"/>
            <w:vAlign w:val="bottom"/>
          </w:tcPr>
          <w:p>
            <w:pPr>
              <w:ind w:left="40"/>
              <w:spacing w:after="0"/>
              <w:rPr>
                <w:sz w:val="20"/>
                <w:szCs w:val="20"/>
                <w:color w:val="auto"/>
              </w:rPr>
            </w:pPr>
            <w:r>
              <w:rPr>
                <w:rFonts w:ascii="Verdana" w:cs="Verdana" w:eastAsia="Verdana" w:hAnsi="Verdana"/>
                <w:sz w:val="16"/>
                <w:szCs w:val="16"/>
                <w:color w:val="auto"/>
              </w:rPr>
              <w:t>Revolving credit agreements: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5"/>
        </w:trPr>
        <w:tc>
          <w:tcPr>
            <w:tcW w:w="7060" w:type="dxa"/>
            <w:vAlign w:val="bottom"/>
          </w:tcPr>
          <w:p>
            <w:pPr>
              <w:ind w:left="160"/>
              <w:spacing w:after="0"/>
              <w:rPr>
                <w:sz w:val="20"/>
                <w:szCs w:val="20"/>
                <w:color w:val="auto"/>
              </w:rPr>
            </w:pPr>
            <w:r>
              <w:rPr>
                <w:rFonts w:ascii="Verdana" w:cs="Verdana" w:eastAsia="Verdana" w:hAnsi="Verdana"/>
                <w:sz w:val="16"/>
                <w:szCs w:val="16"/>
                <w:color w:val="auto"/>
              </w:rPr>
              <w:t>Credit Agreement due 2029</w:t>
            </w:r>
          </w:p>
        </w:tc>
        <w:tc>
          <w:tcPr>
            <w:tcW w:w="240" w:type="dxa"/>
            <w:vAlign w:val="bottom"/>
          </w:tcPr>
          <w:p>
            <w:pPr>
              <w:jc w:val="right"/>
              <w:ind w:right="21"/>
              <w:spacing w:after="0"/>
              <w:rPr>
                <w:sz w:val="20"/>
                <w:szCs w:val="20"/>
                <w:color w:val="auto"/>
              </w:rPr>
            </w:pPr>
            <w:r>
              <w:rPr>
                <w:rFonts w:ascii="Verdana" w:cs="Verdana" w:eastAsia="Verdana" w:hAnsi="Verdana"/>
                <w:sz w:val="16"/>
                <w:szCs w:val="16"/>
                <w:color w:val="214E93"/>
              </w:rPr>
              <w:t>$</w:t>
            </w:r>
          </w:p>
        </w:tc>
        <w:tc>
          <w:tcPr>
            <w:tcW w:w="1020" w:type="dxa"/>
            <w:vAlign w:val="bottom"/>
          </w:tcPr>
          <w:p>
            <w:pPr>
              <w:jc w:val="right"/>
              <w:ind w:right="43"/>
              <w:spacing w:after="0"/>
              <w:rPr>
                <w:sz w:val="20"/>
                <w:szCs w:val="20"/>
                <w:color w:val="auto"/>
              </w:rPr>
            </w:pPr>
            <w:r>
              <w:rPr>
                <w:rFonts w:ascii="Verdana" w:cs="Verdana" w:eastAsia="Verdana" w:hAnsi="Verdana"/>
                <w:sz w:val="16"/>
                <w:szCs w:val="16"/>
                <w:color w:val="214E93"/>
              </w:rPr>
              <w:t>398,000</w:t>
            </w:r>
          </w:p>
        </w:tc>
        <w:tc>
          <w:tcPr>
            <w:tcW w:w="260" w:type="dxa"/>
            <w:vAlign w:val="bottom"/>
          </w:tcPr>
          <w:p>
            <w:pPr>
              <w:jc w:val="right"/>
              <w:ind w:right="21"/>
              <w:spacing w:after="0"/>
              <w:rPr>
                <w:sz w:val="20"/>
                <w:szCs w:val="20"/>
                <w:color w:val="auto"/>
              </w:rPr>
            </w:pPr>
            <w:r>
              <w:rPr>
                <w:rFonts w:ascii="Verdana" w:cs="Verdana" w:eastAsia="Verdana" w:hAnsi="Verdana"/>
                <w:sz w:val="16"/>
                <w:szCs w:val="16"/>
                <w:color w:val="auto"/>
              </w:rPr>
              <w:t>$</w:t>
            </w:r>
          </w:p>
        </w:tc>
        <w:tc>
          <w:tcPr>
            <w:tcW w:w="980" w:type="dxa"/>
            <w:vAlign w:val="bottom"/>
          </w:tcPr>
          <w:p>
            <w:pPr>
              <w:jc w:val="right"/>
              <w:ind w:right="2"/>
              <w:spacing w:after="0"/>
              <w:rPr>
                <w:sz w:val="20"/>
                <w:szCs w:val="20"/>
                <w:color w:val="auto"/>
              </w:rPr>
            </w:pPr>
            <w:r>
              <w:rPr>
                <w:rFonts w:ascii="Verdana" w:cs="Verdana" w:eastAsia="Verdana" w:hAnsi="Verdana"/>
                <w:sz w:val="16"/>
                <w:szCs w:val="16"/>
                <w:color w:val="auto"/>
              </w:rPr>
              <w:t>595,500</w:t>
            </w:r>
          </w:p>
        </w:tc>
      </w:tr>
      <w:tr>
        <w:trPr>
          <w:trHeight w:val="236"/>
        </w:trPr>
        <w:tc>
          <w:tcPr>
            <w:tcW w:w="7060" w:type="dxa"/>
            <w:vAlign w:val="bottom"/>
          </w:tcPr>
          <w:p>
            <w:pPr>
              <w:ind w:left="160"/>
              <w:spacing w:after="0"/>
              <w:rPr>
                <w:sz w:val="20"/>
                <w:szCs w:val="20"/>
                <w:color w:val="auto"/>
              </w:rPr>
            </w:pPr>
            <w:r>
              <w:rPr>
                <w:rFonts w:ascii="Verdana" w:cs="Verdana" w:eastAsia="Verdana" w:hAnsi="Verdana"/>
                <w:sz w:val="16"/>
                <w:szCs w:val="16"/>
                <w:color w:val="auto"/>
              </w:rPr>
              <w:t>San Mateo Credit Facility due 2029</w:t>
            </w:r>
          </w:p>
        </w:tc>
        <w:tc>
          <w:tcPr>
            <w:tcW w:w="240" w:type="dxa"/>
            <w:vAlign w:val="bottom"/>
          </w:tcPr>
          <w:p>
            <w:pPr>
              <w:spacing w:after="0"/>
              <w:rPr>
                <w:sz w:val="20"/>
                <w:szCs w:val="20"/>
                <w:color w:val="auto"/>
              </w:rPr>
            </w:pPr>
          </w:p>
        </w:tc>
        <w:tc>
          <w:tcPr>
            <w:tcW w:w="1020" w:type="dxa"/>
            <w:vAlign w:val="bottom"/>
          </w:tcPr>
          <w:p>
            <w:pPr>
              <w:jc w:val="right"/>
              <w:ind w:right="43"/>
              <w:spacing w:after="0"/>
              <w:rPr>
                <w:sz w:val="20"/>
                <w:szCs w:val="20"/>
                <w:color w:val="auto"/>
              </w:rPr>
            </w:pPr>
            <w:r>
              <w:rPr>
                <w:rFonts w:ascii="Verdana" w:cs="Verdana" w:eastAsia="Verdana" w:hAnsi="Verdana"/>
                <w:sz w:val="16"/>
                <w:szCs w:val="16"/>
                <w:color w:val="214E93"/>
              </w:rPr>
              <w:t>883,000</w:t>
            </w:r>
          </w:p>
        </w:tc>
        <w:tc>
          <w:tcPr>
            <w:tcW w:w="260" w:type="dxa"/>
            <w:vAlign w:val="bottom"/>
          </w:tcPr>
          <w:p>
            <w:pPr>
              <w:spacing w:after="0"/>
              <w:rPr>
                <w:sz w:val="20"/>
                <w:szCs w:val="20"/>
                <w:color w:val="auto"/>
              </w:rPr>
            </w:pPr>
          </w:p>
        </w:tc>
        <w:tc>
          <w:tcPr>
            <w:tcW w:w="980" w:type="dxa"/>
            <w:vAlign w:val="bottom"/>
          </w:tcPr>
          <w:p>
            <w:pPr>
              <w:jc w:val="right"/>
              <w:ind w:right="2"/>
              <w:spacing w:after="0"/>
              <w:rPr>
                <w:sz w:val="20"/>
                <w:szCs w:val="20"/>
                <w:color w:val="auto"/>
              </w:rPr>
            </w:pPr>
            <w:r>
              <w:rPr>
                <w:rFonts w:ascii="Verdana" w:cs="Verdana" w:eastAsia="Verdana" w:hAnsi="Verdana"/>
                <w:sz w:val="16"/>
                <w:szCs w:val="16"/>
                <w:color w:val="auto"/>
              </w:rPr>
              <w:t>615,000</w:t>
            </w:r>
          </w:p>
        </w:tc>
      </w:tr>
      <w:tr>
        <w:trPr>
          <w:trHeight w:val="236"/>
        </w:trPr>
        <w:tc>
          <w:tcPr>
            <w:tcW w:w="7060" w:type="dxa"/>
            <w:vAlign w:val="bottom"/>
          </w:tcPr>
          <w:p>
            <w:pPr>
              <w:ind w:left="40"/>
              <w:spacing w:after="0"/>
              <w:rPr>
                <w:sz w:val="20"/>
                <w:szCs w:val="20"/>
                <w:color w:val="auto"/>
              </w:rPr>
            </w:pPr>
            <w:r>
              <w:rPr>
                <w:rFonts w:ascii="Verdana" w:cs="Verdana" w:eastAsia="Verdana" w:hAnsi="Verdana"/>
                <w:sz w:val="16"/>
                <w:szCs w:val="16"/>
                <w:color w:val="auto"/>
              </w:rPr>
              <w:t>Senior unsecured notes: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6"/>
        </w:trPr>
        <w:tc>
          <w:tcPr>
            <w:tcW w:w="7060" w:type="dxa"/>
            <w:vAlign w:val="bottom"/>
          </w:tcPr>
          <w:p>
            <w:pPr>
              <w:ind w:left="160"/>
              <w:spacing w:after="0"/>
              <w:rPr>
                <w:sz w:val="20"/>
                <w:szCs w:val="20"/>
                <w:color w:val="auto"/>
              </w:rPr>
            </w:pPr>
            <w:r>
              <w:rPr>
                <w:rFonts w:ascii="Verdana" w:cs="Verdana" w:eastAsia="Verdana" w:hAnsi="Verdana"/>
                <w:sz w:val="16"/>
                <w:szCs w:val="16"/>
                <w:color w:val="auto"/>
              </w:rPr>
              <w:t>6.875% senior notes due 2028 (the “2028 Notes”)</w:t>
            </w:r>
          </w:p>
        </w:tc>
        <w:tc>
          <w:tcPr>
            <w:tcW w:w="240" w:type="dxa"/>
            <w:vAlign w:val="bottom"/>
          </w:tcPr>
          <w:p>
            <w:pPr>
              <w:spacing w:after="0"/>
              <w:rPr>
                <w:sz w:val="20"/>
                <w:szCs w:val="20"/>
                <w:color w:val="auto"/>
              </w:rPr>
            </w:pPr>
          </w:p>
        </w:tc>
        <w:tc>
          <w:tcPr>
            <w:tcW w:w="1020" w:type="dxa"/>
            <w:vAlign w:val="bottom"/>
          </w:tcPr>
          <w:p>
            <w:pPr>
              <w:jc w:val="right"/>
              <w:ind w:right="43"/>
              <w:spacing w:after="0"/>
              <w:rPr>
                <w:sz w:val="20"/>
                <w:szCs w:val="20"/>
                <w:color w:val="auto"/>
              </w:rPr>
            </w:pPr>
            <w:r>
              <w:rPr>
                <w:rFonts w:ascii="Verdana" w:cs="Verdana" w:eastAsia="Verdana" w:hAnsi="Verdana"/>
                <w:sz w:val="16"/>
                <w:szCs w:val="16"/>
                <w:color w:val="214E93"/>
              </w:rPr>
              <w:t>500,000</w:t>
            </w:r>
          </w:p>
        </w:tc>
        <w:tc>
          <w:tcPr>
            <w:tcW w:w="260" w:type="dxa"/>
            <w:vAlign w:val="bottom"/>
          </w:tcPr>
          <w:p>
            <w:pPr>
              <w:spacing w:after="0"/>
              <w:rPr>
                <w:sz w:val="20"/>
                <w:szCs w:val="20"/>
                <w:color w:val="auto"/>
              </w:rPr>
            </w:pPr>
          </w:p>
        </w:tc>
        <w:tc>
          <w:tcPr>
            <w:tcW w:w="980" w:type="dxa"/>
            <w:vAlign w:val="bottom"/>
          </w:tcPr>
          <w:p>
            <w:pPr>
              <w:jc w:val="right"/>
              <w:ind w:right="2"/>
              <w:spacing w:after="0"/>
              <w:rPr>
                <w:sz w:val="20"/>
                <w:szCs w:val="20"/>
                <w:color w:val="auto"/>
              </w:rPr>
            </w:pPr>
            <w:r>
              <w:rPr>
                <w:rFonts w:ascii="Verdana" w:cs="Verdana" w:eastAsia="Verdana" w:hAnsi="Verdana"/>
                <w:sz w:val="16"/>
                <w:szCs w:val="16"/>
                <w:color w:val="auto"/>
              </w:rPr>
              <w:t>500,000</w:t>
            </w:r>
          </w:p>
        </w:tc>
      </w:tr>
      <w:tr>
        <w:trPr>
          <w:trHeight w:val="236"/>
        </w:trPr>
        <w:tc>
          <w:tcPr>
            <w:tcW w:w="7060" w:type="dxa"/>
            <w:vAlign w:val="bottom"/>
          </w:tcPr>
          <w:p>
            <w:pPr>
              <w:ind w:left="160"/>
              <w:spacing w:after="0"/>
              <w:rPr>
                <w:sz w:val="20"/>
                <w:szCs w:val="20"/>
                <w:color w:val="auto"/>
              </w:rPr>
            </w:pPr>
            <w:r>
              <w:rPr>
                <w:rFonts w:ascii="Verdana" w:cs="Verdana" w:eastAsia="Verdana" w:hAnsi="Verdana"/>
                <w:sz w:val="16"/>
                <w:szCs w:val="16"/>
                <w:color w:val="auto"/>
              </w:rPr>
              <w:t>6.500% senior notes due 2032 (the “2032 Notes”)</w:t>
            </w:r>
          </w:p>
        </w:tc>
        <w:tc>
          <w:tcPr>
            <w:tcW w:w="240" w:type="dxa"/>
            <w:vAlign w:val="bottom"/>
          </w:tcPr>
          <w:p>
            <w:pPr>
              <w:spacing w:after="0"/>
              <w:rPr>
                <w:sz w:val="20"/>
                <w:szCs w:val="20"/>
                <w:color w:val="auto"/>
              </w:rPr>
            </w:pPr>
          </w:p>
        </w:tc>
        <w:tc>
          <w:tcPr>
            <w:tcW w:w="1020" w:type="dxa"/>
            <w:vAlign w:val="bottom"/>
          </w:tcPr>
          <w:p>
            <w:pPr>
              <w:jc w:val="right"/>
              <w:ind w:right="43"/>
              <w:spacing w:after="0"/>
              <w:rPr>
                <w:sz w:val="20"/>
                <w:szCs w:val="20"/>
                <w:color w:val="auto"/>
              </w:rPr>
            </w:pPr>
            <w:r>
              <w:rPr>
                <w:rFonts w:ascii="Verdana" w:cs="Verdana" w:eastAsia="Verdana" w:hAnsi="Verdana"/>
                <w:sz w:val="16"/>
                <w:szCs w:val="16"/>
                <w:color w:val="214E93"/>
              </w:rPr>
              <w:t>900,000</w:t>
            </w:r>
          </w:p>
        </w:tc>
        <w:tc>
          <w:tcPr>
            <w:tcW w:w="260" w:type="dxa"/>
            <w:vAlign w:val="bottom"/>
          </w:tcPr>
          <w:p>
            <w:pPr>
              <w:spacing w:after="0"/>
              <w:rPr>
                <w:sz w:val="20"/>
                <w:szCs w:val="20"/>
                <w:color w:val="auto"/>
              </w:rPr>
            </w:pPr>
          </w:p>
        </w:tc>
        <w:tc>
          <w:tcPr>
            <w:tcW w:w="980" w:type="dxa"/>
            <w:vAlign w:val="bottom"/>
          </w:tcPr>
          <w:p>
            <w:pPr>
              <w:jc w:val="right"/>
              <w:ind w:right="2"/>
              <w:spacing w:after="0"/>
              <w:rPr>
                <w:sz w:val="20"/>
                <w:szCs w:val="20"/>
                <w:color w:val="auto"/>
              </w:rPr>
            </w:pPr>
            <w:r>
              <w:rPr>
                <w:rFonts w:ascii="Verdana" w:cs="Verdana" w:eastAsia="Verdana" w:hAnsi="Verdana"/>
                <w:sz w:val="16"/>
                <w:szCs w:val="16"/>
                <w:color w:val="auto"/>
              </w:rPr>
              <w:t>900,000</w:t>
            </w:r>
          </w:p>
        </w:tc>
      </w:tr>
      <w:tr>
        <w:trPr>
          <w:trHeight w:val="236"/>
        </w:trPr>
        <w:tc>
          <w:tcPr>
            <w:tcW w:w="7060" w:type="dxa"/>
            <w:vAlign w:val="bottom"/>
          </w:tcPr>
          <w:p>
            <w:pPr>
              <w:ind w:left="160"/>
              <w:spacing w:after="0"/>
              <w:rPr>
                <w:sz w:val="20"/>
                <w:szCs w:val="20"/>
                <w:color w:val="auto"/>
              </w:rPr>
            </w:pPr>
            <w:r>
              <w:rPr>
                <w:rFonts w:ascii="Verdana" w:cs="Verdana" w:eastAsia="Verdana" w:hAnsi="Verdana"/>
                <w:sz w:val="16"/>
                <w:szCs w:val="16"/>
                <w:color w:val="auto"/>
              </w:rPr>
              <w:t>6.250% senior notes due 2033 (the “2033 Notes”)</w:t>
            </w:r>
          </w:p>
        </w:tc>
        <w:tc>
          <w:tcPr>
            <w:tcW w:w="240" w:type="dxa"/>
            <w:vAlign w:val="bottom"/>
          </w:tcPr>
          <w:p>
            <w:pPr>
              <w:spacing w:after="0"/>
              <w:rPr>
                <w:sz w:val="20"/>
                <w:szCs w:val="20"/>
                <w:color w:val="auto"/>
              </w:rPr>
            </w:pPr>
          </w:p>
        </w:tc>
        <w:tc>
          <w:tcPr>
            <w:tcW w:w="1020" w:type="dxa"/>
            <w:vAlign w:val="bottom"/>
          </w:tcPr>
          <w:p>
            <w:pPr>
              <w:jc w:val="right"/>
              <w:ind w:right="43"/>
              <w:spacing w:after="0"/>
              <w:rPr>
                <w:sz w:val="20"/>
                <w:szCs w:val="20"/>
                <w:color w:val="auto"/>
              </w:rPr>
            </w:pPr>
            <w:r>
              <w:rPr>
                <w:rFonts w:ascii="Verdana" w:cs="Verdana" w:eastAsia="Verdana" w:hAnsi="Verdana"/>
                <w:sz w:val="16"/>
                <w:szCs w:val="16"/>
                <w:color w:val="214E93"/>
              </w:rPr>
              <w:t>750,000</w:t>
            </w:r>
          </w:p>
        </w:tc>
        <w:tc>
          <w:tcPr>
            <w:tcW w:w="260" w:type="dxa"/>
            <w:vAlign w:val="bottom"/>
          </w:tcPr>
          <w:p>
            <w:pPr>
              <w:spacing w:after="0"/>
              <w:rPr>
                <w:sz w:val="20"/>
                <w:szCs w:val="20"/>
                <w:color w:val="auto"/>
              </w:rPr>
            </w:pPr>
          </w:p>
        </w:tc>
        <w:tc>
          <w:tcPr>
            <w:tcW w:w="980" w:type="dxa"/>
            <w:vAlign w:val="bottom"/>
          </w:tcPr>
          <w:p>
            <w:pPr>
              <w:jc w:val="right"/>
              <w:ind w:right="2"/>
              <w:spacing w:after="0"/>
              <w:rPr>
                <w:sz w:val="20"/>
                <w:szCs w:val="20"/>
                <w:color w:val="auto"/>
              </w:rPr>
            </w:pPr>
            <w:r>
              <w:rPr>
                <w:rFonts w:ascii="Verdana" w:cs="Verdana" w:eastAsia="Verdana" w:hAnsi="Verdana"/>
                <w:sz w:val="16"/>
                <w:szCs w:val="16"/>
                <w:color w:val="auto"/>
              </w:rPr>
              <w:t>750,000</w:t>
            </w:r>
          </w:p>
        </w:tc>
      </w:tr>
      <w:tr>
        <w:trPr>
          <w:trHeight w:val="242"/>
        </w:trPr>
        <w:tc>
          <w:tcPr>
            <w:tcW w:w="7060" w:type="dxa"/>
            <w:vAlign w:val="bottom"/>
            <w:tcBorders>
              <w:bottom w:val="single" w:sz="8" w:color="auto"/>
            </w:tcBorders>
          </w:tcPr>
          <w:p>
            <w:pPr>
              <w:ind w:left="160"/>
              <w:spacing w:after="0"/>
              <w:rPr>
                <w:sz w:val="20"/>
                <w:szCs w:val="20"/>
                <w:color w:val="auto"/>
              </w:rPr>
            </w:pPr>
            <w:r>
              <w:rPr>
                <w:rFonts w:ascii="Verdana" w:cs="Verdana" w:eastAsia="Verdana" w:hAnsi="Verdana"/>
                <w:sz w:val="16"/>
                <w:szCs w:val="16"/>
                <w:color w:val="auto"/>
              </w:rPr>
              <w:t>Issuance costs and discounts, net</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214E93"/>
              </w:rPr>
              <w:t>(28,898)</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(35,092)</w:t>
            </w:r>
          </w:p>
        </w:tc>
      </w:tr>
      <w:tr>
        <w:trPr>
          <w:trHeight w:val="216"/>
        </w:trPr>
        <w:tc>
          <w:tcPr>
            <w:tcW w:w="7060" w:type="dxa"/>
            <w:vAlign w:val="bottom"/>
            <w:tcBorders>
              <w:bottom w:val="single" w:sz="8" w:color="auto"/>
            </w:tcBorders>
          </w:tcPr>
          <w:p>
            <w:pPr>
              <w:ind w:left="280"/>
              <w:spacing w:after="0"/>
              <w:rPr>
                <w:sz w:val="20"/>
                <w:szCs w:val="20"/>
                <w:color w:val="auto"/>
              </w:rPr>
            </w:pPr>
            <w:r>
              <w:rPr>
                <w:rFonts w:ascii="Verdana" w:cs="Verdana" w:eastAsia="Verdana" w:hAnsi="Verdana"/>
                <w:sz w:val="16"/>
                <w:szCs w:val="16"/>
                <w:color w:val="auto"/>
              </w:rPr>
              <w:t>Total senior unsecured notes payable</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
              <w:spacing w:after="0"/>
              <w:rPr>
                <w:sz w:val="20"/>
                <w:szCs w:val="20"/>
                <w:color w:val="auto"/>
              </w:rPr>
            </w:pPr>
            <w:r>
              <w:rPr>
                <w:rFonts w:ascii="Verdana" w:cs="Verdana" w:eastAsia="Verdana" w:hAnsi="Verdana"/>
                <w:sz w:val="16"/>
                <w:szCs w:val="16"/>
                <w:color w:val="214E93"/>
              </w:rPr>
              <w:t>2,121,102</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auto"/>
              </w:rPr>
              <w:t>2,114,908</w:t>
            </w:r>
          </w:p>
        </w:tc>
      </w:tr>
      <w:tr>
        <w:trPr>
          <w:trHeight w:val="217"/>
        </w:trPr>
        <w:tc>
          <w:tcPr>
            <w:tcW w:w="7060" w:type="dxa"/>
            <w:vAlign w:val="bottom"/>
            <w:tcBorders>
              <w:bottom w:val="single" w:sz="8" w:color="214E93"/>
            </w:tcBorders>
          </w:tcPr>
          <w:p>
            <w:pPr>
              <w:ind w:left="400"/>
              <w:spacing w:after="0"/>
              <w:rPr>
                <w:sz w:val="20"/>
                <w:szCs w:val="20"/>
                <w:color w:val="auto"/>
              </w:rPr>
            </w:pPr>
            <w:r>
              <w:rPr>
                <w:rFonts w:ascii="Verdana" w:cs="Verdana" w:eastAsia="Verdana" w:hAnsi="Verdana"/>
                <w:sz w:val="16"/>
                <w:szCs w:val="16"/>
                <w:color w:val="auto"/>
              </w:rPr>
              <w:t>Total long-term debt</w:t>
            </w:r>
          </w:p>
        </w:tc>
        <w:tc>
          <w:tcPr>
            <w:tcW w:w="240" w:type="dxa"/>
            <w:vAlign w:val="bottom"/>
            <w:tcBorders>
              <w:bottom w:val="single" w:sz="8" w:color="214E93"/>
            </w:tcBorders>
          </w:tcPr>
          <w:p>
            <w:pPr>
              <w:jc w:val="right"/>
              <w:ind w:right="21"/>
              <w:spacing w:after="0"/>
              <w:rPr>
                <w:sz w:val="20"/>
                <w:szCs w:val="20"/>
                <w:color w:val="auto"/>
              </w:rPr>
            </w:pPr>
            <w:r>
              <w:rPr>
                <w:rFonts w:ascii="Verdana" w:cs="Verdana" w:eastAsia="Verdana" w:hAnsi="Verdana"/>
                <w:sz w:val="16"/>
                <w:szCs w:val="16"/>
                <w:color w:val="214E93"/>
              </w:rPr>
              <w:t>$</w:t>
            </w:r>
          </w:p>
        </w:tc>
        <w:tc>
          <w:tcPr>
            <w:tcW w:w="1020" w:type="dxa"/>
            <w:vAlign w:val="bottom"/>
            <w:tcBorders>
              <w:bottom w:val="single" w:sz="8" w:color="214E93"/>
            </w:tcBorders>
          </w:tcPr>
          <w:p>
            <w:pPr>
              <w:jc w:val="right"/>
              <w:ind w:right="43"/>
              <w:spacing w:after="0"/>
              <w:rPr>
                <w:sz w:val="20"/>
                <w:szCs w:val="20"/>
                <w:color w:val="auto"/>
              </w:rPr>
            </w:pPr>
            <w:r>
              <w:rPr>
                <w:rFonts w:ascii="Verdana" w:cs="Verdana" w:eastAsia="Verdana" w:hAnsi="Verdana"/>
                <w:sz w:val="16"/>
                <w:szCs w:val="16"/>
                <w:color w:val="214E93"/>
              </w:rPr>
              <w:t>3,402,102</w:t>
            </w:r>
          </w:p>
        </w:tc>
        <w:tc>
          <w:tcPr>
            <w:tcW w:w="260" w:type="dxa"/>
            <w:vAlign w:val="bottom"/>
            <w:tcBorders>
              <w:bottom w:val="single" w:sz="8" w:color="214E93"/>
            </w:tcBorders>
          </w:tcPr>
          <w:p>
            <w:pPr>
              <w:jc w:val="right"/>
              <w:ind w:right="21"/>
              <w:spacing w:after="0"/>
              <w:rPr>
                <w:sz w:val="20"/>
                <w:szCs w:val="20"/>
                <w:color w:val="auto"/>
              </w:rPr>
            </w:pPr>
            <w:r>
              <w:rPr>
                <w:rFonts w:ascii="Verdana" w:cs="Verdana" w:eastAsia="Verdana" w:hAnsi="Verdana"/>
                <w:sz w:val="16"/>
                <w:szCs w:val="16"/>
                <w:color w:val="auto"/>
              </w:rPr>
              <w:t>$</w:t>
            </w:r>
          </w:p>
        </w:tc>
        <w:tc>
          <w:tcPr>
            <w:tcW w:w="980" w:type="dxa"/>
            <w:vAlign w:val="bottom"/>
            <w:tcBorders>
              <w:bottom w:val="single" w:sz="8" w:color="214E93"/>
            </w:tcBorders>
          </w:tcPr>
          <w:p>
            <w:pPr>
              <w:jc w:val="right"/>
              <w:ind w:right="2"/>
              <w:spacing w:after="0"/>
              <w:rPr>
                <w:sz w:val="20"/>
                <w:szCs w:val="20"/>
                <w:color w:val="auto"/>
              </w:rPr>
            </w:pPr>
            <w:r>
              <w:rPr>
                <w:rFonts w:ascii="Verdana" w:cs="Verdana" w:eastAsia="Verdana" w:hAnsi="Verdana"/>
                <w:sz w:val="16"/>
                <w:szCs w:val="16"/>
                <w:color w:val="auto"/>
              </w:rPr>
              <w:t>3,325,408</w:t>
            </w:r>
          </w:p>
        </w:tc>
      </w:tr>
    </w:tbl>
    <w:p>
      <w:pPr>
        <w:spacing w:after="0" w:line="20" w:lineRule="exact"/>
        <w:rPr>
          <w:sz w:val="20"/>
          <w:szCs w:val="20"/>
          <w:color w:val="auto"/>
        </w:rPr>
      </w:pPr>
    </w:p>
    <w:p>
      <w:pPr>
        <w:spacing w:after="0" w:line="131"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Credit Agreements</w:t>
      </w:r>
    </w:p>
    <w:p>
      <w:pPr>
        <w:spacing w:after="0" w:line="194" w:lineRule="exact"/>
        <w:rPr>
          <w:sz w:val="20"/>
          <w:szCs w:val="20"/>
          <w:color w:val="auto"/>
        </w:rPr>
      </w:pPr>
    </w:p>
    <w:p>
      <w:pPr>
        <w:spacing w:after="0"/>
        <w:rPr>
          <w:sz w:val="20"/>
          <w:szCs w:val="20"/>
          <w:color w:val="auto"/>
        </w:rPr>
      </w:pPr>
      <w:r>
        <w:rPr>
          <w:rFonts w:ascii="Calibri" w:cs="Calibri" w:eastAsia="Calibri" w:hAnsi="Calibri"/>
          <w:sz w:val="19"/>
          <w:szCs w:val="19"/>
          <w:color w:val="214E93"/>
        </w:rPr>
        <w:t>MRC Energy Company</w:t>
      </w:r>
    </w:p>
    <w:p>
      <w:pPr>
        <w:spacing w:after="0" w:line="208" w:lineRule="exact"/>
        <w:rPr>
          <w:sz w:val="20"/>
          <w:szCs w:val="20"/>
          <w:color w:val="auto"/>
        </w:rPr>
      </w:pPr>
    </w:p>
    <w:p>
      <w:pPr>
        <w:ind w:right="800" w:firstLine="241"/>
        <w:spacing w:after="0" w:line="269" w:lineRule="auto"/>
        <w:rPr>
          <w:sz w:val="20"/>
          <w:szCs w:val="20"/>
          <w:color w:val="auto"/>
        </w:rPr>
      </w:pPr>
      <w:r>
        <w:rPr>
          <w:rFonts w:ascii="Calibri" w:cs="Calibri" w:eastAsia="Calibri" w:hAnsi="Calibri"/>
          <w:sz w:val="18"/>
          <w:szCs w:val="18"/>
          <w:color w:val="auto"/>
        </w:rPr>
        <w:t>On November 18, 2021, the Company entered into its Fourth Amended and Restated Credit Agreement with the lenders party thereto. MRC Energy Company (“MRC”), a subsidiary of Matador that directly or indirectly holds the Company’s ownership interests in its other operating subsidiaries, is the borrower under the Credit Agreement. Borrowings are secured by mortgages on at least 85% of MRC’s and the Restricted Subsidiaries’ (as defined in the Credit Agreement) proved oil and natural gas properties and by the equity interests of certain of MRC’s wholly-owned subsidiaries, which are also guarantors. San Mateo is not a guarantor of the Credit Agreement. In addition, all obligations under the Credit Agreement are guaranteed by Matador, the parent corporation. Various commodity hedging agreements with certain of the lenders under the Credit Agreement (or affiliates thereof) are also secured by the collateral of and guaranteed by certain eligible subsidiaries of MRC. The outstanding borrowings under the Credit Agreement mature on March 22, 2029 or, if earlier, the date that is up to 180 days prior to the earliest stated redemption date of any senior notes of the Company if unused availability under the revolving credit facility on such date is less than 20% of the aggregate revolving commitments, on a pro forma basis after giving effect to the repayment of such senior notes.</w:t>
      </w:r>
    </w:p>
    <w:p>
      <w:pPr>
        <w:spacing w:after="0" w:line="214" w:lineRule="exact"/>
        <w:rPr>
          <w:sz w:val="20"/>
          <w:szCs w:val="20"/>
          <w:color w:val="auto"/>
        </w:rPr>
      </w:pPr>
    </w:p>
    <w:p>
      <w:pPr>
        <w:ind w:right="820" w:firstLine="241"/>
        <w:spacing w:after="0" w:line="264" w:lineRule="auto"/>
        <w:rPr>
          <w:sz w:val="20"/>
          <w:szCs w:val="20"/>
          <w:color w:val="auto"/>
        </w:rPr>
      </w:pPr>
      <w:r>
        <w:rPr>
          <w:rFonts w:ascii="Calibri" w:cs="Calibri" w:eastAsia="Calibri" w:hAnsi="Calibri"/>
          <w:sz w:val="18"/>
          <w:szCs w:val="18"/>
          <w:color w:val="auto"/>
        </w:rPr>
        <w:t>The borrowing base under the Credit Agreement is determined semi-annually as of May 1 and November 1 by the lenders based primarily on the estimated value of the Company’s proved oil and natural gas reserves at December 31 and June 30 of each year, respectively. The Company and the lenders may each request an unscheduled redetermination of the borrowing base once between scheduled redetermination dates.</w:t>
      </w:r>
    </w:p>
    <w:p>
      <w:pPr>
        <w:spacing w:after="0" w:line="221" w:lineRule="exact"/>
        <w:rPr>
          <w:sz w:val="20"/>
          <w:szCs w:val="20"/>
          <w:color w:val="auto"/>
        </w:rPr>
      </w:pPr>
    </w:p>
    <w:p>
      <w:pPr>
        <w:jc w:val="both"/>
        <w:ind w:right="840" w:firstLine="241"/>
        <w:spacing w:after="0" w:line="261" w:lineRule="auto"/>
        <w:rPr>
          <w:sz w:val="20"/>
          <w:szCs w:val="20"/>
          <w:color w:val="auto"/>
        </w:rPr>
      </w:pPr>
      <w:r>
        <w:rPr>
          <w:rFonts w:ascii="Calibri" w:cs="Calibri" w:eastAsia="Calibri" w:hAnsi="Calibri"/>
          <w:sz w:val="18"/>
          <w:szCs w:val="18"/>
          <w:color w:val="auto"/>
        </w:rPr>
        <w:t>In May and December 2025, the borrowing base of the Credit Agreement was reaffirmed at $3.25 billion, and the Company kept the elected borrowing commitments at $2.25 billion. The May and December 2025 reaffirmations of the borrowing base constituted the regularly scheduled May 1 and November 1 redeterminations, respectively.</w:t>
      </w:r>
    </w:p>
    <w:p>
      <w:pPr>
        <w:spacing w:after="0" w:line="223" w:lineRule="exact"/>
        <w:rPr>
          <w:sz w:val="20"/>
          <w:szCs w:val="20"/>
          <w:color w:val="auto"/>
        </w:rPr>
      </w:pPr>
    </w:p>
    <w:p>
      <w:pPr>
        <w:ind w:right="800" w:firstLine="241"/>
        <w:spacing w:after="0" w:line="267" w:lineRule="auto"/>
        <w:rPr>
          <w:sz w:val="20"/>
          <w:szCs w:val="20"/>
          <w:color w:val="auto"/>
        </w:rPr>
      </w:pPr>
      <w:r>
        <w:rPr>
          <w:rFonts w:ascii="Calibri" w:cs="Calibri" w:eastAsia="Calibri" w:hAnsi="Calibri"/>
          <w:sz w:val="18"/>
          <w:szCs w:val="18"/>
          <w:color w:val="auto"/>
        </w:rPr>
        <w:t>In the event of an increase in the elected borrowing commitment, the Company is required to pay a fee to the lenders equal to a percentage of the amount of the increase, which is determined based on market conditions at the time of the increase. If, upon a redetermination of the borrowing base, the borrowing base were to be less than the outstanding borrowings under the Credit Agreement at such time, the Company would be required to provide additional collateral satisfactory in nature and value to the lenders to increase the borrowing base to an amount sufficient to cover such excess or to repay the deficit in equal installments over a period of six months.</w:t>
      </w:r>
    </w:p>
    <w:p>
      <w:pPr>
        <w:spacing w:after="0" w:line="217" w:lineRule="exact"/>
        <w:rPr>
          <w:sz w:val="20"/>
          <w:szCs w:val="20"/>
          <w:color w:val="auto"/>
        </w:rPr>
      </w:pPr>
    </w:p>
    <w:p>
      <w:pPr>
        <w:ind w:right="940" w:firstLine="241"/>
        <w:spacing w:after="0" w:line="264" w:lineRule="auto"/>
        <w:rPr>
          <w:sz w:val="20"/>
          <w:szCs w:val="20"/>
          <w:color w:val="auto"/>
        </w:rPr>
      </w:pPr>
      <w:r>
        <w:rPr>
          <w:rFonts w:ascii="Calibri" w:cs="Calibri" w:eastAsia="Calibri" w:hAnsi="Calibri"/>
          <w:sz w:val="18"/>
          <w:szCs w:val="18"/>
          <w:color w:val="auto"/>
        </w:rPr>
        <w:t>Total deferred loan costs were $21.5 million at December 31, 2025, and these costs are being amortized over the term of the Credit Agreement. At December 31, 2025, the Company had $398.0 million in borrowings outstanding under the Credit Agreement and approximately $53.8 million in outstanding letters of credit issued pursuant to the Credit Agreement. The Company’s effective interest rate under the Credit Agreement was 5.63% at December 31, 2025.</w:t>
      </w:r>
    </w:p>
    <w:p>
      <w:pPr>
        <w:sectPr>
          <w:pgSz w:w="11880" w:h="15480" w:orient="portrait"/>
          <w:cols w:equalWidth="0" w:num="1">
            <w:col w:w="10340"/>
          </w:cols>
          <w:pgMar w:left="1160" w:top="498"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900"/>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0340"/>
          </w:cols>
          <w:pgMar w:left="1160" w:top="498" w:right="380" w:bottom="0" w:gutter="0" w:footer="0" w:header="0"/>
          <w:type w:val="continuous"/>
        </w:sectPr>
      </w:pPr>
    </w:p>
    <w:bookmarkStart w:id="153" w:name="page154"/>
    <w:bookmarkEnd w:id="153"/>
    <w:p>
      <w:pPr>
        <w:spacing w:after="0"/>
        <w:tabs>
          <w:tab w:leader="none" w:pos="800" w:val="left"/>
        </w:tabs>
        <w:rPr>
          <w:sz w:val="20"/>
          <w:szCs w:val="20"/>
          <w:color w:val="auto"/>
        </w:rPr>
      </w:pPr>
      <w:r>
        <w:rPr>
          <w:rFonts w:ascii="Calibri" w:cs="Calibri" w:eastAsia="Calibri" w:hAnsi="Calibri"/>
          <w:sz w:val="18"/>
          <w:szCs w:val="18"/>
          <w:color w:val="auto"/>
        </w:rPr>
        <w:t>F-23</w:t>
      </w:r>
      <w:r>
        <w:rPr>
          <w:sz w:val="20"/>
          <w:szCs w:val="20"/>
          <w:color w:val="auto"/>
        </w:rPr>
        <w:tab/>
      </w:r>
      <w:r>
        <w:rPr>
          <w:rFonts w:ascii="Calibri" w:cs="Calibri" w:eastAsia="Calibri" w:hAnsi="Calibri"/>
          <w:sz w:val="17"/>
          <w:szCs w:val="17"/>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490220</wp:posOffset>
                </wp:positionH>
                <wp:positionV relativeFrom="paragraph">
                  <wp:posOffset>320675</wp:posOffset>
                </wp:positionV>
                <wp:extent cx="6812280" cy="0"/>
                <wp:wrapNone/>
                <wp:docPr id="304" name="Shape 3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4" o:spid="_x0000_s13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25.25pt" to="57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490220</wp:posOffset>
                </wp:positionH>
                <wp:positionV relativeFrom="paragraph">
                  <wp:posOffset>320675</wp:posOffset>
                </wp:positionV>
                <wp:extent cx="6812280" cy="0"/>
                <wp:wrapNone/>
                <wp:docPr id="305" name="Shape 3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05" o:spid="_x0000_s13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25.25pt" to="57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80"/>
        <w:spacing w:after="0"/>
        <w:rPr>
          <w:sz w:val="20"/>
          <w:szCs w:val="20"/>
          <w:color w:val="auto"/>
        </w:rPr>
      </w:pPr>
      <w:r>
        <w:rPr>
          <w:rFonts w:ascii="Verdana" w:cs="Verdana" w:eastAsia="Verdana" w:hAnsi="Verdana"/>
          <w:sz w:val="20"/>
          <w:szCs w:val="20"/>
          <w:color w:val="214E93"/>
        </w:rPr>
        <w:t>NOTE 7 — DEBT — Continued</w:t>
      </w:r>
    </w:p>
    <w:p>
      <w:pPr>
        <w:spacing w:after="0" w:line="209" w:lineRule="exact"/>
        <w:rPr>
          <w:sz w:val="20"/>
          <w:szCs w:val="20"/>
          <w:color w:val="auto"/>
        </w:rPr>
      </w:pPr>
    </w:p>
    <w:p>
      <w:pPr>
        <w:ind w:left="780" w:right="100" w:firstLine="241"/>
        <w:spacing w:after="0" w:line="267" w:lineRule="auto"/>
        <w:rPr>
          <w:sz w:val="20"/>
          <w:szCs w:val="20"/>
          <w:color w:val="auto"/>
        </w:rPr>
      </w:pPr>
      <w:r>
        <w:rPr>
          <w:rFonts w:ascii="Calibri" w:cs="Calibri" w:eastAsia="Calibri" w:hAnsi="Calibri"/>
          <w:sz w:val="18"/>
          <w:szCs w:val="18"/>
          <w:color w:val="auto"/>
        </w:rPr>
        <w:t>The applicable interest rate margin for borrowings under the Credit Agreement ranges from 1.75% to 2.75% for borrowings bearing interest with reference to Term SOFR (as defined in the Credit Agreement) and from 0.75% to 1.75% for borrowings bearing interest with reference to the Alternate Base Rate (as defined in the Credit Agreement), in each case depending on the level of borrowings under the Credit Agreement. The interest period for Term SOFR borrowings may be one, three or six months as designated by MRC. If MRC has outstanding borrowings under the Credit Agreement and interest rates increase, so will MRC’s interest costs, which may have a material adverse effect on the Company’s results of operations and financial condition.</w:t>
      </w:r>
    </w:p>
    <w:p>
      <w:pPr>
        <w:spacing w:after="0" w:line="217" w:lineRule="exact"/>
        <w:rPr>
          <w:sz w:val="20"/>
          <w:szCs w:val="20"/>
          <w:color w:val="auto"/>
        </w:rPr>
      </w:pPr>
    </w:p>
    <w:p>
      <w:pPr>
        <w:ind w:left="780" w:right="120" w:firstLine="241"/>
        <w:spacing w:after="0" w:line="284" w:lineRule="auto"/>
        <w:rPr>
          <w:sz w:val="20"/>
          <w:szCs w:val="20"/>
          <w:color w:val="auto"/>
        </w:rPr>
      </w:pPr>
      <w:r>
        <w:rPr>
          <w:rFonts w:ascii="Calibri" w:cs="Calibri" w:eastAsia="Calibri" w:hAnsi="Calibri"/>
          <w:sz w:val="17"/>
          <w:szCs w:val="17"/>
          <w:color w:val="auto"/>
        </w:rPr>
        <w:t>A commitment fee of 0.375% to 0.50%, depending on the level of borrowings under the Credit Agreement, is also paid quarterly in arrears. The Company includes this commitment fee, any amortization of deferred financing costs (including origination, borrowing base increase and amendment fees) and annual agency fees, if any, as interest expense and in its interest rate calculations and related disclosures. The Credit Agreement requires the Company to maintain (i) a current ratio, which is defined as</w:t>
      </w:r>
    </w:p>
    <w:p>
      <w:pPr>
        <w:spacing w:after="0" w:line="10" w:lineRule="exact"/>
        <w:rPr>
          <w:sz w:val="20"/>
          <w:szCs w:val="20"/>
          <w:color w:val="auto"/>
        </w:rPr>
      </w:pPr>
    </w:p>
    <w:p>
      <w:pPr>
        <w:ind w:left="780" w:hanging="3"/>
        <w:spacing w:after="0" w:line="284" w:lineRule="auto"/>
        <w:tabs>
          <w:tab w:leader="none" w:pos="1004" w:val="left"/>
        </w:tabs>
        <w:numPr>
          <w:ilvl w:val="0"/>
          <w:numId w:val="81"/>
        </w:numPr>
        <w:rPr>
          <w:rFonts w:ascii="Calibri" w:cs="Calibri" w:eastAsia="Calibri" w:hAnsi="Calibri"/>
          <w:sz w:val="17"/>
          <w:szCs w:val="17"/>
          <w:color w:val="auto"/>
        </w:rPr>
      </w:pPr>
      <w:r>
        <w:rPr>
          <w:rFonts w:ascii="Calibri" w:cs="Calibri" w:eastAsia="Calibri" w:hAnsi="Calibri"/>
          <w:sz w:val="17"/>
          <w:szCs w:val="17"/>
          <w:color w:val="auto"/>
        </w:rPr>
        <w:t>total consolidated current assets plus the unused availability under the Credit Agreement divided by (y) total consolidated current liabilities less current maturities of debt, of not less than 1.0 at the end of each fiscal quarter and (ii) a debt to EBITDA ratio, which is defined as debt outstanding (net of up to the greater of $150 million or 10% of the elected borrowing commitments of unrestricted cash and cash equivalents) divided by a rolling four quarter EBITDA calculation, of 3.50 or less at the end of each fiscal quarter.</w:t>
      </w:r>
    </w:p>
    <w:p>
      <w:pPr>
        <w:spacing w:after="0" w:line="205" w:lineRule="exact"/>
        <w:rPr>
          <w:sz w:val="20"/>
          <w:szCs w:val="20"/>
          <w:color w:val="auto"/>
        </w:rPr>
      </w:pPr>
    </w:p>
    <w:p>
      <w:pPr>
        <w:ind w:left="780" w:right="1120" w:firstLine="241"/>
        <w:spacing w:after="0" w:line="252" w:lineRule="auto"/>
        <w:rPr>
          <w:sz w:val="20"/>
          <w:szCs w:val="20"/>
          <w:color w:val="auto"/>
        </w:rPr>
      </w:pPr>
      <w:r>
        <w:rPr>
          <w:rFonts w:ascii="Calibri" w:cs="Calibri" w:eastAsia="Calibri" w:hAnsi="Calibri"/>
          <w:sz w:val="18"/>
          <w:szCs w:val="18"/>
          <w:color w:val="auto"/>
        </w:rPr>
        <w:t>Subject to certain exceptions, the Credit Agreement contains various covenants that limit MRC’s and its Restricted Subsidiaries’ (as defined in the Credit Agreement) ability to take certain actions, including the following:</w:t>
      </w:r>
    </w:p>
    <w:p>
      <w:pPr>
        <w:spacing w:after="0" w:line="213" w:lineRule="exact"/>
        <w:rPr>
          <w:sz w:val="20"/>
          <w:szCs w:val="20"/>
          <w:color w:val="auto"/>
        </w:rPr>
      </w:pPr>
    </w:p>
    <w:p>
      <w:pPr>
        <w:ind w:left="1140" w:hanging="363"/>
        <w:spacing w:after="0"/>
        <w:tabs>
          <w:tab w:leader="none" w:pos="1140" w:val="left"/>
        </w:tabs>
        <w:numPr>
          <w:ilvl w:val="0"/>
          <w:numId w:val="82"/>
        </w:numPr>
        <w:rPr>
          <w:rFonts w:ascii="Calibri" w:cs="Calibri" w:eastAsia="Calibri" w:hAnsi="Calibri"/>
          <w:sz w:val="18"/>
          <w:szCs w:val="18"/>
          <w:color w:val="auto"/>
        </w:rPr>
      </w:pPr>
      <w:r>
        <w:rPr>
          <w:rFonts w:ascii="Calibri" w:cs="Calibri" w:eastAsia="Calibri" w:hAnsi="Calibri"/>
          <w:sz w:val="18"/>
          <w:szCs w:val="18"/>
          <w:color w:val="auto"/>
        </w:rPr>
        <w:t>incur indebtedness or grant liens on any of its assets;</w:t>
      </w:r>
    </w:p>
    <w:p>
      <w:pPr>
        <w:spacing w:after="0" w:line="223" w:lineRule="exact"/>
        <w:rPr>
          <w:rFonts w:ascii="Calibri" w:cs="Calibri" w:eastAsia="Calibri" w:hAnsi="Calibri"/>
          <w:sz w:val="18"/>
          <w:szCs w:val="18"/>
          <w:color w:val="auto"/>
        </w:rPr>
      </w:pPr>
    </w:p>
    <w:p>
      <w:pPr>
        <w:ind w:left="1140" w:hanging="363"/>
        <w:spacing w:after="0"/>
        <w:tabs>
          <w:tab w:leader="none" w:pos="1140" w:val="left"/>
        </w:tabs>
        <w:numPr>
          <w:ilvl w:val="0"/>
          <w:numId w:val="82"/>
        </w:numPr>
        <w:rPr>
          <w:rFonts w:ascii="Calibri" w:cs="Calibri" w:eastAsia="Calibri" w:hAnsi="Calibri"/>
          <w:sz w:val="18"/>
          <w:szCs w:val="18"/>
          <w:color w:val="auto"/>
        </w:rPr>
      </w:pPr>
      <w:r>
        <w:rPr>
          <w:rFonts w:ascii="Calibri" w:cs="Calibri" w:eastAsia="Calibri" w:hAnsi="Calibri"/>
          <w:sz w:val="18"/>
          <w:szCs w:val="18"/>
          <w:color w:val="auto"/>
        </w:rPr>
        <w:t>enter into commodity hedging agreements or interest rate agreements;</w:t>
      </w:r>
    </w:p>
    <w:p>
      <w:pPr>
        <w:spacing w:after="0" w:line="223" w:lineRule="exact"/>
        <w:rPr>
          <w:rFonts w:ascii="Calibri" w:cs="Calibri" w:eastAsia="Calibri" w:hAnsi="Calibri"/>
          <w:sz w:val="18"/>
          <w:szCs w:val="18"/>
          <w:color w:val="auto"/>
        </w:rPr>
      </w:pPr>
    </w:p>
    <w:p>
      <w:pPr>
        <w:ind w:left="1140" w:hanging="363"/>
        <w:spacing w:after="0"/>
        <w:tabs>
          <w:tab w:leader="none" w:pos="1140" w:val="left"/>
        </w:tabs>
        <w:numPr>
          <w:ilvl w:val="0"/>
          <w:numId w:val="82"/>
        </w:numPr>
        <w:rPr>
          <w:rFonts w:ascii="Calibri" w:cs="Calibri" w:eastAsia="Calibri" w:hAnsi="Calibri"/>
          <w:sz w:val="18"/>
          <w:szCs w:val="18"/>
          <w:color w:val="auto"/>
        </w:rPr>
      </w:pPr>
      <w:r>
        <w:rPr>
          <w:rFonts w:ascii="Calibri" w:cs="Calibri" w:eastAsia="Calibri" w:hAnsi="Calibri"/>
          <w:sz w:val="18"/>
          <w:szCs w:val="18"/>
          <w:color w:val="auto"/>
        </w:rPr>
        <w:t>declare or pay dividends, distributions or redemptions;</w:t>
      </w:r>
    </w:p>
    <w:p>
      <w:pPr>
        <w:spacing w:after="0" w:line="223" w:lineRule="exact"/>
        <w:rPr>
          <w:rFonts w:ascii="Calibri" w:cs="Calibri" w:eastAsia="Calibri" w:hAnsi="Calibri"/>
          <w:sz w:val="18"/>
          <w:szCs w:val="18"/>
          <w:color w:val="auto"/>
        </w:rPr>
      </w:pPr>
    </w:p>
    <w:p>
      <w:pPr>
        <w:ind w:left="1140" w:hanging="363"/>
        <w:spacing w:after="0"/>
        <w:tabs>
          <w:tab w:leader="none" w:pos="1140" w:val="left"/>
        </w:tabs>
        <w:numPr>
          <w:ilvl w:val="0"/>
          <w:numId w:val="82"/>
        </w:numPr>
        <w:rPr>
          <w:rFonts w:ascii="Calibri" w:cs="Calibri" w:eastAsia="Calibri" w:hAnsi="Calibri"/>
          <w:sz w:val="18"/>
          <w:szCs w:val="18"/>
          <w:color w:val="auto"/>
        </w:rPr>
      </w:pPr>
      <w:r>
        <w:rPr>
          <w:rFonts w:ascii="Calibri" w:cs="Calibri" w:eastAsia="Calibri" w:hAnsi="Calibri"/>
          <w:sz w:val="18"/>
          <w:szCs w:val="18"/>
          <w:color w:val="auto"/>
        </w:rPr>
        <w:t>merge or consolidate;</w:t>
      </w:r>
    </w:p>
    <w:p>
      <w:pPr>
        <w:spacing w:after="0" w:line="223" w:lineRule="exact"/>
        <w:rPr>
          <w:rFonts w:ascii="Calibri" w:cs="Calibri" w:eastAsia="Calibri" w:hAnsi="Calibri"/>
          <w:sz w:val="18"/>
          <w:szCs w:val="18"/>
          <w:color w:val="auto"/>
        </w:rPr>
      </w:pPr>
    </w:p>
    <w:p>
      <w:pPr>
        <w:ind w:left="1140" w:hanging="363"/>
        <w:spacing w:after="0"/>
        <w:tabs>
          <w:tab w:leader="none" w:pos="1140" w:val="left"/>
        </w:tabs>
        <w:numPr>
          <w:ilvl w:val="0"/>
          <w:numId w:val="82"/>
        </w:numPr>
        <w:rPr>
          <w:rFonts w:ascii="Calibri" w:cs="Calibri" w:eastAsia="Calibri" w:hAnsi="Calibri"/>
          <w:sz w:val="18"/>
          <w:szCs w:val="18"/>
          <w:color w:val="auto"/>
        </w:rPr>
      </w:pPr>
      <w:r>
        <w:rPr>
          <w:rFonts w:ascii="Calibri" w:cs="Calibri" w:eastAsia="Calibri" w:hAnsi="Calibri"/>
          <w:sz w:val="18"/>
          <w:szCs w:val="18"/>
          <w:color w:val="auto"/>
        </w:rPr>
        <w:t>make any loans or investments;</w:t>
      </w:r>
    </w:p>
    <w:p>
      <w:pPr>
        <w:spacing w:after="0" w:line="223" w:lineRule="exact"/>
        <w:rPr>
          <w:rFonts w:ascii="Calibri" w:cs="Calibri" w:eastAsia="Calibri" w:hAnsi="Calibri"/>
          <w:sz w:val="18"/>
          <w:szCs w:val="18"/>
          <w:color w:val="auto"/>
        </w:rPr>
      </w:pPr>
    </w:p>
    <w:p>
      <w:pPr>
        <w:ind w:left="1140" w:hanging="363"/>
        <w:spacing w:after="0"/>
        <w:tabs>
          <w:tab w:leader="none" w:pos="1140" w:val="left"/>
        </w:tabs>
        <w:numPr>
          <w:ilvl w:val="0"/>
          <w:numId w:val="82"/>
        </w:numPr>
        <w:rPr>
          <w:rFonts w:ascii="Calibri" w:cs="Calibri" w:eastAsia="Calibri" w:hAnsi="Calibri"/>
          <w:sz w:val="18"/>
          <w:szCs w:val="18"/>
          <w:color w:val="auto"/>
        </w:rPr>
      </w:pPr>
      <w:r>
        <w:rPr>
          <w:rFonts w:ascii="Calibri" w:cs="Calibri" w:eastAsia="Calibri" w:hAnsi="Calibri"/>
          <w:sz w:val="18"/>
          <w:szCs w:val="18"/>
          <w:color w:val="auto"/>
        </w:rPr>
        <w:t>engage in transactions with affiliates;</w:t>
      </w:r>
    </w:p>
    <w:p>
      <w:pPr>
        <w:spacing w:after="0" w:line="223" w:lineRule="exact"/>
        <w:rPr>
          <w:rFonts w:ascii="Calibri" w:cs="Calibri" w:eastAsia="Calibri" w:hAnsi="Calibri"/>
          <w:sz w:val="18"/>
          <w:szCs w:val="18"/>
          <w:color w:val="auto"/>
        </w:rPr>
      </w:pPr>
    </w:p>
    <w:p>
      <w:pPr>
        <w:ind w:left="1140" w:hanging="363"/>
        <w:spacing w:after="0"/>
        <w:tabs>
          <w:tab w:leader="none" w:pos="1140" w:val="left"/>
        </w:tabs>
        <w:numPr>
          <w:ilvl w:val="0"/>
          <w:numId w:val="82"/>
        </w:numPr>
        <w:rPr>
          <w:rFonts w:ascii="Calibri" w:cs="Calibri" w:eastAsia="Calibri" w:hAnsi="Calibri"/>
          <w:sz w:val="18"/>
          <w:szCs w:val="18"/>
          <w:color w:val="auto"/>
        </w:rPr>
      </w:pPr>
      <w:r>
        <w:rPr>
          <w:rFonts w:ascii="Calibri" w:cs="Calibri" w:eastAsia="Calibri" w:hAnsi="Calibri"/>
          <w:sz w:val="18"/>
          <w:szCs w:val="18"/>
          <w:color w:val="auto"/>
        </w:rPr>
        <w:t>engage in certain asset dispositions, including a sale of all or substantially all of MRC’s assets; and</w:t>
      </w:r>
    </w:p>
    <w:p>
      <w:pPr>
        <w:spacing w:after="0" w:line="223" w:lineRule="exact"/>
        <w:rPr>
          <w:rFonts w:ascii="Calibri" w:cs="Calibri" w:eastAsia="Calibri" w:hAnsi="Calibri"/>
          <w:sz w:val="18"/>
          <w:szCs w:val="18"/>
          <w:color w:val="auto"/>
        </w:rPr>
      </w:pPr>
    </w:p>
    <w:p>
      <w:pPr>
        <w:ind w:left="1140" w:hanging="363"/>
        <w:spacing w:after="0"/>
        <w:tabs>
          <w:tab w:leader="none" w:pos="1140" w:val="left"/>
        </w:tabs>
        <w:numPr>
          <w:ilvl w:val="0"/>
          <w:numId w:val="82"/>
        </w:numPr>
        <w:rPr>
          <w:rFonts w:ascii="Calibri" w:cs="Calibri" w:eastAsia="Calibri" w:hAnsi="Calibri"/>
          <w:sz w:val="18"/>
          <w:szCs w:val="18"/>
          <w:color w:val="auto"/>
        </w:rPr>
      </w:pPr>
      <w:r>
        <w:rPr>
          <w:rFonts w:ascii="Calibri" w:cs="Calibri" w:eastAsia="Calibri" w:hAnsi="Calibri"/>
          <w:sz w:val="18"/>
          <w:szCs w:val="18"/>
          <w:color w:val="auto"/>
        </w:rPr>
        <w:t>take certain actions with respect to the Company’s senior unsecured notes.</w:t>
      </w:r>
    </w:p>
    <w:p>
      <w:pPr>
        <w:spacing w:after="0" w:line="241" w:lineRule="exact"/>
        <w:rPr>
          <w:sz w:val="20"/>
          <w:szCs w:val="20"/>
          <w:color w:val="auto"/>
        </w:rPr>
      </w:pPr>
    </w:p>
    <w:p>
      <w:pPr>
        <w:ind w:left="780" w:right="60" w:firstLine="241"/>
        <w:spacing w:after="0" w:line="252" w:lineRule="auto"/>
        <w:rPr>
          <w:sz w:val="20"/>
          <w:szCs w:val="20"/>
          <w:color w:val="auto"/>
        </w:rPr>
      </w:pPr>
      <w:r>
        <w:rPr>
          <w:rFonts w:ascii="Calibri" w:cs="Calibri" w:eastAsia="Calibri" w:hAnsi="Calibri"/>
          <w:sz w:val="18"/>
          <w:szCs w:val="18"/>
          <w:color w:val="auto"/>
        </w:rPr>
        <w:t>If an event of default exists under the Credit Agreement, the lenders will be able to terminate their commitments, accelerate the maturity of the borrowings and exercise other rights and remedies. Events of default include the following:</w:t>
      </w:r>
    </w:p>
    <w:p>
      <w:pPr>
        <w:spacing w:after="0" w:line="230" w:lineRule="exact"/>
        <w:rPr>
          <w:sz w:val="20"/>
          <w:szCs w:val="20"/>
          <w:color w:val="auto"/>
        </w:rPr>
      </w:pPr>
    </w:p>
    <w:p>
      <w:pPr>
        <w:ind w:left="1140" w:right="580" w:hanging="363"/>
        <w:spacing w:after="0" w:line="252" w:lineRule="auto"/>
        <w:tabs>
          <w:tab w:leader="none" w:pos="1140" w:val="left"/>
        </w:tabs>
        <w:numPr>
          <w:ilvl w:val="0"/>
          <w:numId w:val="83"/>
        </w:numPr>
        <w:rPr>
          <w:rFonts w:ascii="Calibri" w:cs="Calibri" w:eastAsia="Calibri" w:hAnsi="Calibri"/>
          <w:sz w:val="18"/>
          <w:szCs w:val="18"/>
          <w:color w:val="auto"/>
        </w:rPr>
      </w:pPr>
      <w:r>
        <w:rPr>
          <w:rFonts w:ascii="Calibri" w:cs="Calibri" w:eastAsia="Calibri" w:hAnsi="Calibri"/>
          <w:sz w:val="18"/>
          <w:szCs w:val="18"/>
          <w:color w:val="auto"/>
        </w:rPr>
        <w:t>failure to pay any principal on the outstanding borrowings when due or any interest on the outstanding borrowings, any reimbursement obligation under any letter of credit or any fees or other amounts within certain grace periods;</w:t>
      </w:r>
    </w:p>
    <w:p>
      <w:pPr>
        <w:spacing w:after="0" w:line="230" w:lineRule="exact"/>
        <w:rPr>
          <w:rFonts w:ascii="Calibri" w:cs="Calibri" w:eastAsia="Calibri" w:hAnsi="Calibri"/>
          <w:sz w:val="18"/>
          <w:szCs w:val="18"/>
          <w:color w:val="auto"/>
        </w:rPr>
      </w:pPr>
    </w:p>
    <w:p>
      <w:pPr>
        <w:ind w:left="1140" w:right="200" w:hanging="363"/>
        <w:spacing w:after="0" w:line="252" w:lineRule="auto"/>
        <w:tabs>
          <w:tab w:leader="none" w:pos="1140" w:val="left"/>
        </w:tabs>
        <w:numPr>
          <w:ilvl w:val="0"/>
          <w:numId w:val="83"/>
        </w:numPr>
        <w:rPr>
          <w:rFonts w:ascii="Calibri" w:cs="Calibri" w:eastAsia="Calibri" w:hAnsi="Calibri"/>
          <w:sz w:val="18"/>
          <w:szCs w:val="18"/>
          <w:color w:val="auto"/>
        </w:rPr>
      </w:pPr>
      <w:r>
        <w:rPr>
          <w:rFonts w:ascii="Calibri" w:cs="Calibri" w:eastAsia="Calibri" w:hAnsi="Calibri"/>
          <w:sz w:val="18"/>
          <w:szCs w:val="18"/>
          <w:color w:val="auto"/>
        </w:rPr>
        <w:t>failure to perform or otherwise comply with the covenants and obligations in the Credit Agreement or other loan documents, subject, in certain instances, to certain grace periods;</w:t>
      </w:r>
    </w:p>
    <w:p>
      <w:pPr>
        <w:spacing w:after="0" w:line="213" w:lineRule="exact"/>
        <w:rPr>
          <w:rFonts w:ascii="Calibri" w:cs="Calibri" w:eastAsia="Calibri" w:hAnsi="Calibri"/>
          <w:sz w:val="18"/>
          <w:szCs w:val="18"/>
          <w:color w:val="auto"/>
        </w:rPr>
      </w:pPr>
    </w:p>
    <w:p>
      <w:pPr>
        <w:ind w:left="1140" w:hanging="363"/>
        <w:spacing w:after="0"/>
        <w:tabs>
          <w:tab w:leader="none" w:pos="1140" w:val="left"/>
        </w:tabs>
        <w:numPr>
          <w:ilvl w:val="0"/>
          <w:numId w:val="83"/>
        </w:numPr>
        <w:rPr>
          <w:rFonts w:ascii="Calibri" w:cs="Calibri" w:eastAsia="Calibri" w:hAnsi="Calibri"/>
          <w:sz w:val="18"/>
          <w:szCs w:val="18"/>
          <w:color w:val="auto"/>
        </w:rPr>
      </w:pPr>
      <w:r>
        <w:rPr>
          <w:rFonts w:ascii="Calibri" w:cs="Calibri" w:eastAsia="Calibri" w:hAnsi="Calibri"/>
          <w:sz w:val="18"/>
          <w:szCs w:val="18"/>
          <w:color w:val="auto"/>
        </w:rPr>
        <w:t>bankruptcy or insolvency events involving the Company or any of the Restricted Subsidiaries; and</w:t>
      </w:r>
    </w:p>
    <w:p>
      <w:pPr>
        <w:spacing w:after="0" w:line="223" w:lineRule="exact"/>
        <w:rPr>
          <w:rFonts w:ascii="Calibri" w:cs="Calibri" w:eastAsia="Calibri" w:hAnsi="Calibri"/>
          <w:sz w:val="18"/>
          <w:szCs w:val="18"/>
          <w:color w:val="auto"/>
        </w:rPr>
      </w:pPr>
    </w:p>
    <w:p>
      <w:pPr>
        <w:ind w:left="1140" w:hanging="363"/>
        <w:spacing w:after="0"/>
        <w:tabs>
          <w:tab w:leader="none" w:pos="1140" w:val="left"/>
        </w:tabs>
        <w:numPr>
          <w:ilvl w:val="0"/>
          <w:numId w:val="83"/>
        </w:numPr>
        <w:rPr>
          <w:rFonts w:ascii="Calibri" w:cs="Calibri" w:eastAsia="Calibri" w:hAnsi="Calibri"/>
          <w:sz w:val="18"/>
          <w:szCs w:val="18"/>
          <w:color w:val="auto"/>
        </w:rPr>
      </w:pPr>
      <w:r>
        <w:rPr>
          <w:rFonts w:ascii="Calibri" w:cs="Calibri" w:eastAsia="Calibri" w:hAnsi="Calibri"/>
          <w:sz w:val="18"/>
          <w:szCs w:val="18"/>
          <w:color w:val="auto"/>
        </w:rPr>
        <w:t>a change of control, as defined in the Credit Agreement.</w:t>
      </w:r>
    </w:p>
    <w:p>
      <w:pPr>
        <w:spacing w:after="0" w:line="224" w:lineRule="exact"/>
        <w:rPr>
          <w:sz w:val="20"/>
          <w:szCs w:val="20"/>
          <w:color w:val="auto"/>
        </w:rPr>
      </w:pPr>
    </w:p>
    <w:p>
      <w:pPr>
        <w:ind w:left="1020"/>
        <w:spacing w:after="0"/>
        <w:rPr>
          <w:sz w:val="20"/>
          <w:szCs w:val="20"/>
          <w:color w:val="auto"/>
        </w:rPr>
      </w:pPr>
      <w:r>
        <w:rPr>
          <w:rFonts w:ascii="Calibri" w:cs="Calibri" w:eastAsia="Calibri" w:hAnsi="Calibri"/>
          <w:sz w:val="18"/>
          <w:szCs w:val="18"/>
          <w:color w:val="auto"/>
        </w:rPr>
        <w:t>The Company was in compliance with the terms of the Credit Agreement at December 31, 2025.</w:t>
      </w:r>
    </w:p>
    <w:p>
      <w:pPr>
        <w:sectPr>
          <w:pgSz w:w="11880" w:h="15480" w:orient="portrait"/>
          <w:cols w:equalWidth="0" w:num="1">
            <w:col w:w="10340"/>
          </w:cols>
          <w:pgMar w:left="38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0"/>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0340"/>
          </w:cols>
          <w:pgMar w:left="380" w:top="498" w:right="1160" w:bottom="0" w:gutter="0" w:footer="0" w:header="0"/>
          <w:type w:val="continuous"/>
        </w:sectPr>
      </w:pPr>
    </w:p>
    <w:bookmarkStart w:id="154" w:name="page155"/>
    <w:bookmarkEnd w:id="154"/>
    <w:tbl>
      <w:tblPr>
        <w:tblLayout w:type="fixed"/>
        <w:tblInd w:w="7883" w:type="dxa"/>
        <w:tblCellMar>
          <w:top w:w="0" w:type="dxa"/>
          <w:left w:w="0" w:type="dxa"/>
          <w:bottom w:w="0" w:type="dxa"/>
          <w:right w:w="0" w:type="dxa"/>
        </w:tblCellMar>
      </w:tblPr>
      <w:tr>
        <w:trPr>
          <w:trHeight w:val="220"/>
        </w:trPr>
        <w:tc>
          <w:tcPr>
            <w:tcW w:w="188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580" w:type="dxa"/>
            <w:vAlign w:val="bottom"/>
          </w:tcPr>
          <w:p>
            <w:pPr>
              <w:ind w:left="260"/>
              <w:spacing w:after="0"/>
              <w:rPr>
                <w:sz w:val="20"/>
                <w:szCs w:val="20"/>
                <w:color w:val="auto"/>
              </w:rPr>
            </w:pPr>
            <w:r>
              <w:rPr>
                <w:rFonts w:ascii="Calibri" w:cs="Calibri" w:eastAsia="Calibri" w:hAnsi="Calibri"/>
                <w:sz w:val="18"/>
                <w:szCs w:val="18"/>
                <w:color w:val="auto"/>
                <w:w w:val="93"/>
              </w:rPr>
              <w:t>F-24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-734695</wp:posOffset>
                </wp:positionH>
                <wp:positionV relativeFrom="paragraph">
                  <wp:posOffset>320675</wp:posOffset>
                </wp:positionV>
                <wp:extent cx="6811645" cy="0"/>
                <wp:wrapNone/>
                <wp:docPr id="306" name="Shape 3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6" o:spid="_x0000_s13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8499pt,25.25pt" to="478.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-734695</wp:posOffset>
                </wp:positionH>
                <wp:positionV relativeFrom="paragraph">
                  <wp:posOffset>320675</wp:posOffset>
                </wp:positionV>
                <wp:extent cx="6811645" cy="0"/>
                <wp:wrapNone/>
                <wp:docPr id="307" name="Shape 3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07" o:spid="_x0000_s13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8499pt,25.25pt" to="478.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
        <w:spacing w:after="0"/>
        <w:rPr>
          <w:sz w:val="20"/>
          <w:szCs w:val="20"/>
          <w:color w:val="auto"/>
        </w:rPr>
      </w:pPr>
      <w:r>
        <w:rPr>
          <w:rFonts w:ascii="Verdana" w:cs="Verdana" w:eastAsia="Verdana" w:hAnsi="Verdana"/>
          <w:sz w:val="20"/>
          <w:szCs w:val="20"/>
          <w:color w:val="214E93"/>
        </w:rPr>
        <w:t>NOTE 7 — DEBT — Continued</w:t>
      </w:r>
    </w:p>
    <w:p>
      <w:pPr>
        <w:spacing w:after="0" w:line="196" w:lineRule="exact"/>
        <w:rPr>
          <w:sz w:val="20"/>
          <w:szCs w:val="20"/>
          <w:color w:val="auto"/>
        </w:rPr>
      </w:pPr>
    </w:p>
    <w:p>
      <w:pPr>
        <w:ind w:left="3"/>
        <w:spacing w:after="0"/>
        <w:rPr>
          <w:sz w:val="20"/>
          <w:szCs w:val="20"/>
          <w:color w:val="auto"/>
        </w:rPr>
      </w:pPr>
      <w:r>
        <w:rPr>
          <w:rFonts w:ascii="Calibri" w:cs="Calibri" w:eastAsia="Calibri" w:hAnsi="Calibri"/>
          <w:sz w:val="19"/>
          <w:szCs w:val="19"/>
          <w:color w:val="214E93"/>
        </w:rPr>
        <w:t>San Mateo Midstream, LLC</w:t>
      </w:r>
    </w:p>
    <w:p>
      <w:pPr>
        <w:spacing w:after="0" w:line="191" w:lineRule="exact"/>
        <w:rPr>
          <w:sz w:val="20"/>
          <w:szCs w:val="20"/>
          <w:color w:val="auto"/>
        </w:rPr>
      </w:pPr>
    </w:p>
    <w:p>
      <w:pPr>
        <w:ind w:left="243"/>
        <w:spacing w:after="0"/>
        <w:rPr>
          <w:sz w:val="20"/>
          <w:szCs w:val="20"/>
          <w:color w:val="auto"/>
        </w:rPr>
      </w:pPr>
      <w:r>
        <w:rPr>
          <w:rFonts w:ascii="Calibri" w:cs="Calibri" w:eastAsia="Calibri" w:hAnsi="Calibri"/>
          <w:sz w:val="18"/>
          <w:szCs w:val="18"/>
          <w:color w:val="auto"/>
        </w:rPr>
        <w:t>On December 19, 2018, San Mateo entered into a secured revolving credit facility (the “San Mateo Credit Facility”) with the</w:t>
      </w:r>
    </w:p>
    <w:p>
      <w:pPr>
        <w:spacing w:after="0" w:line="28" w:lineRule="exact"/>
        <w:rPr>
          <w:sz w:val="20"/>
          <w:szCs w:val="20"/>
          <w:color w:val="auto"/>
        </w:rPr>
      </w:pPr>
    </w:p>
    <w:p>
      <w:pPr>
        <w:ind w:left="3"/>
        <w:spacing w:after="0"/>
        <w:rPr>
          <w:sz w:val="20"/>
          <w:szCs w:val="20"/>
          <w:color w:val="auto"/>
        </w:rPr>
      </w:pPr>
      <w:r>
        <w:rPr>
          <w:rFonts w:ascii="Calibri" w:cs="Calibri" w:eastAsia="Calibri" w:hAnsi="Calibri"/>
          <w:sz w:val="18"/>
          <w:szCs w:val="18"/>
          <w:color w:val="auto"/>
        </w:rPr>
        <w:t>lenders party thereto. In June 2025, San Mateo and certain of its lenders modified the San Mateo Credit Facility to (i) increase the</w:t>
      </w:r>
    </w:p>
    <w:p>
      <w:pPr>
        <w:spacing w:after="0" w:line="28" w:lineRule="exact"/>
        <w:rPr>
          <w:sz w:val="20"/>
          <w:szCs w:val="20"/>
          <w:color w:val="auto"/>
        </w:rPr>
      </w:pPr>
    </w:p>
    <w:p>
      <w:pPr>
        <w:ind w:left="3"/>
        <w:spacing w:after="0"/>
        <w:rPr>
          <w:sz w:val="20"/>
          <w:szCs w:val="20"/>
          <w:color w:val="auto"/>
        </w:rPr>
      </w:pPr>
      <w:r>
        <w:rPr>
          <w:rFonts w:ascii="Calibri" w:cs="Calibri" w:eastAsia="Calibri" w:hAnsi="Calibri"/>
          <w:sz w:val="18"/>
          <w:szCs w:val="18"/>
          <w:color w:val="auto"/>
        </w:rPr>
        <w:t>lender commitments from $800.0 million to $850.0 million and (ii) add one new bank to San Mateo’s lending group. In December</w:t>
      </w:r>
    </w:p>
    <w:p>
      <w:pPr>
        <w:spacing w:after="0" w:line="28" w:lineRule="exact"/>
        <w:rPr>
          <w:sz w:val="20"/>
          <w:szCs w:val="20"/>
          <w:color w:val="auto"/>
        </w:rPr>
      </w:pPr>
    </w:p>
    <w:p>
      <w:pPr>
        <w:ind w:left="3"/>
        <w:spacing w:after="0"/>
        <w:rPr>
          <w:sz w:val="20"/>
          <w:szCs w:val="20"/>
          <w:color w:val="auto"/>
        </w:rPr>
      </w:pPr>
      <w:r>
        <w:rPr>
          <w:rFonts w:ascii="Calibri" w:cs="Calibri" w:eastAsia="Calibri" w:hAnsi="Calibri"/>
          <w:sz w:val="18"/>
          <w:szCs w:val="18"/>
          <w:color w:val="auto"/>
        </w:rPr>
        <w:t>2025, San Mateo and certain of its lenders amended the San Mateo Credit Facility to (i) increase the lender commitments from</w:t>
      </w:r>
    </w:p>
    <w:p>
      <w:pPr>
        <w:spacing w:after="0" w:line="28" w:lineRule="exact"/>
        <w:rPr>
          <w:sz w:val="20"/>
          <w:szCs w:val="20"/>
          <w:color w:val="auto"/>
        </w:rPr>
      </w:pPr>
    </w:p>
    <w:p>
      <w:pPr>
        <w:ind w:left="3"/>
        <w:spacing w:after="0"/>
        <w:rPr>
          <w:sz w:val="20"/>
          <w:szCs w:val="20"/>
          <w:color w:val="auto"/>
        </w:rPr>
      </w:pPr>
      <w:r>
        <w:rPr>
          <w:rFonts w:ascii="Calibri" w:cs="Calibri" w:eastAsia="Calibri" w:hAnsi="Calibri"/>
          <w:sz w:val="18"/>
          <w:szCs w:val="18"/>
          <w:color w:val="auto"/>
        </w:rPr>
        <w:t>$850.0 million to $1.10 billion, (ii) reduce the borrowing rate and (iii) add one new bank to San Mateo’s lending group. The San</w:t>
      </w:r>
    </w:p>
    <w:p>
      <w:pPr>
        <w:spacing w:after="0" w:line="28" w:lineRule="exact"/>
        <w:rPr>
          <w:sz w:val="20"/>
          <w:szCs w:val="20"/>
          <w:color w:val="auto"/>
        </w:rPr>
      </w:pPr>
    </w:p>
    <w:p>
      <w:pPr>
        <w:ind w:left="3"/>
        <w:spacing w:after="0"/>
        <w:rPr>
          <w:sz w:val="20"/>
          <w:szCs w:val="20"/>
          <w:color w:val="auto"/>
        </w:rPr>
      </w:pPr>
      <w:r>
        <w:rPr>
          <w:rFonts w:ascii="Calibri" w:cs="Calibri" w:eastAsia="Calibri" w:hAnsi="Calibri"/>
          <w:sz w:val="18"/>
          <w:szCs w:val="18"/>
          <w:color w:val="auto"/>
        </w:rPr>
        <w:t>Mateo Credit Facility includes an accordion feature, which provides for potential increases in lender commitments of up to</w:t>
      </w:r>
    </w:p>
    <w:p>
      <w:pPr>
        <w:spacing w:after="0" w:line="28" w:lineRule="exact"/>
        <w:rPr>
          <w:sz w:val="20"/>
          <w:szCs w:val="20"/>
          <w:color w:val="auto"/>
        </w:rPr>
      </w:pPr>
    </w:p>
    <w:p>
      <w:pPr>
        <w:ind w:left="3"/>
        <w:spacing w:after="0"/>
        <w:rPr>
          <w:sz w:val="20"/>
          <w:szCs w:val="20"/>
          <w:color w:val="auto"/>
        </w:rPr>
      </w:pPr>
      <w:r>
        <w:rPr>
          <w:rFonts w:ascii="Calibri" w:cs="Calibri" w:eastAsia="Calibri" w:hAnsi="Calibri"/>
          <w:sz w:val="18"/>
          <w:szCs w:val="18"/>
          <w:color w:val="auto"/>
        </w:rPr>
        <w:t>$1.35 billion. The San Mateo Credit Facility is non-recourse with respect to Matador and its other subsidiaries but is guaranteed by</w:t>
      </w:r>
    </w:p>
    <w:p>
      <w:pPr>
        <w:spacing w:after="0" w:line="28" w:lineRule="exact"/>
        <w:rPr>
          <w:sz w:val="20"/>
          <w:szCs w:val="20"/>
          <w:color w:val="auto"/>
        </w:rPr>
      </w:pPr>
    </w:p>
    <w:p>
      <w:pPr>
        <w:ind w:left="3"/>
        <w:spacing w:after="0"/>
        <w:rPr>
          <w:sz w:val="20"/>
          <w:szCs w:val="20"/>
          <w:color w:val="auto"/>
        </w:rPr>
      </w:pPr>
      <w:r>
        <w:rPr>
          <w:rFonts w:ascii="Calibri" w:cs="Calibri" w:eastAsia="Calibri" w:hAnsi="Calibri"/>
          <w:sz w:val="18"/>
          <w:szCs w:val="18"/>
          <w:color w:val="auto"/>
        </w:rPr>
        <w:t>San Mateo’s subsidiaries and secured by substantially all of San Mateo’s assets, including real property.</w:t>
      </w:r>
    </w:p>
    <w:p>
      <w:pPr>
        <w:spacing w:after="0" w:line="241" w:lineRule="exact"/>
        <w:rPr>
          <w:sz w:val="20"/>
          <w:szCs w:val="20"/>
          <w:color w:val="auto"/>
        </w:rPr>
      </w:pPr>
    </w:p>
    <w:p>
      <w:pPr>
        <w:ind w:left="3" w:right="900" w:firstLine="241"/>
        <w:spacing w:after="0" w:line="266" w:lineRule="auto"/>
        <w:rPr>
          <w:sz w:val="20"/>
          <w:szCs w:val="20"/>
          <w:color w:val="auto"/>
        </w:rPr>
      </w:pPr>
      <w:r>
        <w:rPr>
          <w:rFonts w:ascii="Calibri" w:cs="Calibri" w:eastAsia="Calibri" w:hAnsi="Calibri"/>
          <w:sz w:val="18"/>
          <w:szCs w:val="18"/>
          <w:color w:val="auto"/>
        </w:rPr>
        <w:t>Total deferred loan costs were $9.3 million at December 31, 2025, and these costs are being amortized over the term of the San Mateo Credit Facility. San Mateo’s effective interest rate under the San Mateo Credit Facility was 5.72% at December 31, 2025. At December 31, 2025, San Mateo had $883.0 million in borrowings outstanding under the San Mateo Credit Facility and $15.4 million in outstanding letters of credit issued pursuant to the San Mateo Credit Facility. The outstanding borrowings under the San Mateo Credit Facility mature on November 26, 2029.</w:t>
      </w:r>
    </w:p>
    <w:p>
      <w:pPr>
        <w:spacing w:after="0" w:line="218" w:lineRule="exact"/>
        <w:rPr>
          <w:sz w:val="20"/>
          <w:szCs w:val="20"/>
          <w:color w:val="auto"/>
        </w:rPr>
      </w:pPr>
    </w:p>
    <w:p>
      <w:pPr>
        <w:ind w:left="3" w:right="780" w:firstLine="241"/>
        <w:spacing w:after="0" w:line="269" w:lineRule="auto"/>
        <w:rPr>
          <w:sz w:val="20"/>
          <w:szCs w:val="20"/>
          <w:color w:val="auto"/>
        </w:rPr>
      </w:pPr>
      <w:r>
        <w:rPr>
          <w:rFonts w:ascii="Calibri" w:cs="Calibri" w:eastAsia="Calibri" w:hAnsi="Calibri"/>
          <w:sz w:val="18"/>
          <w:szCs w:val="18"/>
          <w:color w:val="auto"/>
        </w:rPr>
        <w:t>Borrowings under the San Mateo Credit Facility may be in the form of a base rate loan or a SOFR loan. If San Mateo borrows funds as a base rate loan, such borrowings will bear interest at a rate equal to the greatest of (i) the prime rate for such day, (ii) the Federal Funds Effective Rate (as defined in the San Mateo Credit Facility) on such day, plus 0.50%, and (iii) the Term SOFR (as defined in the San Mateo Credit Facility) for a one month tenor plus 1.0%, plus, in each case, an amount ranging from 1.00% to 2.00% depending on San Mateo’s Consolidated Total Leverage Ratio (as defined in the San Mateo Credit Facility). If San Mateo borrows funds as a SOFR loan, such borrowings will bear interest at a rate equal to (x) Term SOFR for the chosen interest period plus (y) an amount ranging from 2.00% to 3.00% depending on San Mateo’s Consolidated Total Leverage Ratio. The applicable margin for base rate loans and SOFR loans under the San Mateo Credit Facility will be decreased by 0.25% in the event of a Notes Offering (as defined in the San Mateo Credit Facility) or a Qualified IPO (as defined in the San Mateo Credit Facility). If San Mateo has outstanding borrowings under the San Mateo Credit Facility and interest rates increase, so will San Mateo’s interest costs, which may have a material adverse effect on San Mateo’s results of operations and financial condition.</w:t>
      </w:r>
    </w:p>
    <w:p>
      <w:pPr>
        <w:spacing w:after="0" w:line="214" w:lineRule="exact"/>
        <w:rPr>
          <w:sz w:val="20"/>
          <w:szCs w:val="20"/>
          <w:color w:val="auto"/>
        </w:rPr>
      </w:pPr>
    </w:p>
    <w:p>
      <w:pPr>
        <w:ind w:left="3" w:right="780" w:firstLine="241"/>
        <w:spacing w:after="0" w:line="268" w:lineRule="auto"/>
        <w:rPr>
          <w:sz w:val="20"/>
          <w:szCs w:val="20"/>
          <w:color w:val="auto"/>
        </w:rPr>
      </w:pPr>
      <w:r>
        <w:rPr>
          <w:rFonts w:ascii="Calibri" w:cs="Calibri" w:eastAsia="Calibri" w:hAnsi="Calibri"/>
          <w:sz w:val="18"/>
          <w:szCs w:val="18"/>
          <w:color w:val="auto"/>
        </w:rPr>
        <w:t>A commitment fee of 0.30% to 0.50%, depending on San Mateo’s Consolidated Total Leverage Ratio, is also paid quarterly in arrears. The Company includes this commitment fee, any amortization of deferred financing costs (including origination and amendment fees) and annual agency fees, if any, as interest expense and in its interest rate calculations and related disclosures. The San Mateo Credit Facility requires San Mateo to maintain a debt to EBITDA ratio, which is defined as total consolidated funded indebtedness outstanding (as defined in the San Mateo Credit Facility) divided by a rolling four quarter EBITDA calculation, of 5.00 or less, subject to certain exceptions. The San Mateo Credit Facility also requires San Mateo to maintain an interest coverage ratio, which is defined as a rolling four quarter EBITDA calculation divided by San Mateo’s consolidated interest expense for such period, of 2.50 or more. The San Mateo Credit Facility also restricts the ability of San Mateo to distribute cash to its members if San Mateo’s debt to EBITDA ratio is greater than 4.50 or San Mateo’s liquidity is less than 10% of the lender commitments under the San Mateo Credit Facility.</w:t>
      </w:r>
    </w:p>
    <w:p>
      <w:pPr>
        <w:spacing w:after="0" w:line="222" w:lineRule="exact"/>
        <w:rPr>
          <w:sz w:val="20"/>
          <w:szCs w:val="20"/>
          <w:color w:val="auto"/>
        </w:rPr>
      </w:pPr>
    </w:p>
    <w:p>
      <w:pPr>
        <w:ind w:left="3" w:right="980" w:firstLine="241"/>
        <w:spacing w:after="0" w:line="252" w:lineRule="auto"/>
        <w:rPr>
          <w:sz w:val="20"/>
          <w:szCs w:val="20"/>
          <w:color w:val="auto"/>
        </w:rPr>
      </w:pPr>
      <w:r>
        <w:rPr>
          <w:rFonts w:ascii="Calibri" w:cs="Calibri" w:eastAsia="Calibri" w:hAnsi="Calibri"/>
          <w:sz w:val="18"/>
          <w:szCs w:val="18"/>
          <w:color w:val="auto"/>
        </w:rPr>
        <w:t>Subject to certain exceptions, the San Mateo Credit Facility contains various covenants that limit San Mateo’s and its restricted subsidiaries’ ability to take certain actions, including the following:</w:t>
      </w:r>
    </w:p>
    <w:p>
      <w:pPr>
        <w:spacing w:after="0" w:line="213" w:lineRule="exact"/>
        <w:rPr>
          <w:sz w:val="20"/>
          <w:szCs w:val="20"/>
          <w:color w:val="auto"/>
        </w:rPr>
      </w:pPr>
    </w:p>
    <w:p>
      <w:pPr>
        <w:ind w:left="363" w:hanging="363"/>
        <w:spacing w:after="0"/>
        <w:tabs>
          <w:tab w:leader="none" w:pos="363" w:val="left"/>
        </w:tabs>
        <w:numPr>
          <w:ilvl w:val="0"/>
          <w:numId w:val="84"/>
        </w:numPr>
        <w:rPr>
          <w:rFonts w:ascii="Calibri" w:cs="Calibri" w:eastAsia="Calibri" w:hAnsi="Calibri"/>
          <w:sz w:val="18"/>
          <w:szCs w:val="18"/>
          <w:color w:val="auto"/>
        </w:rPr>
      </w:pPr>
      <w:r>
        <w:rPr>
          <w:rFonts w:ascii="Calibri" w:cs="Calibri" w:eastAsia="Calibri" w:hAnsi="Calibri"/>
          <w:sz w:val="18"/>
          <w:szCs w:val="18"/>
          <w:color w:val="auto"/>
        </w:rPr>
        <w:t>incur indebtedness or grant liens on any of San Mateo’s assets;</w:t>
      </w:r>
    </w:p>
    <w:p>
      <w:pPr>
        <w:spacing w:after="0" w:line="223" w:lineRule="exact"/>
        <w:rPr>
          <w:rFonts w:ascii="Calibri" w:cs="Calibri" w:eastAsia="Calibri" w:hAnsi="Calibri"/>
          <w:sz w:val="18"/>
          <w:szCs w:val="18"/>
          <w:color w:val="auto"/>
        </w:rPr>
      </w:pPr>
    </w:p>
    <w:p>
      <w:pPr>
        <w:ind w:left="363" w:hanging="363"/>
        <w:spacing w:after="0"/>
        <w:tabs>
          <w:tab w:leader="none" w:pos="363" w:val="left"/>
        </w:tabs>
        <w:numPr>
          <w:ilvl w:val="0"/>
          <w:numId w:val="84"/>
        </w:numPr>
        <w:rPr>
          <w:rFonts w:ascii="Calibri" w:cs="Calibri" w:eastAsia="Calibri" w:hAnsi="Calibri"/>
          <w:sz w:val="18"/>
          <w:szCs w:val="18"/>
          <w:color w:val="auto"/>
        </w:rPr>
      </w:pPr>
      <w:r>
        <w:rPr>
          <w:rFonts w:ascii="Calibri" w:cs="Calibri" w:eastAsia="Calibri" w:hAnsi="Calibri"/>
          <w:sz w:val="18"/>
          <w:szCs w:val="18"/>
          <w:color w:val="auto"/>
        </w:rPr>
        <w:t>enter into hedging agreements;</w:t>
      </w:r>
    </w:p>
    <w:p>
      <w:pPr>
        <w:spacing w:after="0" w:line="223" w:lineRule="exact"/>
        <w:rPr>
          <w:rFonts w:ascii="Calibri" w:cs="Calibri" w:eastAsia="Calibri" w:hAnsi="Calibri"/>
          <w:sz w:val="18"/>
          <w:szCs w:val="18"/>
          <w:color w:val="auto"/>
        </w:rPr>
      </w:pPr>
    </w:p>
    <w:p>
      <w:pPr>
        <w:ind w:left="363" w:hanging="363"/>
        <w:spacing w:after="0"/>
        <w:tabs>
          <w:tab w:leader="none" w:pos="363" w:val="left"/>
        </w:tabs>
        <w:numPr>
          <w:ilvl w:val="0"/>
          <w:numId w:val="84"/>
        </w:numPr>
        <w:rPr>
          <w:rFonts w:ascii="Calibri" w:cs="Calibri" w:eastAsia="Calibri" w:hAnsi="Calibri"/>
          <w:sz w:val="18"/>
          <w:szCs w:val="18"/>
          <w:color w:val="auto"/>
        </w:rPr>
      </w:pPr>
      <w:r>
        <w:rPr>
          <w:rFonts w:ascii="Calibri" w:cs="Calibri" w:eastAsia="Calibri" w:hAnsi="Calibri"/>
          <w:sz w:val="18"/>
          <w:szCs w:val="18"/>
          <w:color w:val="auto"/>
        </w:rPr>
        <w:t>declare or pay dividends, distributions or redemptions;</w:t>
      </w:r>
    </w:p>
    <w:p>
      <w:pPr>
        <w:spacing w:after="0" w:line="223" w:lineRule="exact"/>
        <w:rPr>
          <w:rFonts w:ascii="Calibri" w:cs="Calibri" w:eastAsia="Calibri" w:hAnsi="Calibri"/>
          <w:sz w:val="18"/>
          <w:szCs w:val="18"/>
          <w:color w:val="auto"/>
        </w:rPr>
      </w:pPr>
    </w:p>
    <w:p>
      <w:pPr>
        <w:ind w:left="363" w:hanging="363"/>
        <w:spacing w:after="0"/>
        <w:tabs>
          <w:tab w:leader="none" w:pos="363" w:val="left"/>
        </w:tabs>
        <w:numPr>
          <w:ilvl w:val="0"/>
          <w:numId w:val="84"/>
        </w:numPr>
        <w:rPr>
          <w:rFonts w:ascii="Calibri" w:cs="Calibri" w:eastAsia="Calibri" w:hAnsi="Calibri"/>
          <w:sz w:val="18"/>
          <w:szCs w:val="18"/>
          <w:color w:val="auto"/>
        </w:rPr>
      </w:pPr>
      <w:r>
        <w:rPr>
          <w:rFonts w:ascii="Calibri" w:cs="Calibri" w:eastAsia="Calibri" w:hAnsi="Calibri"/>
          <w:sz w:val="18"/>
          <w:szCs w:val="18"/>
          <w:color w:val="auto"/>
        </w:rPr>
        <w:t>merge or consolidate;</w:t>
      </w:r>
    </w:p>
    <w:p>
      <w:pPr>
        <w:spacing w:after="0" w:line="223" w:lineRule="exact"/>
        <w:rPr>
          <w:rFonts w:ascii="Calibri" w:cs="Calibri" w:eastAsia="Calibri" w:hAnsi="Calibri"/>
          <w:sz w:val="18"/>
          <w:szCs w:val="18"/>
          <w:color w:val="auto"/>
        </w:rPr>
      </w:pPr>
    </w:p>
    <w:p>
      <w:pPr>
        <w:ind w:left="363" w:hanging="363"/>
        <w:spacing w:after="0"/>
        <w:tabs>
          <w:tab w:leader="none" w:pos="363" w:val="left"/>
        </w:tabs>
        <w:numPr>
          <w:ilvl w:val="0"/>
          <w:numId w:val="84"/>
        </w:numPr>
        <w:rPr>
          <w:rFonts w:ascii="Calibri" w:cs="Calibri" w:eastAsia="Calibri" w:hAnsi="Calibri"/>
          <w:sz w:val="18"/>
          <w:szCs w:val="18"/>
          <w:color w:val="auto"/>
        </w:rPr>
      </w:pPr>
      <w:r>
        <w:rPr>
          <w:rFonts w:ascii="Calibri" w:cs="Calibri" w:eastAsia="Calibri" w:hAnsi="Calibri"/>
          <w:sz w:val="18"/>
          <w:szCs w:val="18"/>
          <w:color w:val="auto"/>
        </w:rPr>
        <w:t>make any loans or investments;</w:t>
      </w:r>
    </w:p>
    <w:p>
      <w:pPr>
        <w:sectPr>
          <w:pgSz w:w="11880" w:h="15480" w:orient="portrait"/>
          <w:cols w:equalWidth="0" w:num="1">
            <w:col w:w="10343"/>
          </w:cols>
          <w:pgMar w:left="1157" w:top="498"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903"/>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0343"/>
          </w:cols>
          <w:pgMar w:left="1157" w:top="498" w:right="380" w:bottom="0" w:gutter="0" w:footer="0" w:header="0"/>
          <w:type w:val="continuous"/>
        </w:sectPr>
      </w:pPr>
    </w:p>
    <w:bookmarkStart w:id="155" w:name="page156"/>
    <w:bookmarkEnd w:id="155"/>
    <w:p>
      <w:pPr>
        <w:spacing w:after="0"/>
        <w:tabs>
          <w:tab w:leader="none" w:pos="800" w:val="left"/>
        </w:tabs>
        <w:rPr>
          <w:sz w:val="20"/>
          <w:szCs w:val="20"/>
          <w:color w:val="auto"/>
        </w:rPr>
      </w:pPr>
      <w:r>
        <w:rPr>
          <w:rFonts w:ascii="Calibri" w:cs="Calibri" w:eastAsia="Calibri" w:hAnsi="Calibri"/>
          <w:sz w:val="18"/>
          <w:szCs w:val="18"/>
          <w:color w:val="auto"/>
        </w:rPr>
        <w:t>F-25</w:t>
      </w:r>
      <w:r>
        <w:rPr>
          <w:sz w:val="20"/>
          <w:szCs w:val="20"/>
          <w:color w:val="auto"/>
        </w:rPr>
        <w:tab/>
      </w:r>
      <w:r>
        <w:rPr>
          <w:rFonts w:ascii="Calibri" w:cs="Calibri" w:eastAsia="Calibri" w:hAnsi="Calibri"/>
          <w:sz w:val="17"/>
          <w:szCs w:val="17"/>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490220</wp:posOffset>
                </wp:positionH>
                <wp:positionV relativeFrom="paragraph">
                  <wp:posOffset>320675</wp:posOffset>
                </wp:positionV>
                <wp:extent cx="6812280" cy="0"/>
                <wp:wrapNone/>
                <wp:docPr id="308" name="Shape 3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8" o:spid="_x0000_s13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25.25pt" to="57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490220</wp:posOffset>
                </wp:positionH>
                <wp:positionV relativeFrom="paragraph">
                  <wp:posOffset>320675</wp:posOffset>
                </wp:positionV>
                <wp:extent cx="6812280" cy="0"/>
                <wp:wrapNone/>
                <wp:docPr id="309" name="Shape 3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09" o:spid="_x0000_s13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25.25pt" to="57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80"/>
        <w:spacing w:after="0"/>
        <w:rPr>
          <w:sz w:val="20"/>
          <w:szCs w:val="20"/>
          <w:color w:val="auto"/>
        </w:rPr>
      </w:pPr>
      <w:r>
        <w:rPr>
          <w:rFonts w:ascii="Verdana" w:cs="Verdana" w:eastAsia="Verdana" w:hAnsi="Verdana"/>
          <w:sz w:val="20"/>
          <w:szCs w:val="20"/>
          <w:color w:val="214E93"/>
        </w:rPr>
        <w:t>NOTE 7 — DEBT — Continued</w:t>
      </w:r>
    </w:p>
    <w:p>
      <w:pPr>
        <w:spacing w:after="0" w:line="192" w:lineRule="exact"/>
        <w:rPr>
          <w:sz w:val="20"/>
          <w:szCs w:val="20"/>
          <w:color w:val="auto"/>
        </w:rPr>
      </w:pPr>
    </w:p>
    <w:p>
      <w:pPr>
        <w:ind w:left="1140" w:hanging="363"/>
        <w:spacing w:after="0"/>
        <w:tabs>
          <w:tab w:leader="none" w:pos="1140" w:val="left"/>
        </w:tabs>
        <w:numPr>
          <w:ilvl w:val="0"/>
          <w:numId w:val="85"/>
        </w:numPr>
        <w:rPr>
          <w:rFonts w:ascii="Calibri" w:cs="Calibri" w:eastAsia="Calibri" w:hAnsi="Calibri"/>
          <w:sz w:val="18"/>
          <w:szCs w:val="18"/>
          <w:color w:val="auto"/>
        </w:rPr>
      </w:pPr>
      <w:r>
        <w:rPr>
          <w:rFonts w:ascii="Calibri" w:cs="Calibri" w:eastAsia="Calibri" w:hAnsi="Calibri"/>
          <w:sz w:val="18"/>
          <w:szCs w:val="18"/>
          <w:color w:val="auto"/>
        </w:rPr>
        <w:t>engage in transactions with affiliates;</w:t>
      </w:r>
    </w:p>
    <w:p>
      <w:pPr>
        <w:spacing w:after="0" w:line="223" w:lineRule="exact"/>
        <w:rPr>
          <w:rFonts w:ascii="Calibri" w:cs="Calibri" w:eastAsia="Calibri" w:hAnsi="Calibri"/>
          <w:sz w:val="18"/>
          <w:szCs w:val="18"/>
          <w:color w:val="auto"/>
        </w:rPr>
      </w:pPr>
    </w:p>
    <w:p>
      <w:pPr>
        <w:ind w:left="1140" w:hanging="363"/>
        <w:spacing w:after="0"/>
        <w:tabs>
          <w:tab w:leader="none" w:pos="1140" w:val="left"/>
        </w:tabs>
        <w:numPr>
          <w:ilvl w:val="0"/>
          <w:numId w:val="85"/>
        </w:numPr>
        <w:rPr>
          <w:rFonts w:ascii="Calibri" w:cs="Calibri" w:eastAsia="Calibri" w:hAnsi="Calibri"/>
          <w:sz w:val="18"/>
          <w:szCs w:val="18"/>
          <w:color w:val="auto"/>
        </w:rPr>
      </w:pPr>
      <w:r>
        <w:rPr>
          <w:rFonts w:ascii="Calibri" w:cs="Calibri" w:eastAsia="Calibri" w:hAnsi="Calibri"/>
          <w:sz w:val="18"/>
          <w:szCs w:val="18"/>
          <w:color w:val="auto"/>
        </w:rPr>
        <w:t>engage in certain asset dispositions, including a sale of all or substantially all of San Mateo’s assets; and</w:t>
      </w:r>
    </w:p>
    <w:p>
      <w:pPr>
        <w:spacing w:after="0" w:line="223" w:lineRule="exact"/>
        <w:rPr>
          <w:rFonts w:ascii="Calibri" w:cs="Calibri" w:eastAsia="Calibri" w:hAnsi="Calibri"/>
          <w:sz w:val="18"/>
          <w:szCs w:val="18"/>
          <w:color w:val="auto"/>
        </w:rPr>
      </w:pPr>
    </w:p>
    <w:p>
      <w:pPr>
        <w:ind w:left="1140" w:hanging="363"/>
        <w:spacing w:after="0"/>
        <w:tabs>
          <w:tab w:leader="none" w:pos="1140" w:val="left"/>
        </w:tabs>
        <w:numPr>
          <w:ilvl w:val="0"/>
          <w:numId w:val="85"/>
        </w:numPr>
        <w:rPr>
          <w:rFonts w:ascii="Calibri" w:cs="Calibri" w:eastAsia="Calibri" w:hAnsi="Calibri"/>
          <w:sz w:val="18"/>
          <w:szCs w:val="18"/>
          <w:color w:val="auto"/>
        </w:rPr>
      </w:pPr>
      <w:r>
        <w:rPr>
          <w:rFonts w:ascii="Calibri" w:cs="Calibri" w:eastAsia="Calibri" w:hAnsi="Calibri"/>
          <w:sz w:val="18"/>
          <w:szCs w:val="18"/>
          <w:color w:val="auto"/>
        </w:rPr>
        <w:t>issue equity interests in San Mateo or its restricted subsidiaries.</w:t>
      </w:r>
    </w:p>
    <w:p>
      <w:pPr>
        <w:spacing w:after="0" w:line="241" w:lineRule="exact"/>
        <w:rPr>
          <w:sz w:val="20"/>
          <w:szCs w:val="20"/>
          <w:color w:val="auto"/>
        </w:rPr>
      </w:pPr>
    </w:p>
    <w:p>
      <w:pPr>
        <w:ind w:left="780" w:right="500" w:firstLine="241"/>
        <w:spacing w:after="0" w:line="281" w:lineRule="auto"/>
        <w:rPr>
          <w:sz w:val="20"/>
          <w:szCs w:val="20"/>
          <w:color w:val="auto"/>
        </w:rPr>
      </w:pPr>
      <w:r>
        <w:rPr>
          <w:rFonts w:ascii="Calibri" w:cs="Calibri" w:eastAsia="Calibri" w:hAnsi="Calibri"/>
          <w:sz w:val="17"/>
          <w:szCs w:val="17"/>
          <w:color w:val="auto"/>
        </w:rPr>
        <w:t>If an event of default exists under the San Mateo Credit Facility, the lenders will be able to terminate their commitments, accelerate the maturity of the borrowings and exercise other rights and remedies. Events of default include the following:</w:t>
      </w:r>
    </w:p>
    <w:p>
      <w:pPr>
        <w:spacing w:after="0" w:line="206" w:lineRule="exact"/>
        <w:rPr>
          <w:sz w:val="20"/>
          <w:szCs w:val="20"/>
          <w:color w:val="auto"/>
        </w:rPr>
      </w:pPr>
    </w:p>
    <w:p>
      <w:pPr>
        <w:ind w:left="1140" w:right="320" w:hanging="363"/>
        <w:spacing w:after="0" w:line="252" w:lineRule="auto"/>
        <w:tabs>
          <w:tab w:leader="none" w:pos="1140" w:val="left"/>
        </w:tabs>
        <w:numPr>
          <w:ilvl w:val="0"/>
          <w:numId w:val="86"/>
        </w:numPr>
        <w:rPr>
          <w:rFonts w:ascii="Calibri" w:cs="Calibri" w:eastAsia="Calibri" w:hAnsi="Calibri"/>
          <w:sz w:val="18"/>
          <w:szCs w:val="18"/>
          <w:color w:val="auto"/>
        </w:rPr>
      </w:pPr>
      <w:r>
        <w:rPr>
          <w:rFonts w:ascii="Calibri" w:cs="Calibri" w:eastAsia="Calibri" w:hAnsi="Calibri"/>
          <w:sz w:val="18"/>
          <w:szCs w:val="18"/>
          <w:color w:val="auto"/>
        </w:rPr>
        <w:t>failure to pay any principal or interest on the outstanding borrowings or any reimbursement obligation under any letter of credit when due or any fees or other amounts within certain grace periods;</w:t>
      </w:r>
    </w:p>
    <w:p>
      <w:pPr>
        <w:spacing w:after="0" w:line="230" w:lineRule="exact"/>
        <w:rPr>
          <w:rFonts w:ascii="Calibri" w:cs="Calibri" w:eastAsia="Calibri" w:hAnsi="Calibri"/>
          <w:sz w:val="18"/>
          <w:szCs w:val="18"/>
          <w:color w:val="auto"/>
        </w:rPr>
      </w:pPr>
    </w:p>
    <w:p>
      <w:pPr>
        <w:ind w:left="1140" w:right="460" w:hanging="363"/>
        <w:spacing w:after="0" w:line="252" w:lineRule="auto"/>
        <w:tabs>
          <w:tab w:leader="none" w:pos="1140" w:val="left"/>
        </w:tabs>
        <w:numPr>
          <w:ilvl w:val="0"/>
          <w:numId w:val="86"/>
        </w:numPr>
        <w:rPr>
          <w:rFonts w:ascii="Calibri" w:cs="Calibri" w:eastAsia="Calibri" w:hAnsi="Calibri"/>
          <w:sz w:val="18"/>
          <w:szCs w:val="18"/>
          <w:color w:val="auto"/>
        </w:rPr>
      </w:pPr>
      <w:r>
        <w:rPr>
          <w:rFonts w:ascii="Calibri" w:cs="Calibri" w:eastAsia="Calibri" w:hAnsi="Calibri"/>
          <w:sz w:val="18"/>
          <w:szCs w:val="18"/>
          <w:color w:val="auto"/>
        </w:rPr>
        <w:t>failure to perform or otherwise comply with the covenants and obligations in the San Mateo Credit Facility or other loan documents, subject, in certain instances, to certain grace periods;</w:t>
      </w:r>
    </w:p>
    <w:p>
      <w:pPr>
        <w:spacing w:after="0" w:line="213" w:lineRule="exact"/>
        <w:rPr>
          <w:rFonts w:ascii="Calibri" w:cs="Calibri" w:eastAsia="Calibri" w:hAnsi="Calibri"/>
          <w:sz w:val="18"/>
          <w:szCs w:val="18"/>
          <w:color w:val="auto"/>
        </w:rPr>
      </w:pPr>
    </w:p>
    <w:p>
      <w:pPr>
        <w:ind w:left="1140" w:hanging="363"/>
        <w:spacing w:after="0"/>
        <w:tabs>
          <w:tab w:leader="none" w:pos="1140" w:val="left"/>
        </w:tabs>
        <w:numPr>
          <w:ilvl w:val="0"/>
          <w:numId w:val="86"/>
        </w:numPr>
        <w:rPr>
          <w:rFonts w:ascii="Calibri" w:cs="Calibri" w:eastAsia="Calibri" w:hAnsi="Calibri"/>
          <w:sz w:val="18"/>
          <w:szCs w:val="18"/>
          <w:color w:val="auto"/>
        </w:rPr>
      </w:pPr>
      <w:r>
        <w:rPr>
          <w:rFonts w:ascii="Calibri" w:cs="Calibri" w:eastAsia="Calibri" w:hAnsi="Calibri"/>
          <w:sz w:val="18"/>
          <w:szCs w:val="18"/>
          <w:color w:val="auto"/>
        </w:rPr>
        <w:t>bankruptcy or insolvency events involving San Mateo or its subsidiaries; and</w:t>
      </w:r>
    </w:p>
    <w:p>
      <w:pPr>
        <w:spacing w:after="0" w:line="223" w:lineRule="exact"/>
        <w:rPr>
          <w:rFonts w:ascii="Calibri" w:cs="Calibri" w:eastAsia="Calibri" w:hAnsi="Calibri"/>
          <w:sz w:val="18"/>
          <w:szCs w:val="18"/>
          <w:color w:val="auto"/>
        </w:rPr>
      </w:pPr>
    </w:p>
    <w:p>
      <w:pPr>
        <w:ind w:left="1140" w:hanging="363"/>
        <w:spacing w:after="0"/>
        <w:tabs>
          <w:tab w:leader="none" w:pos="1140" w:val="left"/>
        </w:tabs>
        <w:numPr>
          <w:ilvl w:val="0"/>
          <w:numId w:val="86"/>
        </w:numPr>
        <w:rPr>
          <w:rFonts w:ascii="Calibri" w:cs="Calibri" w:eastAsia="Calibri" w:hAnsi="Calibri"/>
          <w:sz w:val="18"/>
          <w:szCs w:val="18"/>
          <w:color w:val="auto"/>
        </w:rPr>
      </w:pPr>
      <w:r>
        <w:rPr>
          <w:rFonts w:ascii="Calibri" w:cs="Calibri" w:eastAsia="Calibri" w:hAnsi="Calibri"/>
          <w:sz w:val="18"/>
          <w:szCs w:val="18"/>
          <w:color w:val="auto"/>
        </w:rPr>
        <w:t>a change of control, as defined in the San Mateo Credit Facility.</w:t>
      </w:r>
    </w:p>
    <w:p>
      <w:pPr>
        <w:spacing w:after="0" w:line="224" w:lineRule="exact"/>
        <w:rPr>
          <w:sz w:val="20"/>
          <w:szCs w:val="20"/>
          <w:color w:val="auto"/>
        </w:rPr>
      </w:pPr>
    </w:p>
    <w:p>
      <w:pPr>
        <w:ind w:left="1020"/>
        <w:spacing w:after="0"/>
        <w:rPr>
          <w:sz w:val="20"/>
          <w:szCs w:val="20"/>
          <w:color w:val="auto"/>
        </w:rPr>
      </w:pPr>
      <w:r>
        <w:rPr>
          <w:rFonts w:ascii="Calibri" w:cs="Calibri" w:eastAsia="Calibri" w:hAnsi="Calibri"/>
          <w:sz w:val="18"/>
          <w:szCs w:val="18"/>
          <w:color w:val="auto"/>
        </w:rPr>
        <w:t>San Mateo was in compliance with the terms of the San Mateo Credit Facility at December 31, 2025.</w:t>
      </w:r>
    </w:p>
    <w:p>
      <w:pPr>
        <w:spacing w:after="0" w:line="227" w:lineRule="exact"/>
        <w:rPr>
          <w:sz w:val="20"/>
          <w:szCs w:val="20"/>
          <w:color w:val="auto"/>
        </w:rPr>
      </w:pPr>
    </w:p>
    <w:p>
      <w:pPr>
        <w:ind w:left="780"/>
        <w:spacing w:after="0"/>
        <w:rPr>
          <w:sz w:val="20"/>
          <w:szCs w:val="20"/>
          <w:color w:val="auto"/>
        </w:rPr>
      </w:pPr>
      <w:r>
        <w:rPr>
          <w:rFonts w:ascii="Calibri" w:cs="Calibri" w:eastAsia="Calibri" w:hAnsi="Calibri"/>
          <w:sz w:val="19"/>
          <w:szCs w:val="19"/>
          <w:i w:val="1"/>
          <w:iCs w:val="1"/>
          <w:color w:val="214E93"/>
        </w:rPr>
        <w:t>Senior Unsecured Notes</w:t>
      </w:r>
    </w:p>
    <w:p>
      <w:pPr>
        <w:spacing w:after="0" w:line="194" w:lineRule="exact"/>
        <w:rPr>
          <w:sz w:val="20"/>
          <w:szCs w:val="20"/>
          <w:color w:val="auto"/>
        </w:rPr>
      </w:pPr>
    </w:p>
    <w:p>
      <w:pPr>
        <w:ind w:left="780"/>
        <w:spacing w:after="0"/>
        <w:rPr>
          <w:sz w:val="20"/>
          <w:szCs w:val="20"/>
          <w:color w:val="auto"/>
        </w:rPr>
      </w:pPr>
      <w:r>
        <w:rPr>
          <w:rFonts w:ascii="Calibri" w:cs="Calibri" w:eastAsia="Calibri" w:hAnsi="Calibri"/>
          <w:sz w:val="19"/>
          <w:szCs w:val="19"/>
          <w:color w:val="214E93"/>
        </w:rPr>
        <w:t>2028 Notes</w:t>
      </w:r>
    </w:p>
    <w:p>
      <w:pPr>
        <w:spacing w:after="0" w:line="208" w:lineRule="exact"/>
        <w:rPr>
          <w:sz w:val="20"/>
          <w:szCs w:val="20"/>
          <w:color w:val="auto"/>
        </w:rPr>
      </w:pPr>
    </w:p>
    <w:p>
      <w:pPr>
        <w:ind w:left="780" w:firstLine="241"/>
        <w:spacing w:after="0" w:line="266" w:lineRule="auto"/>
        <w:rPr>
          <w:sz w:val="20"/>
          <w:szCs w:val="20"/>
          <w:color w:val="auto"/>
        </w:rPr>
      </w:pPr>
      <w:r>
        <w:rPr>
          <w:rFonts w:ascii="Calibri" w:cs="Calibri" w:eastAsia="Calibri" w:hAnsi="Calibri"/>
          <w:sz w:val="18"/>
          <w:szCs w:val="18"/>
          <w:color w:val="auto"/>
        </w:rPr>
        <w:t>At December 31, 2025, the Company had $500.0 million in outstanding 2028 Notes, which have a 6.875% coupon rate and mature on April 15, 2028. Interest on the 2028 Notes is payable semi-annually in arrears on each April 15 and October 15. The 2028 Notes are jointly and severally guaranteed on a senior unsecured basis by certain subsidiaries of the Company (the “Guarantors”). San Mateo is not a Restricted Subsidiary (as defined in the indenture governing the 2028 Notes (the “2028 Notes Indenture”)) or Guarantor of the 2028 Notes.</w:t>
      </w:r>
    </w:p>
    <w:p>
      <w:pPr>
        <w:spacing w:after="0" w:line="218" w:lineRule="exact"/>
        <w:rPr>
          <w:sz w:val="20"/>
          <w:szCs w:val="20"/>
          <w:color w:val="auto"/>
        </w:rPr>
      </w:pPr>
    </w:p>
    <w:p>
      <w:pPr>
        <w:jc w:val="both"/>
        <w:ind w:left="780" w:right="160" w:firstLine="241"/>
        <w:spacing w:after="0" w:line="261" w:lineRule="auto"/>
        <w:rPr>
          <w:sz w:val="20"/>
          <w:szCs w:val="20"/>
          <w:color w:val="auto"/>
        </w:rPr>
      </w:pPr>
      <w:r>
        <w:rPr>
          <w:rFonts w:ascii="Calibri" w:cs="Calibri" w:eastAsia="Calibri" w:hAnsi="Calibri"/>
          <w:sz w:val="18"/>
          <w:szCs w:val="18"/>
          <w:color w:val="auto"/>
        </w:rPr>
        <w:t>The Company may redeem all or a part of the 2028 Notes at any time or from time to time at the following redemption prices (expressed as percentages of the principal amount) plus accrued and unpaid interest, if any, to the applicable redemption date, if redeemed during the twelve-month period beginning on April 15 of the years indicated below:</w:t>
      </w:r>
    </w:p>
    <w:p>
      <w:pPr>
        <w:spacing w:after="0" w:line="372" w:lineRule="exact"/>
        <w:rPr>
          <w:sz w:val="20"/>
          <w:szCs w:val="20"/>
          <w:color w:val="auto"/>
        </w:rPr>
      </w:pPr>
    </w:p>
    <w:tbl>
      <w:tblPr>
        <w:tblLayout w:type="fixed"/>
        <w:tblInd w:w="1020" w:type="dxa"/>
        <w:tblCellMar>
          <w:top w:w="0" w:type="dxa"/>
          <w:left w:w="0" w:type="dxa"/>
          <w:bottom w:w="0" w:type="dxa"/>
          <w:right w:w="0" w:type="dxa"/>
        </w:tblCellMar>
      </w:tblPr>
      <w:tr>
        <w:trPr>
          <w:trHeight w:val="193"/>
        </w:trPr>
        <w:tc>
          <w:tcPr>
            <w:tcW w:w="4740" w:type="dxa"/>
            <w:vAlign w:val="bottom"/>
            <w:tcBorders>
              <w:bottom w:val="single" w:sz="8" w:color="214E93"/>
            </w:tcBorders>
          </w:tcPr>
          <w:p>
            <w:pPr>
              <w:ind w:left="60"/>
              <w:spacing w:after="0"/>
              <w:rPr>
                <w:sz w:val="20"/>
                <w:szCs w:val="20"/>
                <w:color w:val="auto"/>
              </w:rPr>
            </w:pPr>
            <w:r>
              <w:rPr>
                <w:rFonts w:ascii="Verdana" w:cs="Verdana" w:eastAsia="Verdana" w:hAnsi="Verdana"/>
                <w:sz w:val="14"/>
                <w:szCs w:val="14"/>
                <w:color w:val="auto"/>
              </w:rPr>
              <w:t>Year</w:t>
            </w:r>
          </w:p>
        </w:tc>
        <w:tc>
          <w:tcPr>
            <w:tcW w:w="4340" w:type="dxa"/>
            <w:vAlign w:val="bottom"/>
            <w:tcBorders>
              <w:bottom w:val="single" w:sz="8" w:color="214E93"/>
            </w:tcBorders>
          </w:tcPr>
          <w:p>
            <w:pPr>
              <w:jc w:val="right"/>
              <w:spacing w:after="0"/>
              <w:rPr>
                <w:sz w:val="20"/>
                <w:szCs w:val="20"/>
                <w:color w:val="auto"/>
              </w:rPr>
            </w:pPr>
            <w:r>
              <w:rPr>
                <w:rFonts w:ascii="Verdana" w:cs="Verdana" w:eastAsia="Verdana" w:hAnsi="Verdana"/>
                <w:sz w:val="14"/>
                <w:szCs w:val="14"/>
                <w:color w:val="auto"/>
              </w:rPr>
              <w:t>Redemption Price</w:t>
            </w:r>
          </w:p>
        </w:tc>
      </w:tr>
      <w:tr>
        <w:trPr>
          <w:trHeight w:val="269"/>
        </w:trPr>
        <w:tc>
          <w:tcPr>
            <w:tcW w:w="4740" w:type="dxa"/>
            <w:vAlign w:val="bottom"/>
          </w:tcPr>
          <w:p>
            <w:pPr>
              <w:ind w:left="60"/>
              <w:spacing w:after="0"/>
              <w:rPr>
                <w:sz w:val="20"/>
                <w:szCs w:val="20"/>
                <w:color w:val="auto"/>
              </w:rPr>
            </w:pPr>
            <w:r>
              <w:rPr>
                <w:rFonts w:ascii="Verdana" w:cs="Verdana" w:eastAsia="Verdana" w:hAnsi="Verdana"/>
                <w:sz w:val="16"/>
                <w:szCs w:val="16"/>
                <w:color w:val="auto"/>
              </w:rPr>
              <w:t>2025</w:t>
            </w:r>
          </w:p>
        </w:tc>
        <w:tc>
          <w:tcPr>
            <w:tcW w:w="4340" w:type="dxa"/>
            <w:vAlign w:val="bottom"/>
          </w:tcPr>
          <w:p>
            <w:pPr>
              <w:jc w:val="right"/>
              <w:spacing w:after="0"/>
              <w:rPr>
                <w:sz w:val="20"/>
                <w:szCs w:val="20"/>
                <w:color w:val="auto"/>
              </w:rPr>
            </w:pPr>
            <w:r>
              <w:rPr>
                <w:rFonts w:ascii="Verdana" w:cs="Verdana" w:eastAsia="Verdana" w:hAnsi="Verdana"/>
                <w:sz w:val="16"/>
                <w:szCs w:val="16"/>
                <w:color w:val="auto"/>
              </w:rPr>
              <w:t>103.438 %</w:t>
            </w:r>
          </w:p>
        </w:tc>
      </w:tr>
      <w:tr>
        <w:trPr>
          <w:trHeight w:val="295"/>
        </w:trPr>
        <w:tc>
          <w:tcPr>
            <w:tcW w:w="4740" w:type="dxa"/>
            <w:vAlign w:val="bottom"/>
          </w:tcPr>
          <w:p>
            <w:pPr>
              <w:ind w:left="60"/>
              <w:spacing w:after="0"/>
              <w:rPr>
                <w:sz w:val="20"/>
                <w:szCs w:val="20"/>
                <w:color w:val="auto"/>
              </w:rPr>
            </w:pPr>
            <w:r>
              <w:rPr>
                <w:rFonts w:ascii="Verdana" w:cs="Verdana" w:eastAsia="Verdana" w:hAnsi="Verdana"/>
                <w:sz w:val="16"/>
                <w:szCs w:val="16"/>
                <w:color w:val="auto"/>
              </w:rPr>
              <w:t>2026</w:t>
            </w:r>
          </w:p>
        </w:tc>
        <w:tc>
          <w:tcPr>
            <w:tcW w:w="4340" w:type="dxa"/>
            <w:vAlign w:val="bottom"/>
          </w:tcPr>
          <w:p>
            <w:pPr>
              <w:jc w:val="right"/>
              <w:spacing w:after="0"/>
              <w:rPr>
                <w:sz w:val="20"/>
                <w:szCs w:val="20"/>
                <w:color w:val="auto"/>
              </w:rPr>
            </w:pPr>
            <w:r>
              <w:rPr>
                <w:rFonts w:ascii="Verdana" w:cs="Verdana" w:eastAsia="Verdana" w:hAnsi="Verdana"/>
                <w:sz w:val="16"/>
                <w:szCs w:val="16"/>
                <w:color w:val="auto"/>
              </w:rPr>
              <w:t>101.719 %</w:t>
            </w:r>
          </w:p>
        </w:tc>
      </w:tr>
      <w:tr>
        <w:trPr>
          <w:trHeight w:val="295"/>
        </w:trPr>
        <w:tc>
          <w:tcPr>
            <w:tcW w:w="4740" w:type="dxa"/>
            <w:vAlign w:val="bottom"/>
          </w:tcPr>
          <w:p>
            <w:pPr>
              <w:ind w:left="60"/>
              <w:spacing w:after="0"/>
              <w:rPr>
                <w:sz w:val="20"/>
                <w:szCs w:val="20"/>
                <w:color w:val="auto"/>
              </w:rPr>
            </w:pPr>
            <w:r>
              <w:rPr>
                <w:rFonts w:ascii="Verdana" w:cs="Verdana" w:eastAsia="Verdana" w:hAnsi="Verdana"/>
                <w:sz w:val="16"/>
                <w:szCs w:val="16"/>
                <w:color w:val="auto"/>
              </w:rPr>
              <w:t>2027 and thereafter</w:t>
            </w:r>
          </w:p>
        </w:tc>
        <w:tc>
          <w:tcPr>
            <w:tcW w:w="4340" w:type="dxa"/>
            <w:vAlign w:val="bottom"/>
          </w:tcPr>
          <w:p>
            <w:pPr>
              <w:jc w:val="right"/>
              <w:spacing w:after="0"/>
              <w:rPr>
                <w:sz w:val="20"/>
                <w:szCs w:val="20"/>
                <w:color w:val="auto"/>
              </w:rPr>
            </w:pPr>
            <w:r>
              <w:rPr>
                <w:rFonts w:ascii="Verdana" w:cs="Verdana" w:eastAsia="Verdana" w:hAnsi="Verdana"/>
                <w:sz w:val="16"/>
                <w:szCs w:val="16"/>
                <w:color w:val="auto"/>
              </w:rPr>
              <w:t>100.000 %</w:t>
            </w:r>
          </w:p>
        </w:tc>
      </w:tr>
    </w:tbl>
    <w:p>
      <w:pPr>
        <w:spacing w:after="0" w:line="20" w:lineRule="exact"/>
        <w:rPr>
          <w:sz w:val="20"/>
          <w:szCs w:val="20"/>
          <w:color w:val="auto"/>
        </w:rPr>
      </w:pPr>
    </w:p>
    <w:p>
      <w:pPr>
        <w:spacing w:after="0" w:line="254" w:lineRule="exact"/>
        <w:rPr>
          <w:sz w:val="20"/>
          <w:szCs w:val="20"/>
          <w:color w:val="auto"/>
        </w:rPr>
      </w:pPr>
    </w:p>
    <w:p>
      <w:pPr>
        <w:ind w:left="780" w:right="80" w:firstLine="241"/>
        <w:spacing w:after="0" w:line="252" w:lineRule="auto"/>
        <w:rPr>
          <w:sz w:val="20"/>
          <w:szCs w:val="20"/>
          <w:color w:val="auto"/>
        </w:rPr>
      </w:pPr>
      <w:r>
        <w:rPr>
          <w:rFonts w:ascii="Calibri" w:cs="Calibri" w:eastAsia="Calibri" w:hAnsi="Calibri"/>
          <w:sz w:val="18"/>
          <w:szCs w:val="18"/>
          <w:color w:val="auto"/>
        </w:rPr>
        <w:t>Subject to certain exceptions, the 2028 Notes Indenture contains various covenants that limit the Company’s and its Restricted Subsidiaries’ ability to take certain actions, including the following:</w:t>
      </w:r>
    </w:p>
    <w:p>
      <w:pPr>
        <w:spacing w:after="0" w:line="213" w:lineRule="exact"/>
        <w:rPr>
          <w:sz w:val="20"/>
          <w:szCs w:val="20"/>
          <w:color w:val="auto"/>
        </w:rPr>
      </w:pPr>
    </w:p>
    <w:p>
      <w:pPr>
        <w:ind w:left="1140" w:hanging="363"/>
        <w:spacing w:after="0"/>
        <w:tabs>
          <w:tab w:leader="none" w:pos="1140" w:val="left"/>
        </w:tabs>
        <w:numPr>
          <w:ilvl w:val="0"/>
          <w:numId w:val="87"/>
        </w:numPr>
        <w:rPr>
          <w:rFonts w:ascii="Calibri" w:cs="Calibri" w:eastAsia="Calibri" w:hAnsi="Calibri"/>
          <w:sz w:val="18"/>
          <w:szCs w:val="18"/>
          <w:color w:val="auto"/>
        </w:rPr>
      </w:pPr>
      <w:r>
        <w:rPr>
          <w:rFonts w:ascii="Calibri" w:cs="Calibri" w:eastAsia="Calibri" w:hAnsi="Calibri"/>
          <w:sz w:val="18"/>
          <w:szCs w:val="18"/>
          <w:color w:val="auto"/>
        </w:rPr>
        <w:t>incur additional indebtedness;</w:t>
      </w:r>
    </w:p>
    <w:p>
      <w:pPr>
        <w:spacing w:after="0" w:line="223" w:lineRule="exact"/>
        <w:rPr>
          <w:rFonts w:ascii="Calibri" w:cs="Calibri" w:eastAsia="Calibri" w:hAnsi="Calibri"/>
          <w:sz w:val="18"/>
          <w:szCs w:val="18"/>
          <w:color w:val="auto"/>
        </w:rPr>
      </w:pPr>
    </w:p>
    <w:p>
      <w:pPr>
        <w:ind w:left="1140" w:hanging="363"/>
        <w:spacing w:after="0"/>
        <w:tabs>
          <w:tab w:leader="none" w:pos="1140" w:val="left"/>
        </w:tabs>
        <w:numPr>
          <w:ilvl w:val="0"/>
          <w:numId w:val="87"/>
        </w:numPr>
        <w:rPr>
          <w:rFonts w:ascii="Calibri" w:cs="Calibri" w:eastAsia="Calibri" w:hAnsi="Calibri"/>
          <w:sz w:val="18"/>
          <w:szCs w:val="18"/>
          <w:color w:val="auto"/>
        </w:rPr>
      </w:pPr>
      <w:r>
        <w:rPr>
          <w:rFonts w:ascii="Calibri" w:cs="Calibri" w:eastAsia="Calibri" w:hAnsi="Calibri"/>
          <w:sz w:val="18"/>
          <w:szCs w:val="18"/>
          <w:color w:val="auto"/>
        </w:rPr>
        <w:t>sell assets;</w:t>
      </w:r>
    </w:p>
    <w:p>
      <w:pPr>
        <w:spacing w:after="0" w:line="223" w:lineRule="exact"/>
        <w:rPr>
          <w:rFonts w:ascii="Calibri" w:cs="Calibri" w:eastAsia="Calibri" w:hAnsi="Calibri"/>
          <w:sz w:val="18"/>
          <w:szCs w:val="18"/>
          <w:color w:val="auto"/>
        </w:rPr>
      </w:pPr>
    </w:p>
    <w:p>
      <w:pPr>
        <w:ind w:left="1140" w:hanging="363"/>
        <w:spacing w:after="0"/>
        <w:tabs>
          <w:tab w:leader="none" w:pos="1140" w:val="left"/>
        </w:tabs>
        <w:numPr>
          <w:ilvl w:val="0"/>
          <w:numId w:val="87"/>
        </w:numPr>
        <w:rPr>
          <w:rFonts w:ascii="Calibri" w:cs="Calibri" w:eastAsia="Calibri" w:hAnsi="Calibri"/>
          <w:sz w:val="18"/>
          <w:szCs w:val="18"/>
          <w:color w:val="auto"/>
        </w:rPr>
      </w:pPr>
      <w:r>
        <w:rPr>
          <w:rFonts w:ascii="Calibri" w:cs="Calibri" w:eastAsia="Calibri" w:hAnsi="Calibri"/>
          <w:sz w:val="18"/>
          <w:szCs w:val="18"/>
          <w:color w:val="auto"/>
        </w:rPr>
        <w:t>pay dividends or make certain investments;</w:t>
      </w:r>
    </w:p>
    <w:p>
      <w:pPr>
        <w:spacing w:after="0" w:line="223" w:lineRule="exact"/>
        <w:rPr>
          <w:rFonts w:ascii="Calibri" w:cs="Calibri" w:eastAsia="Calibri" w:hAnsi="Calibri"/>
          <w:sz w:val="18"/>
          <w:szCs w:val="18"/>
          <w:color w:val="auto"/>
        </w:rPr>
      </w:pPr>
    </w:p>
    <w:p>
      <w:pPr>
        <w:ind w:left="1140" w:hanging="363"/>
        <w:spacing w:after="0"/>
        <w:tabs>
          <w:tab w:leader="none" w:pos="1140" w:val="left"/>
        </w:tabs>
        <w:numPr>
          <w:ilvl w:val="0"/>
          <w:numId w:val="87"/>
        </w:numPr>
        <w:rPr>
          <w:rFonts w:ascii="Calibri" w:cs="Calibri" w:eastAsia="Calibri" w:hAnsi="Calibri"/>
          <w:sz w:val="18"/>
          <w:szCs w:val="18"/>
          <w:color w:val="auto"/>
        </w:rPr>
      </w:pPr>
      <w:r>
        <w:rPr>
          <w:rFonts w:ascii="Calibri" w:cs="Calibri" w:eastAsia="Calibri" w:hAnsi="Calibri"/>
          <w:sz w:val="18"/>
          <w:szCs w:val="18"/>
          <w:color w:val="auto"/>
        </w:rPr>
        <w:t>create liens that secure indebtedness;</w:t>
      </w:r>
    </w:p>
    <w:p>
      <w:pPr>
        <w:spacing w:after="0" w:line="223" w:lineRule="exact"/>
        <w:rPr>
          <w:rFonts w:ascii="Calibri" w:cs="Calibri" w:eastAsia="Calibri" w:hAnsi="Calibri"/>
          <w:sz w:val="18"/>
          <w:szCs w:val="18"/>
          <w:color w:val="auto"/>
        </w:rPr>
      </w:pPr>
    </w:p>
    <w:p>
      <w:pPr>
        <w:ind w:left="1140" w:hanging="363"/>
        <w:spacing w:after="0"/>
        <w:tabs>
          <w:tab w:leader="none" w:pos="1140" w:val="left"/>
        </w:tabs>
        <w:numPr>
          <w:ilvl w:val="0"/>
          <w:numId w:val="87"/>
        </w:numPr>
        <w:rPr>
          <w:rFonts w:ascii="Calibri" w:cs="Calibri" w:eastAsia="Calibri" w:hAnsi="Calibri"/>
          <w:sz w:val="18"/>
          <w:szCs w:val="18"/>
          <w:color w:val="auto"/>
        </w:rPr>
      </w:pPr>
      <w:r>
        <w:rPr>
          <w:rFonts w:ascii="Calibri" w:cs="Calibri" w:eastAsia="Calibri" w:hAnsi="Calibri"/>
          <w:sz w:val="18"/>
          <w:szCs w:val="18"/>
          <w:color w:val="auto"/>
        </w:rPr>
        <w:t>enter into transactions with affiliates; and</w:t>
      </w:r>
    </w:p>
    <w:p>
      <w:pPr>
        <w:sectPr>
          <w:pgSz w:w="11880" w:h="15480" w:orient="portrait"/>
          <w:cols w:equalWidth="0" w:num="1">
            <w:col w:w="10220"/>
          </w:cols>
          <w:pgMar w:left="380" w:top="498"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00"/>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0220"/>
          </w:cols>
          <w:pgMar w:left="380" w:top="498" w:right="1280" w:bottom="0" w:gutter="0" w:footer="0" w:header="0"/>
          <w:type w:val="continuous"/>
        </w:sectPr>
      </w:pPr>
    </w:p>
    <w:bookmarkStart w:id="156" w:name="page157"/>
    <w:bookmarkEnd w:id="156"/>
    <w:tbl>
      <w:tblPr>
        <w:tblLayout w:type="fixed"/>
        <w:tblInd w:w="7883" w:type="dxa"/>
        <w:tblCellMar>
          <w:top w:w="0" w:type="dxa"/>
          <w:left w:w="0" w:type="dxa"/>
          <w:bottom w:w="0" w:type="dxa"/>
          <w:right w:w="0" w:type="dxa"/>
        </w:tblCellMar>
      </w:tblPr>
      <w:tr>
        <w:trPr>
          <w:trHeight w:val="220"/>
        </w:trPr>
        <w:tc>
          <w:tcPr>
            <w:tcW w:w="188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580" w:type="dxa"/>
            <w:vAlign w:val="bottom"/>
          </w:tcPr>
          <w:p>
            <w:pPr>
              <w:ind w:left="260"/>
              <w:spacing w:after="0"/>
              <w:rPr>
                <w:sz w:val="20"/>
                <w:szCs w:val="20"/>
                <w:color w:val="auto"/>
              </w:rPr>
            </w:pPr>
            <w:r>
              <w:rPr>
                <w:rFonts w:ascii="Calibri" w:cs="Calibri" w:eastAsia="Calibri" w:hAnsi="Calibri"/>
                <w:sz w:val="18"/>
                <w:szCs w:val="18"/>
                <w:color w:val="auto"/>
                <w:w w:val="93"/>
              </w:rPr>
              <w:t>F-26</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-734695</wp:posOffset>
                </wp:positionH>
                <wp:positionV relativeFrom="paragraph">
                  <wp:posOffset>320675</wp:posOffset>
                </wp:positionV>
                <wp:extent cx="6811645" cy="0"/>
                <wp:wrapNone/>
                <wp:docPr id="310" name="Shape 3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0" o:spid="_x0000_s13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8499pt,25.25pt" to="478.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-734695</wp:posOffset>
                </wp:positionH>
                <wp:positionV relativeFrom="paragraph">
                  <wp:posOffset>320675</wp:posOffset>
                </wp:positionV>
                <wp:extent cx="6811645" cy="0"/>
                <wp:wrapNone/>
                <wp:docPr id="311" name="Shape 3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11" o:spid="_x0000_s13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8499pt,25.25pt" to="478.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
        <w:spacing w:after="0"/>
        <w:rPr>
          <w:sz w:val="20"/>
          <w:szCs w:val="20"/>
          <w:color w:val="auto"/>
        </w:rPr>
      </w:pPr>
      <w:r>
        <w:rPr>
          <w:rFonts w:ascii="Verdana" w:cs="Verdana" w:eastAsia="Verdana" w:hAnsi="Verdana"/>
          <w:sz w:val="20"/>
          <w:szCs w:val="20"/>
          <w:color w:val="214E93"/>
        </w:rPr>
        <w:t>NOTE 7 — DEBT — Continued</w:t>
      </w:r>
    </w:p>
    <w:p>
      <w:pPr>
        <w:spacing w:after="0" w:line="192" w:lineRule="exact"/>
        <w:rPr>
          <w:sz w:val="20"/>
          <w:szCs w:val="20"/>
          <w:color w:val="auto"/>
        </w:rPr>
      </w:pPr>
    </w:p>
    <w:p>
      <w:pPr>
        <w:ind w:left="363" w:hanging="363"/>
        <w:spacing w:after="0"/>
        <w:tabs>
          <w:tab w:leader="none" w:pos="363" w:val="left"/>
        </w:tabs>
        <w:numPr>
          <w:ilvl w:val="0"/>
          <w:numId w:val="88"/>
        </w:numPr>
        <w:rPr>
          <w:rFonts w:ascii="Calibri" w:cs="Calibri" w:eastAsia="Calibri" w:hAnsi="Calibri"/>
          <w:sz w:val="18"/>
          <w:szCs w:val="18"/>
          <w:color w:val="auto"/>
        </w:rPr>
      </w:pPr>
      <w:r>
        <w:rPr>
          <w:rFonts w:ascii="Calibri" w:cs="Calibri" w:eastAsia="Calibri" w:hAnsi="Calibri"/>
          <w:sz w:val="18"/>
          <w:szCs w:val="18"/>
          <w:color w:val="auto"/>
        </w:rPr>
        <w:t>merge or consolidate with another company.</w:t>
      </w:r>
    </w:p>
    <w:p>
      <w:pPr>
        <w:spacing w:after="0" w:line="241" w:lineRule="exact"/>
        <w:rPr>
          <w:sz w:val="20"/>
          <w:szCs w:val="20"/>
          <w:color w:val="auto"/>
        </w:rPr>
      </w:pPr>
    </w:p>
    <w:p>
      <w:pPr>
        <w:ind w:left="3" w:right="840" w:firstLine="241"/>
        <w:spacing w:after="0" w:line="267" w:lineRule="auto"/>
        <w:rPr>
          <w:sz w:val="20"/>
          <w:szCs w:val="20"/>
          <w:color w:val="auto"/>
        </w:rPr>
      </w:pPr>
      <w:r>
        <w:rPr>
          <w:rFonts w:ascii="Calibri" w:cs="Calibri" w:eastAsia="Calibri" w:hAnsi="Calibri"/>
          <w:sz w:val="18"/>
          <w:szCs w:val="18"/>
          <w:color w:val="auto"/>
        </w:rPr>
        <w:t>In the case of an event of default arising from certain events of bankruptcy or insolvency with respect to Matador, any Restricted Subsidiary (as defined in the 2028 Notes Indenture) that is a Significant Subsidiary (as defined in the 2028 Notes Indenture) or any group of Restricted Subsidiaries that, taken together, would constitute a Significant Subsidiary, all outstanding 2028 Notes will become due and payable immediately without further action or notice. If any other event of default occurs and is continuing, the trustee or the holders of at least 25% in principal amount of the then outstanding 2028 Notes may declare all the 2028 Notes to be due and payable immediately. Events of default include the following:</w:t>
      </w:r>
    </w:p>
    <w:p>
      <w:pPr>
        <w:spacing w:after="0" w:line="200" w:lineRule="exact"/>
        <w:rPr>
          <w:sz w:val="20"/>
          <w:szCs w:val="20"/>
          <w:color w:val="auto"/>
        </w:rPr>
      </w:pPr>
    </w:p>
    <w:p>
      <w:pPr>
        <w:ind w:left="363" w:hanging="363"/>
        <w:spacing w:after="0"/>
        <w:tabs>
          <w:tab w:leader="none" w:pos="363" w:val="left"/>
        </w:tabs>
        <w:numPr>
          <w:ilvl w:val="0"/>
          <w:numId w:val="89"/>
        </w:numPr>
        <w:rPr>
          <w:rFonts w:ascii="Calibri" w:cs="Calibri" w:eastAsia="Calibri" w:hAnsi="Calibri"/>
          <w:sz w:val="18"/>
          <w:szCs w:val="18"/>
          <w:color w:val="auto"/>
        </w:rPr>
      </w:pPr>
      <w:r>
        <w:rPr>
          <w:rFonts w:ascii="Calibri" w:cs="Calibri" w:eastAsia="Calibri" w:hAnsi="Calibri"/>
          <w:sz w:val="18"/>
          <w:szCs w:val="18"/>
          <w:color w:val="auto"/>
        </w:rPr>
        <w:t>default for 30 days in the payment when due of interest on the 2028 Notes;</w:t>
      </w:r>
    </w:p>
    <w:p>
      <w:pPr>
        <w:spacing w:after="0" w:line="223" w:lineRule="exact"/>
        <w:rPr>
          <w:rFonts w:ascii="Calibri" w:cs="Calibri" w:eastAsia="Calibri" w:hAnsi="Calibri"/>
          <w:sz w:val="18"/>
          <w:szCs w:val="18"/>
          <w:color w:val="auto"/>
        </w:rPr>
      </w:pPr>
    </w:p>
    <w:p>
      <w:pPr>
        <w:ind w:left="363" w:hanging="363"/>
        <w:spacing w:after="0"/>
        <w:tabs>
          <w:tab w:leader="none" w:pos="363" w:val="left"/>
        </w:tabs>
        <w:numPr>
          <w:ilvl w:val="0"/>
          <w:numId w:val="89"/>
        </w:numPr>
        <w:rPr>
          <w:rFonts w:ascii="Calibri" w:cs="Calibri" w:eastAsia="Calibri" w:hAnsi="Calibri"/>
          <w:sz w:val="18"/>
          <w:szCs w:val="18"/>
          <w:color w:val="auto"/>
        </w:rPr>
      </w:pPr>
      <w:r>
        <w:rPr>
          <w:rFonts w:ascii="Calibri" w:cs="Calibri" w:eastAsia="Calibri" w:hAnsi="Calibri"/>
          <w:sz w:val="18"/>
          <w:szCs w:val="18"/>
          <w:color w:val="auto"/>
        </w:rPr>
        <w:t>default in the payment when due of the principal of, or premium, if any, on the 2028 Notes;</w:t>
      </w:r>
    </w:p>
    <w:p>
      <w:pPr>
        <w:spacing w:after="0" w:line="240" w:lineRule="exact"/>
        <w:rPr>
          <w:rFonts w:ascii="Calibri" w:cs="Calibri" w:eastAsia="Calibri" w:hAnsi="Calibri"/>
          <w:sz w:val="18"/>
          <w:szCs w:val="18"/>
          <w:color w:val="auto"/>
        </w:rPr>
      </w:pPr>
    </w:p>
    <w:p>
      <w:pPr>
        <w:ind w:left="363" w:right="1020" w:hanging="363"/>
        <w:spacing w:after="0" w:line="252" w:lineRule="auto"/>
        <w:tabs>
          <w:tab w:leader="none" w:pos="363" w:val="left"/>
        </w:tabs>
        <w:numPr>
          <w:ilvl w:val="0"/>
          <w:numId w:val="89"/>
        </w:numPr>
        <w:rPr>
          <w:rFonts w:ascii="Calibri" w:cs="Calibri" w:eastAsia="Calibri" w:hAnsi="Calibri"/>
          <w:sz w:val="18"/>
          <w:szCs w:val="18"/>
          <w:color w:val="auto"/>
        </w:rPr>
      </w:pPr>
      <w:r>
        <w:rPr>
          <w:rFonts w:ascii="Calibri" w:cs="Calibri" w:eastAsia="Calibri" w:hAnsi="Calibri"/>
          <w:sz w:val="18"/>
          <w:szCs w:val="18"/>
          <w:color w:val="auto"/>
        </w:rPr>
        <w:t>failure by the Company to comply with its obligations to offer to purchase or purchase 2028 Notes pursuant to the change of control or asset sale covenants of the 2028 Notes Indenture or to comply with the covenant relating to mergers;</w:t>
      </w:r>
    </w:p>
    <w:p>
      <w:pPr>
        <w:spacing w:after="0" w:line="213" w:lineRule="exact"/>
        <w:rPr>
          <w:rFonts w:ascii="Calibri" w:cs="Calibri" w:eastAsia="Calibri" w:hAnsi="Calibri"/>
          <w:sz w:val="18"/>
          <w:szCs w:val="18"/>
          <w:color w:val="auto"/>
        </w:rPr>
      </w:pPr>
    </w:p>
    <w:p>
      <w:pPr>
        <w:ind w:left="363" w:hanging="363"/>
        <w:spacing w:after="0"/>
        <w:tabs>
          <w:tab w:leader="none" w:pos="363" w:val="left"/>
        </w:tabs>
        <w:numPr>
          <w:ilvl w:val="0"/>
          <w:numId w:val="89"/>
        </w:numPr>
        <w:rPr>
          <w:rFonts w:ascii="Calibri" w:cs="Calibri" w:eastAsia="Calibri" w:hAnsi="Calibri"/>
          <w:sz w:val="18"/>
          <w:szCs w:val="18"/>
          <w:color w:val="auto"/>
        </w:rPr>
      </w:pPr>
      <w:r>
        <w:rPr>
          <w:rFonts w:ascii="Calibri" w:cs="Calibri" w:eastAsia="Calibri" w:hAnsi="Calibri"/>
          <w:sz w:val="18"/>
          <w:szCs w:val="18"/>
          <w:color w:val="auto"/>
        </w:rPr>
        <w:t>failure by the Company for 180 days after notice to comply with its reporting obligations under the 2028 Notes Indenture;</w:t>
      </w:r>
    </w:p>
    <w:p>
      <w:pPr>
        <w:spacing w:after="0" w:line="223" w:lineRule="exact"/>
        <w:rPr>
          <w:rFonts w:ascii="Calibri" w:cs="Calibri" w:eastAsia="Calibri" w:hAnsi="Calibri"/>
          <w:sz w:val="18"/>
          <w:szCs w:val="18"/>
          <w:color w:val="auto"/>
        </w:rPr>
      </w:pPr>
    </w:p>
    <w:p>
      <w:pPr>
        <w:ind w:left="363" w:hanging="363"/>
        <w:spacing w:after="0"/>
        <w:tabs>
          <w:tab w:leader="none" w:pos="363" w:val="left"/>
        </w:tabs>
        <w:numPr>
          <w:ilvl w:val="0"/>
          <w:numId w:val="89"/>
        </w:numPr>
        <w:rPr>
          <w:rFonts w:ascii="Calibri" w:cs="Calibri" w:eastAsia="Calibri" w:hAnsi="Calibri"/>
          <w:sz w:val="18"/>
          <w:szCs w:val="18"/>
          <w:color w:val="auto"/>
        </w:rPr>
      </w:pPr>
      <w:r>
        <w:rPr>
          <w:rFonts w:ascii="Calibri" w:cs="Calibri" w:eastAsia="Calibri" w:hAnsi="Calibri"/>
          <w:sz w:val="18"/>
          <w:szCs w:val="18"/>
          <w:color w:val="auto"/>
        </w:rPr>
        <w:t>failure by the Company for 60 days after notice to comply with any of the other agreements in the 2028 Notes Indenture;</w:t>
      </w:r>
    </w:p>
    <w:p>
      <w:pPr>
        <w:spacing w:after="0" w:line="240" w:lineRule="exact"/>
        <w:rPr>
          <w:rFonts w:ascii="Calibri" w:cs="Calibri" w:eastAsia="Calibri" w:hAnsi="Calibri"/>
          <w:sz w:val="18"/>
          <w:szCs w:val="18"/>
          <w:color w:val="auto"/>
        </w:rPr>
      </w:pPr>
    </w:p>
    <w:p>
      <w:pPr>
        <w:ind w:left="363" w:right="1020" w:hanging="363"/>
        <w:spacing w:after="0" w:line="252" w:lineRule="auto"/>
        <w:tabs>
          <w:tab w:leader="none" w:pos="363" w:val="left"/>
        </w:tabs>
        <w:numPr>
          <w:ilvl w:val="0"/>
          <w:numId w:val="89"/>
        </w:numPr>
        <w:rPr>
          <w:rFonts w:ascii="Calibri" w:cs="Calibri" w:eastAsia="Calibri" w:hAnsi="Calibri"/>
          <w:sz w:val="18"/>
          <w:szCs w:val="18"/>
          <w:color w:val="auto"/>
        </w:rPr>
      </w:pPr>
      <w:r>
        <w:rPr>
          <w:rFonts w:ascii="Calibri" w:cs="Calibri" w:eastAsia="Calibri" w:hAnsi="Calibri"/>
          <w:sz w:val="18"/>
          <w:szCs w:val="18"/>
          <w:color w:val="auto"/>
        </w:rPr>
        <w:t>payment defaults and accelerations with respect to other indebtedness of the Company and its Restricted Subsidiaries in the aggregate principal amount of $100.0 million or more;</w:t>
      </w:r>
    </w:p>
    <w:p>
      <w:pPr>
        <w:spacing w:after="0" w:line="230" w:lineRule="exact"/>
        <w:rPr>
          <w:rFonts w:ascii="Calibri" w:cs="Calibri" w:eastAsia="Calibri" w:hAnsi="Calibri"/>
          <w:sz w:val="18"/>
          <w:szCs w:val="18"/>
          <w:color w:val="auto"/>
        </w:rPr>
      </w:pPr>
    </w:p>
    <w:p>
      <w:pPr>
        <w:ind w:left="363" w:right="780" w:hanging="363"/>
        <w:spacing w:after="0" w:line="252" w:lineRule="auto"/>
        <w:tabs>
          <w:tab w:leader="none" w:pos="363" w:val="left"/>
        </w:tabs>
        <w:numPr>
          <w:ilvl w:val="0"/>
          <w:numId w:val="89"/>
        </w:numPr>
        <w:rPr>
          <w:rFonts w:ascii="Calibri" w:cs="Calibri" w:eastAsia="Calibri" w:hAnsi="Calibri"/>
          <w:sz w:val="18"/>
          <w:szCs w:val="18"/>
          <w:color w:val="auto"/>
        </w:rPr>
      </w:pPr>
      <w:r>
        <w:rPr>
          <w:rFonts w:ascii="Calibri" w:cs="Calibri" w:eastAsia="Calibri" w:hAnsi="Calibri"/>
          <w:sz w:val="18"/>
          <w:szCs w:val="18"/>
          <w:color w:val="auto"/>
        </w:rPr>
        <w:t>failure by the Company or any Restricted Subsidiary to pay certain final judgments aggregating in excess of $100.0 million within 60 days;</w:t>
      </w:r>
    </w:p>
    <w:p>
      <w:pPr>
        <w:spacing w:after="0" w:line="230" w:lineRule="exact"/>
        <w:rPr>
          <w:rFonts w:ascii="Calibri" w:cs="Calibri" w:eastAsia="Calibri" w:hAnsi="Calibri"/>
          <w:sz w:val="18"/>
          <w:szCs w:val="18"/>
          <w:color w:val="auto"/>
        </w:rPr>
      </w:pPr>
    </w:p>
    <w:p>
      <w:pPr>
        <w:ind w:left="363" w:right="800" w:hanging="363"/>
        <w:spacing w:after="0" w:line="252" w:lineRule="auto"/>
        <w:tabs>
          <w:tab w:leader="none" w:pos="363" w:val="left"/>
        </w:tabs>
        <w:numPr>
          <w:ilvl w:val="0"/>
          <w:numId w:val="89"/>
        </w:numPr>
        <w:rPr>
          <w:rFonts w:ascii="Calibri" w:cs="Calibri" w:eastAsia="Calibri" w:hAnsi="Calibri"/>
          <w:sz w:val="18"/>
          <w:szCs w:val="18"/>
          <w:color w:val="auto"/>
        </w:rPr>
      </w:pPr>
      <w:r>
        <w:rPr>
          <w:rFonts w:ascii="Calibri" w:cs="Calibri" w:eastAsia="Calibri" w:hAnsi="Calibri"/>
          <w:sz w:val="18"/>
          <w:szCs w:val="18"/>
          <w:color w:val="auto"/>
        </w:rPr>
        <w:t>any subsidiary guarantee by a Guarantor ceases to be in full force and effect, is declared null and void in a judicial proceeding or is denied or disaffirmed by its maker; and</w:t>
      </w:r>
    </w:p>
    <w:p>
      <w:pPr>
        <w:spacing w:after="0" w:line="230" w:lineRule="exact"/>
        <w:rPr>
          <w:rFonts w:ascii="Calibri" w:cs="Calibri" w:eastAsia="Calibri" w:hAnsi="Calibri"/>
          <w:sz w:val="18"/>
          <w:szCs w:val="18"/>
          <w:color w:val="auto"/>
        </w:rPr>
      </w:pPr>
    </w:p>
    <w:p>
      <w:pPr>
        <w:ind w:left="363" w:right="1380" w:hanging="363"/>
        <w:spacing w:after="0" w:line="281" w:lineRule="auto"/>
        <w:tabs>
          <w:tab w:leader="none" w:pos="363" w:val="left"/>
        </w:tabs>
        <w:numPr>
          <w:ilvl w:val="0"/>
          <w:numId w:val="89"/>
        </w:numPr>
        <w:rPr>
          <w:rFonts w:ascii="Calibri" w:cs="Calibri" w:eastAsia="Calibri" w:hAnsi="Calibri"/>
          <w:sz w:val="17"/>
          <w:szCs w:val="17"/>
          <w:color w:val="auto"/>
        </w:rPr>
      </w:pPr>
      <w:r>
        <w:rPr>
          <w:rFonts w:ascii="Calibri" w:cs="Calibri" w:eastAsia="Calibri" w:hAnsi="Calibri"/>
          <w:sz w:val="17"/>
          <w:szCs w:val="17"/>
          <w:color w:val="auto"/>
        </w:rPr>
        <w:t>certain events of bankruptcy or insolvency with respect to the Company or any Restricted Subsidiary that is a Significant Subsidiary or any group of Restricted Subsidiaries that, taken together, would constitute a Significant Subsidiary.</w:t>
      </w:r>
    </w:p>
    <w:p>
      <w:pPr>
        <w:spacing w:after="0" w:line="192" w:lineRule="exact"/>
        <w:rPr>
          <w:sz w:val="20"/>
          <w:szCs w:val="20"/>
          <w:color w:val="auto"/>
        </w:rPr>
      </w:pPr>
    </w:p>
    <w:p>
      <w:pPr>
        <w:ind w:left="3"/>
        <w:spacing w:after="0"/>
        <w:rPr>
          <w:sz w:val="20"/>
          <w:szCs w:val="20"/>
          <w:color w:val="auto"/>
        </w:rPr>
      </w:pPr>
      <w:r>
        <w:rPr>
          <w:rFonts w:ascii="Calibri" w:cs="Calibri" w:eastAsia="Calibri" w:hAnsi="Calibri"/>
          <w:sz w:val="19"/>
          <w:szCs w:val="19"/>
          <w:color w:val="214E93"/>
        </w:rPr>
        <w:t>2032 Notes</w:t>
      </w:r>
    </w:p>
    <w:p>
      <w:pPr>
        <w:spacing w:after="0" w:line="208" w:lineRule="exact"/>
        <w:rPr>
          <w:sz w:val="20"/>
          <w:szCs w:val="20"/>
          <w:color w:val="auto"/>
        </w:rPr>
      </w:pPr>
    </w:p>
    <w:p>
      <w:pPr>
        <w:ind w:left="3" w:right="840" w:firstLine="241"/>
        <w:spacing w:after="0" w:line="264" w:lineRule="auto"/>
        <w:rPr>
          <w:sz w:val="20"/>
          <w:szCs w:val="20"/>
          <w:color w:val="auto"/>
        </w:rPr>
      </w:pPr>
      <w:r>
        <w:rPr>
          <w:rFonts w:ascii="Calibri" w:cs="Calibri" w:eastAsia="Calibri" w:hAnsi="Calibri"/>
          <w:sz w:val="18"/>
          <w:szCs w:val="18"/>
          <w:color w:val="auto"/>
        </w:rPr>
        <w:t>At December 31, 2025, the Company had $900.0 million in outstanding 2032 Notes, which have a 6.50% coupon rate and mature on April 15, 2032. Interest on the 2032 Notes is payable in arrears on each April 15 and October 15. The 2032 Notes are jointly and severally guaranteed on a senior unsecured basis by the Guarantors. San Mateo is not a Restricted Subsidiary (as defined in the indenture governing the 2032 Notes (the “2032 Notes Indenture”)) or Guarantor of the 2032 Notes.</w:t>
      </w:r>
    </w:p>
    <w:p>
      <w:pPr>
        <w:spacing w:after="0" w:line="221" w:lineRule="exact"/>
        <w:rPr>
          <w:sz w:val="20"/>
          <w:szCs w:val="20"/>
          <w:color w:val="auto"/>
        </w:rPr>
      </w:pPr>
    </w:p>
    <w:p>
      <w:pPr>
        <w:ind w:left="3" w:right="880" w:firstLine="241"/>
        <w:spacing w:after="0" w:line="267" w:lineRule="auto"/>
        <w:rPr>
          <w:sz w:val="20"/>
          <w:szCs w:val="20"/>
          <w:color w:val="auto"/>
        </w:rPr>
      </w:pPr>
      <w:r>
        <w:rPr>
          <w:rFonts w:ascii="Calibri" w:cs="Calibri" w:eastAsia="Calibri" w:hAnsi="Calibri"/>
          <w:sz w:val="18"/>
          <w:szCs w:val="18"/>
          <w:color w:val="auto"/>
        </w:rPr>
        <w:t>At any time prior to April 15, 2027, the Company may redeem up to 40% in aggregate principal amount of 2032 Notes at a redemption price of 106.500% of the principal amount thereof, plus accrued and unpaid interest, if any, to the redemption date, in an amount not greater than the net proceeds of certain equity offerings, so long as the redemption occurs within 180 days of completing such equity offering and at least 60% of the aggregate principal amount of the 2032 Notes remains outstanding after such redemption. In addition, at any time prior to April 15, 2027, the Company may redeem all or part of the 2032 Notes for cash at a redemption price equal to 100% of their principal amount plus an applicable make-whole premium and accrued and unpaid interest, if any, to the applicable redemption date.</w:t>
      </w:r>
    </w:p>
    <w:p>
      <w:pPr>
        <w:spacing w:after="0" w:line="220" w:lineRule="exact"/>
        <w:rPr>
          <w:sz w:val="20"/>
          <w:szCs w:val="20"/>
          <w:color w:val="auto"/>
        </w:rPr>
      </w:pPr>
    </w:p>
    <w:p>
      <w:pPr>
        <w:jc w:val="both"/>
        <w:ind w:left="3" w:right="1200" w:firstLine="241"/>
        <w:spacing w:after="0" w:line="283" w:lineRule="auto"/>
        <w:rPr>
          <w:sz w:val="20"/>
          <w:szCs w:val="20"/>
          <w:color w:val="auto"/>
        </w:rPr>
      </w:pPr>
      <w:r>
        <w:rPr>
          <w:rFonts w:ascii="Calibri" w:cs="Calibri" w:eastAsia="Calibri" w:hAnsi="Calibri"/>
          <w:sz w:val="17"/>
          <w:szCs w:val="17"/>
          <w:color w:val="auto"/>
        </w:rPr>
        <w:t>On or after April 15, 2027, the Company may redeem all or a part of the 2032 Notes at any time or from time to time at the following redemption prices (expressed as percentages of the principal amount) plus accrued and unpaid interest, if any, to the applicable redemption date, if redeemed during the twelve-month period beginning on April 15 of the years indicated below:</w:t>
      </w:r>
    </w:p>
    <w:p>
      <w:pPr>
        <w:sectPr>
          <w:pgSz w:w="11880" w:h="15480" w:orient="portrait"/>
          <w:cols w:equalWidth="0" w:num="1">
            <w:col w:w="10343"/>
          </w:cols>
          <w:pgMar w:left="1157" w:top="498"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903"/>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0343"/>
          </w:cols>
          <w:pgMar w:left="1157" w:top="498" w:right="380" w:bottom="0" w:gutter="0" w:footer="0" w:header="0"/>
          <w:type w:val="continuous"/>
        </w:sectPr>
      </w:pPr>
    </w:p>
    <w:bookmarkStart w:id="157" w:name="page158"/>
    <w:bookmarkEnd w:id="157"/>
    <w:p>
      <w:pPr>
        <w:spacing w:after="0"/>
        <w:tabs>
          <w:tab w:leader="none" w:pos="800" w:val="left"/>
        </w:tabs>
        <w:rPr>
          <w:sz w:val="20"/>
          <w:szCs w:val="20"/>
          <w:color w:val="auto"/>
        </w:rPr>
      </w:pPr>
      <w:r>
        <w:rPr>
          <w:rFonts w:ascii="Calibri" w:cs="Calibri" w:eastAsia="Calibri" w:hAnsi="Calibri"/>
          <w:sz w:val="18"/>
          <w:szCs w:val="18"/>
          <w:color w:val="auto"/>
        </w:rPr>
        <w:t>F-27</w:t>
      </w:r>
      <w:r>
        <w:rPr>
          <w:sz w:val="20"/>
          <w:szCs w:val="20"/>
          <w:color w:val="auto"/>
        </w:rPr>
        <w:tab/>
      </w:r>
      <w:r>
        <w:rPr>
          <w:rFonts w:ascii="Calibri" w:cs="Calibri" w:eastAsia="Calibri" w:hAnsi="Calibri"/>
          <w:sz w:val="17"/>
          <w:szCs w:val="17"/>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490220</wp:posOffset>
                </wp:positionH>
                <wp:positionV relativeFrom="paragraph">
                  <wp:posOffset>320675</wp:posOffset>
                </wp:positionV>
                <wp:extent cx="6812280" cy="0"/>
                <wp:wrapNone/>
                <wp:docPr id="312" name="Shape 3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2" o:spid="_x0000_s13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25.25pt" to="57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490220</wp:posOffset>
                </wp:positionH>
                <wp:positionV relativeFrom="paragraph">
                  <wp:posOffset>320675</wp:posOffset>
                </wp:positionV>
                <wp:extent cx="6812280" cy="0"/>
                <wp:wrapNone/>
                <wp:docPr id="313" name="Shape 3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13" o:spid="_x0000_s13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25.25pt" to="57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80"/>
        <w:spacing w:after="0"/>
        <w:rPr>
          <w:sz w:val="20"/>
          <w:szCs w:val="20"/>
          <w:color w:val="auto"/>
        </w:rPr>
      </w:pPr>
      <w:r>
        <w:rPr>
          <w:rFonts w:ascii="Verdana" w:cs="Verdana" w:eastAsia="Verdana" w:hAnsi="Verdana"/>
          <w:sz w:val="20"/>
          <w:szCs w:val="20"/>
          <w:color w:val="214E93"/>
        </w:rPr>
        <w:t>NOTE 7 — DEBT — Continued</w:t>
      </w:r>
    </w:p>
    <w:p>
      <w:pPr>
        <w:spacing w:after="0" w:line="275" w:lineRule="exact"/>
        <w:rPr>
          <w:sz w:val="20"/>
          <w:szCs w:val="20"/>
          <w:color w:val="auto"/>
        </w:rPr>
      </w:pPr>
    </w:p>
    <w:tbl>
      <w:tblPr>
        <w:tblLayout w:type="fixed"/>
        <w:tblInd w:w="1020" w:type="dxa"/>
        <w:tblCellMar>
          <w:top w:w="0" w:type="dxa"/>
          <w:left w:w="0" w:type="dxa"/>
          <w:bottom w:w="0" w:type="dxa"/>
          <w:right w:w="0" w:type="dxa"/>
        </w:tblCellMar>
      </w:tblPr>
      <w:tr>
        <w:trPr>
          <w:trHeight w:val="193"/>
        </w:trPr>
        <w:tc>
          <w:tcPr>
            <w:tcW w:w="4560" w:type="dxa"/>
            <w:vAlign w:val="bottom"/>
            <w:tcBorders>
              <w:bottom w:val="single" w:sz="8" w:color="214E93"/>
            </w:tcBorders>
          </w:tcPr>
          <w:p>
            <w:pPr>
              <w:ind w:left="60"/>
              <w:spacing w:after="0"/>
              <w:rPr>
                <w:sz w:val="20"/>
                <w:szCs w:val="20"/>
                <w:color w:val="auto"/>
              </w:rPr>
            </w:pPr>
            <w:r>
              <w:rPr>
                <w:rFonts w:ascii="Verdana" w:cs="Verdana" w:eastAsia="Verdana" w:hAnsi="Verdana"/>
                <w:sz w:val="14"/>
                <w:szCs w:val="14"/>
                <w:color w:val="auto"/>
              </w:rPr>
              <w:t>Year</w:t>
            </w:r>
          </w:p>
        </w:tc>
        <w:tc>
          <w:tcPr>
            <w:tcW w:w="4520" w:type="dxa"/>
            <w:vAlign w:val="bottom"/>
            <w:tcBorders>
              <w:bottom w:val="single" w:sz="8" w:color="214E93"/>
            </w:tcBorders>
          </w:tcPr>
          <w:p>
            <w:pPr>
              <w:jc w:val="right"/>
              <w:ind w:right="304"/>
              <w:spacing w:after="0"/>
              <w:rPr>
                <w:sz w:val="20"/>
                <w:szCs w:val="20"/>
                <w:color w:val="auto"/>
              </w:rPr>
            </w:pPr>
            <w:r>
              <w:rPr>
                <w:rFonts w:ascii="Verdana" w:cs="Verdana" w:eastAsia="Verdana" w:hAnsi="Verdana"/>
                <w:sz w:val="14"/>
                <w:szCs w:val="14"/>
                <w:color w:val="auto"/>
              </w:rPr>
              <w:t>Redemption Price</w:t>
            </w:r>
          </w:p>
        </w:tc>
      </w:tr>
      <w:tr>
        <w:trPr>
          <w:trHeight w:val="284"/>
        </w:trPr>
        <w:tc>
          <w:tcPr>
            <w:tcW w:w="4560" w:type="dxa"/>
            <w:vAlign w:val="bottom"/>
          </w:tcPr>
          <w:p>
            <w:pPr>
              <w:ind w:left="60"/>
              <w:spacing w:after="0"/>
              <w:rPr>
                <w:sz w:val="20"/>
                <w:szCs w:val="20"/>
                <w:color w:val="auto"/>
              </w:rPr>
            </w:pPr>
            <w:r>
              <w:rPr>
                <w:rFonts w:ascii="Verdana" w:cs="Verdana" w:eastAsia="Verdana" w:hAnsi="Verdana"/>
                <w:sz w:val="16"/>
                <w:szCs w:val="16"/>
                <w:color w:val="auto"/>
              </w:rPr>
              <w:t>2027</w:t>
            </w:r>
          </w:p>
        </w:tc>
        <w:tc>
          <w:tcPr>
            <w:tcW w:w="4520" w:type="dxa"/>
            <w:vAlign w:val="bottom"/>
          </w:tcPr>
          <w:p>
            <w:pPr>
              <w:jc w:val="right"/>
              <w:spacing w:after="0"/>
              <w:rPr>
                <w:sz w:val="20"/>
                <w:szCs w:val="20"/>
                <w:color w:val="auto"/>
              </w:rPr>
            </w:pPr>
            <w:r>
              <w:rPr>
                <w:rFonts w:ascii="Verdana" w:cs="Verdana" w:eastAsia="Verdana" w:hAnsi="Verdana"/>
                <w:sz w:val="16"/>
                <w:szCs w:val="16"/>
                <w:color w:val="auto"/>
              </w:rPr>
              <w:t>103.250 %</w:t>
            </w:r>
          </w:p>
        </w:tc>
      </w:tr>
      <w:tr>
        <w:trPr>
          <w:trHeight w:val="310"/>
        </w:trPr>
        <w:tc>
          <w:tcPr>
            <w:tcW w:w="4560" w:type="dxa"/>
            <w:vAlign w:val="bottom"/>
          </w:tcPr>
          <w:p>
            <w:pPr>
              <w:ind w:left="60"/>
              <w:spacing w:after="0"/>
              <w:rPr>
                <w:sz w:val="20"/>
                <w:szCs w:val="20"/>
                <w:color w:val="auto"/>
              </w:rPr>
            </w:pPr>
            <w:r>
              <w:rPr>
                <w:rFonts w:ascii="Verdana" w:cs="Verdana" w:eastAsia="Verdana" w:hAnsi="Verdana"/>
                <w:sz w:val="16"/>
                <w:szCs w:val="16"/>
                <w:color w:val="auto"/>
              </w:rPr>
              <w:t>2028</w:t>
            </w:r>
          </w:p>
        </w:tc>
        <w:tc>
          <w:tcPr>
            <w:tcW w:w="4520" w:type="dxa"/>
            <w:vAlign w:val="bottom"/>
          </w:tcPr>
          <w:p>
            <w:pPr>
              <w:jc w:val="right"/>
              <w:spacing w:after="0"/>
              <w:rPr>
                <w:sz w:val="20"/>
                <w:szCs w:val="20"/>
                <w:color w:val="auto"/>
              </w:rPr>
            </w:pPr>
            <w:r>
              <w:rPr>
                <w:rFonts w:ascii="Verdana" w:cs="Verdana" w:eastAsia="Verdana" w:hAnsi="Verdana"/>
                <w:sz w:val="16"/>
                <w:szCs w:val="16"/>
                <w:color w:val="auto"/>
              </w:rPr>
              <w:t>101.625 %</w:t>
            </w:r>
          </w:p>
        </w:tc>
      </w:tr>
      <w:tr>
        <w:trPr>
          <w:trHeight w:val="310"/>
        </w:trPr>
        <w:tc>
          <w:tcPr>
            <w:tcW w:w="4560" w:type="dxa"/>
            <w:vAlign w:val="bottom"/>
          </w:tcPr>
          <w:p>
            <w:pPr>
              <w:ind w:left="60"/>
              <w:spacing w:after="0"/>
              <w:rPr>
                <w:sz w:val="20"/>
                <w:szCs w:val="20"/>
                <w:color w:val="auto"/>
              </w:rPr>
            </w:pPr>
            <w:r>
              <w:rPr>
                <w:rFonts w:ascii="Verdana" w:cs="Verdana" w:eastAsia="Verdana" w:hAnsi="Verdana"/>
                <w:sz w:val="16"/>
                <w:szCs w:val="16"/>
                <w:color w:val="auto"/>
              </w:rPr>
              <w:t>2029 and thereafter</w:t>
            </w:r>
          </w:p>
        </w:tc>
        <w:tc>
          <w:tcPr>
            <w:tcW w:w="4520" w:type="dxa"/>
            <w:vAlign w:val="bottom"/>
          </w:tcPr>
          <w:p>
            <w:pPr>
              <w:jc w:val="right"/>
              <w:spacing w:after="0"/>
              <w:rPr>
                <w:sz w:val="20"/>
                <w:szCs w:val="20"/>
                <w:color w:val="auto"/>
              </w:rPr>
            </w:pPr>
            <w:r>
              <w:rPr>
                <w:rFonts w:ascii="Verdana" w:cs="Verdana" w:eastAsia="Verdana" w:hAnsi="Verdana"/>
                <w:sz w:val="16"/>
                <w:szCs w:val="16"/>
                <w:color w:val="auto"/>
              </w:rPr>
              <w:t>100.000 %</w:t>
            </w:r>
          </w:p>
        </w:tc>
      </w:tr>
    </w:tbl>
    <w:p>
      <w:pPr>
        <w:spacing w:after="0" w:line="274" w:lineRule="exact"/>
        <w:rPr>
          <w:sz w:val="20"/>
          <w:szCs w:val="20"/>
          <w:color w:val="auto"/>
        </w:rPr>
      </w:pPr>
    </w:p>
    <w:p>
      <w:pPr>
        <w:ind w:left="780" w:right="200" w:firstLine="241"/>
        <w:spacing w:after="0" w:line="252" w:lineRule="auto"/>
        <w:rPr>
          <w:sz w:val="20"/>
          <w:szCs w:val="20"/>
          <w:color w:val="auto"/>
        </w:rPr>
      </w:pPr>
      <w:r>
        <w:rPr>
          <w:rFonts w:ascii="Calibri" w:cs="Calibri" w:eastAsia="Calibri" w:hAnsi="Calibri"/>
          <w:sz w:val="18"/>
          <w:szCs w:val="18"/>
          <w:color w:val="auto"/>
        </w:rPr>
        <w:t>Subject to certain exceptions, the 2032 Notes Indenture contains various covenants that limit the Company’s and its Restricted Subsidiaries’ ability to take certain actions, including the following:</w:t>
      </w:r>
    </w:p>
    <w:p>
      <w:pPr>
        <w:spacing w:after="0" w:line="213" w:lineRule="exact"/>
        <w:rPr>
          <w:sz w:val="20"/>
          <w:szCs w:val="20"/>
          <w:color w:val="auto"/>
        </w:rPr>
      </w:pPr>
    </w:p>
    <w:p>
      <w:pPr>
        <w:ind w:left="780"/>
        <w:spacing w:after="0"/>
        <w:tabs>
          <w:tab w:leader="none" w:pos="1120" w:val="left"/>
        </w:tabs>
        <w:rPr>
          <w:sz w:val="20"/>
          <w:szCs w:val="20"/>
          <w:color w:val="auto"/>
        </w:rPr>
      </w:pP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incur additional indebtedness;</w:t>
      </w:r>
    </w:p>
    <w:p>
      <w:pPr>
        <w:spacing w:after="0" w:line="224" w:lineRule="exact"/>
        <w:rPr>
          <w:sz w:val="20"/>
          <w:szCs w:val="20"/>
          <w:color w:val="auto"/>
        </w:rPr>
      </w:pPr>
    </w:p>
    <w:p>
      <w:pPr>
        <w:ind w:left="780"/>
        <w:spacing w:after="0"/>
        <w:tabs>
          <w:tab w:leader="none" w:pos="1120" w:val="left"/>
        </w:tabs>
        <w:rPr>
          <w:sz w:val="20"/>
          <w:szCs w:val="20"/>
          <w:color w:val="auto"/>
        </w:rPr>
      </w:pP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sell assets;</w:t>
      </w:r>
    </w:p>
    <w:p>
      <w:pPr>
        <w:spacing w:after="0" w:line="224" w:lineRule="exact"/>
        <w:rPr>
          <w:sz w:val="20"/>
          <w:szCs w:val="20"/>
          <w:color w:val="auto"/>
        </w:rPr>
      </w:pPr>
    </w:p>
    <w:p>
      <w:pPr>
        <w:ind w:left="780"/>
        <w:spacing w:after="0"/>
        <w:tabs>
          <w:tab w:leader="none" w:pos="1120" w:val="left"/>
        </w:tabs>
        <w:rPr>
          <w:sz w:val="20"/>
          <w:szCs w:val="20"/>
          <w:color w:val="auto"/>
        </w:rPr>
      </w:pP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pay dividends or make certain investments;</w:t>
      </w:r>
    </w:p>
    <w:p>
      <w:pPr>
        <w:spacing w:after="0" w:line="224" w:lineRule="exact"/>
        <w:rPr>
          <w:sz w:val="20"/>
          <w:szCs w:val="20"/>
          <w:color w:val="auto"/>
        </w:rPr>
      </w:pPr>
    </w:p>
    <w:p>
      <w:pPr>
        <w:ind w:left="780"/>
        <w:spacing w:after="0"/>
        <w:tabs>
          <w:tab w:leader="none" w:pos="1120" w:val="left"/>
        </w:tabs>
        <w:rPr>
          <w:sz w:val="20"/>
          <w:szCs w:val="20"/>
          <w:color w:val="auto"/>
        </w:rPr>
      </w:pP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create liens that secure indebtedness;</w:t>
      </w:r>
    </w:p>
    <w:p>
      <w:pPr>
        <w:spacing w:after="0" w:line="224" w:lineRule="exact"/>
        <w:rPr>
          <w:sz w:val="20"/>
          <w:szCs w:val="20"/>
          <w:color w:val="auto"/>
        </w:rPr>
      </w:pPr>
    </w:p>
    <w:p>
      <w:pPr>
        <w:ind w:left="780"/>
        <w:spacing w:after="0"/>
        <w:tabs>
          <w:tab w:leader="none" w:pos="1120" w:val="left"/>
        </w:tabs>
        <w:rPr>
          <w:sz w:val="20"/>
          <w:szCs w:val="20"/>
          <w:color w:val="auto"/>
        </w:rPr>
      </w:pP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enter into transactions with affiliates; and</w:t>
      </w:r>
    </w:p>
    <w:p>
      <w:pPr>
        <w:spacing w:after="0" w:line="224" w:lineRule="exact"/>
        <w:rPr>
          <w:sz w:val="20"/>
          <w:szCs w:val="20"/>
          <w:color w:val="auto"/>
        </w:rPr>
      </w:pPr>
    </w:p>
    <w:p>
      <w:pPr>
        <w:ind w:left="780"/>
        <w:spacing w:after="0"/>
        <w:tabs>
          <w:tab w:leader="none" w:pos="1120" w:val="left"/>
        </w:tabs>
        <w:rPr>
          <w:sz w:val="20"/>
          <w:szCs w:val="20"/>
          <w:color w:val="auto"/>
        </w:rPr>
      </w:pP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merge or consolidate with another company.</w:t>
      </w:r>
    </w:p>
    <w:p>
      <w:pPr>
        <w:spacing w:after="0" w:line="241" w:lineRule="exact"/>
        <w:rPr>
          <w:sz w:val="20"/>
          <w:szCs w:val="20"/>
          <w:color w:val="auto"/>
        </w:rPr>
      </w:pPr>
    </w:p>
    <w:p>
      <w:pPr>
        <w:ind w:left="780" w:right="60" w:firstLine="241"/>
        <w:spacing w:after="0" w:line="267" w:lineRule="auto"/>
        <w:rPr>
          <w:sz w:val="20"/>
          <w:szCs w:val="20"/>
          <w:color w:val="auto"/>
        </w:rPr>
      </w:pPr>
      <w:r>
        <w:rPr>
          <w:rFonts w:ascii="Calibri" w:cs="Calibri" w:eastAsia="Calibri" w:hAnsi="Calibri"/>
          <w:sz w:val="18"/>
          <w:szCs w:val="18"/>
          <w:color w:val="auto"/>
        </w:rPr>
        <w:t>In the case of an event of default arising from certain events of bankruptcy or insolvency with respect to Matador, any Restricted Subsidiary (as defined in the 2032 Notes Indenture) that is a Significant Subsidiary (as defined in the 2032 Notes Indenture) or any group of Restricted Subsidiaries that, taken together, would constitute a Significant Subsidiary, all outstanding 2032 Notes will become due and payable immediately without further action or notice. If any other event of default occurs and is continuing, the trustee or the holders of at least 25% in principal amount of the then outstanding 2032 Notes may declare all the 2032 Notes to be due and payable immediately. Events of default include the following:</w:t>
      </w:r>
    </w:p>
    <w:p>
      <w:pPr>
        <w:spacing w:after="0" w:line="200" w:lineRule="exact"/>
        <w:rPr>
          <w:sz w:val="20"/>
          <w:szCs w:val="20"/>
          <w:color w:val="auto"/>
        </w:rPr>
      </w:pPr>
    </w:p>
    <w:p>
      <w:pPr>
        <w:ind w:left="1140" w:hanging="363"/>
        <w:spacing w:after="0"/>
        <w:tabs>
          <w:tab w:leader="none" w:pos="1140" w:val="left"/>
        </w:tabs>
        <w:numPr>
          <w:ilvl w:val="0"/>
          <w:numId w:val="90"/>
        </w:numPr>
        <w:rPr>
          <w:rFonts w:ascii="Calibri" w:cs="Calibri" w:eastAsia="Calibri" w:hAnsi="Calibri"/>
          <w:sz w:val="18"/>
          <w:szCs w:val="18"/>
          <w:color w:val="auto"/>
        </w:rPr>
      </w:pPr>
      <w:r>
        <w:rPr>
          <w:rFonts w:ascii="Calibri" w:cs="Calibri" w:eastAsia="Calibri" w:hAnsi="Calibri"/>
          <w:sz w:val="18"/>
          <w:szCs w:val="18"/>
          <w:color w:val="auto"/>
        </w:rPr>
        <w:t>default for 30 days in the payment when due of interest on the 2032 Notes;</w:t>
      </w:r>
    </w:p>
    <w:p>
      <w:pPr>
        <w:spacing w:after="0" w:line="223" w:lineRule="exact"/>
        <w:rPr>
          <w:rFonts w:ascii="Calibri" w:cs="Calibri" w:eastAsia="Calibri" w:hAnsi="Calibri"/>
          <w:sz w:val="18"/>
          <w:szCs w:val="18"/>
          <w:color w:val="auto"/>
        </w:rPr>
      </w:pPr>
    </w:p>
    <w:p>
      <w:pPr>
        <w:ind w:left="1140" w:hanging="363"/>
        <w:spacing w:after="0"/>
        <w:tabs>
          <w:tab w:leader="none" w:pos="1140" w:val="left"/>
        </w:tabs>
        <w:numPr>
          <w:ilvl w:val="0"/>
          <w:numId w:val="90"/>
        </w:numPr>
        <w:rPr>
          <w:rFonts w:ascii="Calibri" w:cs="Calibri" w:eastAsia="Calibri" w:hAnsi="Calibri"/>
          <w:sz w:val="18"/>
          <w:szCs w:val="18"/>
          <w:color w:val="auto"/>
        </w:rPr>
      </w:pPr>
      <w:r>
        <w:rPr>
          <w:rFonts w:ascii="Calibri" w:cs="Calibri" w:eastAsia="Calibri" w:hAnsi="Calibri"/>
          <w:sz w:val="18"/>
          <w:szCs w:val="18"/>
          <w:color w:val="auto"/>
        </w:rPr>
        <w:t>default in the payment when due of the principal of, or premium, if any, on the 2032 Notes;</w:t>
      </w:r>
    </w:p>
    <w:p>
      <w:pPr>
        <w:spacing w:after="0" w:line="240" w:lineRule="exact"/>
        <w:rPr>
          <w:rFonts w:ascii="Calibri" w:cs="Calibri" w:eastAsia="Calibri" w:hAnsi="Calibri"/>
          <w:sz w:val="18"/>
          <w:szCs w:val="18"/>
          <w:color w:val="auto"/>
        </w:rPr>
      </w:pPr>
    </w:p>
    <w:p>
      <w:pPr>
        <w:ind w:left="1140" w:right="240" w:hanging="363"/>
        <w:spacing w:after="0" w:line="252" w:lineRule="auto"/>
        <w:tabs>
          <w:tab w:leader="none" w:pos="1140" w:val="left"/>
        </w:tabs>
        <w:numPr>
          <w:ilvl w:val="0"/>
          <w:numId w:val="90"/>
        </w:numPr>
        <w:rPr>
          <w:rFonts w:ascii="Calibri" w:cs="Calibri" w:eastAsia="Calibri" w:hAnsi="Calibri"/>
          <w:sz w:val="18"/>
          <w:szCs w:val="18"/>
          <w:color w:val="auto"/>
        </w:rPr>
      </w:pPr>
      <w:r>
        <w:rPr>
          <w:rFonts w:ascii="Calibri" w:cs="Calibri" w:eastAsia="Calibri" w:hAnsi="Calibri"/>
          <w:sz w:val="18"/>
          <w:szCs w:val="18"/>
          <w:color w:val="auto"/>
        </w:rPr>
        <w:t>failure by the Company to comply with its obligations to offer to purchase or purchase 2032 Notes pursuant to the change of control or asset sale covenants of the 2032 Notes Indenture or to comply with the covenant relating to mergers;</w:t>
      </w:r>
    </w:p>
    <w:p>
      <w:pPr>
        <w:spacing w:after="0" w:line="213" w:lineRule="exact"/>
        <w:rPr>
          <w:rFonts w:ascii="Calibri" w:cs="Calibri" w:eastAsia="Calibri" w:hAnsi="Calibri"/>
          <w:sz w:val="18"/>
          <w:szCs w:val="18"/>
          <w:color w:val="auto"/>
        </w:rPr>
      </w:pPr>
    </w:p>
    <w:p>
      <w:pPr>
        <w:ind w:left="1140" w:hanging="363"/>
        <w:spacing w:after="0"/>
        <w:tabs>
          <w:tab w:leader="none" w:pos="1140" w:val="left"/>
        </w:tabs>
        <w:numPr>
          <w:ilvl w:val="0"/>
          <w:numId w:val="90"/>
        </w:numPr>
        <w:rPr>
          <w:rFonts w:ascii="Calibri" w:cs="Calibri" w:eastAsia="Calibri" w:hAnsi="Calibri"/>
          <w:sz w:val="18"/>
          <w:szCs w:val="18"/>
          <w:color w:val="auto"/>
        </w:rPr>
      </w:pPr>
      <w:r>
        <w:rPr>
          <w:rFonts w:ascii="Calibri" w:cs="Calibri" w:eastAsia="Calibri" w:hAnsi="Calibri"/>
          <w:sz w:val="18"/>
          <w:szCs w:val="18"/>
          <w:color w:val="auto"/>
        </w:rPr>
        <w:t>failure by the Company for 180 days after notice to comply with its reporting obligations under the 2032 Notes Indenture;</w:t>
      </w:r>
    </w:p>
    <w:p>
      <w:pPr>
        <w:spacing w:after="0" w:line="223" w:lineRule="exact"/>
        <w:rPr>
          <w:rFonts w:ascii="Calibri" w:cs="Calibri" w:eastAsia="Calibri" w:hAnsi="Calibri"/>
          <w:sz w:val="18"/>
          <w:szCs w:val="18"/>
          <w:color w:val="auto"/>
        </w:rPr>
      </w:pPr>
    </w:p>
    <w:p>
      <w:pPr>
        <w:ind w:left="1140" w:hanging="363"/>
        <w:spacing w:after="0"/>
        <w:tabs>
          <w:tab w:leader="none" w:pos="1140" w:val="left"/>
        </w:tabs>
        <w:numPr>
          <w:ilvl w:val="0"/>
          <w:numId w:val="90"/>
        </w:numPr>
        <w:rPr>
          <w:rFonts w:ascii="Calibri" w:cs="Calibri" w:eastAsia="Calibri" w:hAnsi="Calibri"/>
          <w:sz w:val="18"/>
          <w:szCs w:val="18"/>
          <w:color w:val="auto"/>
        </w:rPr>
      </w:pPr>
      <w:r>
        <w:rPr>
          <w:rFonts w:ascii="Calibri" w:cs="Calibri" w:eastAsia="Calibri" w:hAnsi="Calibri"/>
          <w:sz w:val="18"/>
          <w:szCs w:val="18"/>
          <w:color w:val="auto"/>
        </w:rPr>
        <w:t>failure by the Company for 60 days after notice to comply with any of the other agreements in the 2032 Notes Indenture;</w:t>
      </w:r>
    </w:p>
    <w:p>
      <w:pPr>
        <w:spacing w:after="0" w:line="240" w:lineRule="exact"/>
        <w:rPr>
          <w:rFonts w:ascii="Calibri" w:cs="Calibri" w:eastAsia="Calibri" w:hAnsi="Calibri"/>
          <w:sz w:val="18"/>
          <w:szCs w:val="18"/>
          <w:color w:val="auto"/>
        </w:rPr>
      </w:pPr>
    </w:p>
    <w:p>
      <w:pPr>
        <w:ind w:left="1140" w:right="240" w:hanging="363"/>
        <w:spacing w:after="0" w:line="252" w:lineRule="auto"/>
        <w:tabs>
          <w:tab w:leader="none" w:pos="1140" w:val="left"/>
        </w:tabs>
        <w:numPr>
          <w:ilvl w:val="0"/>
          <w:numId w:val="90"/>
        </w:numPr>
        <w:rPr>
          <w:rFonts w:ascii="Calibri" w:cs="Calibri" w:eastAsia="Calibri" w:hAnsi="Calibri"/>
          <w:sz w:val="18"/>
          <w:szCs w:val="18"/>
          <w:color w:val="auto"/>
        </w:rPr>
      </w:pPr>
      <w:r>
        <w:rPr>
          <w:rFonts w:ascii="Calibri" w:cs="Calibri" w:eastAsia="Calibri" w:hAnsi="Calibri"/>
          <w:sz w:val="18"/>
          <w:szCs w:val="18"/>
          <w:color w:val="auto"/>
        </w:rPr>
        <w:t>payment defaults and accelerations with respect to other indebtedness of the Company and its Restricted Subsidiaries in the aggregate principal amount of $100.0 million or more;</w:t>
      </w:r>
    </w:p>
    <w:p>
      <w:pPr>
        <w:spacing w:after="0" w:line="230" w:lineRule="exact"/>
        <w:rPr>
          <w:rFonts w:ascii="Calibri" w:cs="Calibri" w:eastAsia="Calibri" w:hAnsi="Calibri"/>
          <w:sz w:val="18"/>
          <w:szCs w:val="18"/>
          <w:color w:val="auto"/>
        </w:rPr>
      </w:pPr>
    </w:p>
    <w:p>
      <w:pPr>
        <w:ind w:left="1140" w:hanging="363"/>
        <w:spacing w:after="0" w:line="252" w:lineRule="auto"/>
        <w:tabs>
          <w:tab w:leader="none" w:pos="1140" w:val="left"/>
        </w:tabs>
        <w:numPr>
          <w:ilvl w:val="0"/>
          <w:numId w:val="90"/>
        </w:numPr>
        <w:rPr>
          <w:rFonts w:ascii="Calibri" w:cs="Calibri" w:eastAsia="Calibri" w:hAnsi="Calibri"/>
          <w:sz w:val="18"/>
          <w:szCs w:val="18"/>
          <w:color w:val="auto"/>
        </w:rPr>
      </w:pPr>
      <w:r>
        <w:rPr>
          <w:rFonts w:ascii="Calibri" w:cs="Calibri" w:eastAsia="Calibri" w:hAnsi="Calibri"/>
          <w:sz w:val="18"/>
          <w:szCs w:val="18"/>
          <w:color w:val="auto"/>
        </w:rPr>
        <w:t>failure by the Company or any Restricted Subsidiary to pay certain final judgments aggregating in excess of $100.0 million within 60 days;</w:t>
      </w:r>
    </w:p>
    <w:p>
      <w:pPr>
        <w:spacing w:after="0" w:line="230" w:lineRule="exact"/>
        <w:rPr>
          <w:rFonts w:ascii="Calibri" w:cs="Calibri" w:eastAsia="Calibri" w:hAnsi="Calibri"/>
          <w:sz w:val="18"/>
          <w:szCs w:val="18"/>
          <w:color w:val="auto"/>
        </w:rPr>
      </w:pPr>
    </w:p>
    <w:p>
      <w:pPr>
        <w:ind w:left="1140" w:right="20" w:hanging="363"/>
        <w:spacing w:after="0" w:line="252" w:lineRule="auto"/>
        <w:tabs>
          <w:tab w:leader="none" w:pos="1140" w:val="left"/>
        </w:tabs>
        <w:numPr>
          <w:ilvl w:val="0"/>
          <w:numId w:val="90"/>
        </w:numPr>
        <w:rPr>
          <w:rFonts w:ascii="Calibri" w:cs="Calibri" w:eastAsia="Calibri" w:hAnsi="Calibri"/>
          <w:sz w:val="18"/>
          <w:szCs w:val="18"/>
          <w:color w:val="auto"/>
        </w:rPr>
      </w:pPr>
      <w:r>
        <w:rPr>
          <w:rFonts w:ascii="Calibri" w:cs="Calibri" w:eastAsia="Calibri" w:hAnsi="Calibri"/>
          <w:sz w:val="18"/>
          <w:szCs w:val="18"/>
          <w:color w:val="auto"/>
        </w:rPr>
        <w:t>any subsidiary guarantee by a Guarantor ceases to be in full force and effect, is declared null and void in a judicial proceeding or is denied or disaffirmed by its maker; and</w:t>
      </w:r>
    </w:p>
    <w:p>
      <w:pPr>
        <w:spacing w:after="0" w:line="230" w:lineRule="exact"/>
        <w:rPr>
          <w:rFonts w:ascii="Calibri" w:cs="Calibri" w:eastAsia="Calibri" w:hAnsi="Calibri"/>
          <w:sz w:val="18"/>
          <w:szCs w:val="18"/>
          <w:color w:val="auto"/>
        </w:rPr>
      </w:pPr>
    </w:p>
    <w:p>
      <w:pPr>
        <w:ind w:left="1140" w:right="600" w:hanging="363"/>
        <w:spacing w:after="0" w:line="281" w:lineRule="auto"/>
        <w:tabs>
          <w:tab w:leader="none" w:pos="1140" w:val="left"/>
        </w:tabs>
        <w:numPr>
          <w:ilvl w:val="0"/>
          <w:numId w:val="90"/>
        </w:numPr>
        <w:rPr>
          <w:rFonts w:ascii="Calibri" w:cs="Calibri" w:eastAsia="Calibri" w:hAnsi="Calibri"/>
          <w:sz w:val="17"/>
          <w:szCs w:val="17"/>
          <w:color w:val="auto"/>
        </w:rPr>
      </w:pPr>
      <w:r>
        <w:rPr>
          <w:rFonts w:ascii="Calibri" w:cs="Calibri" w:eastAsia="Calibri" w:hAnsi="Calibri"/>
          <w:sz w:val="17"/>
          <w:szCs w:val="17"/>
          <w:color w:val="auto"/>
        </w:rPr>
        <w:t>certain events of bankruptcy or insolvency with respect to the Company or any Restricted Subsidiary that is a Significant Subsidiary or any group of Restricted Subsidiaries that, taken together, would constitute a Significant Subsidiary.</w:t>
      </w:r>
    </w:p>
    <w:p>
      <w:pPr>
        <w:sectPr>
          <w:pgSz w:w="11880" w:h="15480" w:orient="portrait"/>
          <w:cols w:equalWidth="0" w:num="1">
            <w:col w:w="10340"/>
          </w:cols>
          <w:pgMar w:left="38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00"/>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0340"/>
          </w:cols>
          <w:pgMar w:left="380" w:top="498" w:right="1160" w:bottom="0" w:gutter="0" w:footer="0" w:header="0"/>
          <w:type w:val="continuous"/>
        </w:sectPr>
      </w:pPr>
    </w:p>
    <w:bookmarkStart w:id="158" w:name="page159"/>
    <w:bookmarkEnd w:id="158"/>
    <w:tbl>
      <w:tblPr>
        <w:tblLayout w:type="fixed"/>
        <w:tblInd w:w="7883" w:type="dxa"/>
        <w:tblCellMar>
          <w:top w:w="0" w:type="dxa"/>
          <w:left w:w="0" w:type="dxa"/>
          <w:bottom w:w="0" w:type="dxa"/>
          <w:right w:w="0" w:type="dxa"/>
        </w:tblCellMar>
      </w:tblPr>
      <w:tr>
        <w:trPr>
          <w:trHeight w:val="220"/>
        </w:trPr>
        <w:tc>
          <w:tcPr>
            <w:tcW w:w="188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580" w:type="dxa"/>
            <w:vAlign w:val="bottom"/>
          </w:tcPr>
          <w:p>
            <w:pPr>
              <w:ind w:left="260"/>
              <w:spacing w:after="0"/>
              <w:rPr>
                <w:sz w:val="20"/>
                <w:szCs w:val="20"/>
                <w:color w:val="auto"/>
              </w:rPr>
            </w:pPr>
            <w:r>
              <w:rPr>
                <w:rFonts w:ascii="Calibri" w:cs="Calibri" w:eastAsia="Calibri" w:hAnsi="Calibri"/>
                <w:sz w:val="18"/>
                <w:szCs w:val="18"/>
                <w:color w:val="auto"/>
                <w:w w:val="93"/>
              </w:rPr>
              <w:t>F-28</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-734695</wp:posOffset>
                </wp:positionH>
                <wp:positionV relativeFrom="paragraph">
                  <wp:posOffset>320675</wp:posOffset>
                </wp:positionV>
                <wp:extent cx="6811645" cy="0"/>
                <wp:wrapNone/>
                <wp:docPr id="314" name="Shape 3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4" o:spid="_x0000_s13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8499pt,25.25pt" to="478.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-734695</wp:posOffset>
                </wp:positionH>
                <wp:positionV relativeFrom="paragraph">
                  <wp:posOffset>320675</wp:posOffset>
                </wp:positionV>
                <wp:extent cx="6811645" cy="0"/>
                <wp:wrapNone/>
                <wp:docPr id="315" name="Shape 3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15" o:spid="_x0000_s13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8499pt,25.25pt" to="478.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
        <w:spacing w:after="0"/>
        <w:rPr>
          <w:sz w:val="20"/>
          <w:szCs w:val="20"/>
          <w:color w:val="auto"/>
        </w:rPr>
      </w:pPr>
      <w:r>
        <w:rPr>
          <w:rFonts w:ascii="Verdana" w:cs="Verdana" w:eastAsia="Verdana" w:hAnsi="Verdana"/>
          <w:sz w:val="20"/>
          <w:szCs w:val="20"/>
          <w:color w:val="214E93"/>
        </w:rPr>
        <w:t>NOTE 7 — DEBT — Continued</w:t>
      </w:r>
    </w:p>
    <w:p>
      <w:pPr>
        <w:spacing w:after="0" w:line="196" w:lineRule="exact"/>
        <w:rPr>
          <w:sz w:val="20"/>
          <w:szCs w:val="20"/>
          <w:color w:val="auto"/>
        </w:rPr>
      </w:pPr>
    </w:p>
    <w:p>
      <w:pPr>
        <w:ind w:left="3"/>
        <w:spacing w:after="0"/>
        <w:rPr>
          <w:sz w:val="20"/>
          <w:szCs w:val="20"/>
          <w:color w:val="auto"/>
        </w:rPr>
      </w:pPr>
      <w:r>
        <w:rPr>
          <w:rFonts w:ascii="Calibri" w:cs="Calibri" w:eastAsia="Calibri" w:hAnsi="Calibri"/>
          <w:sz w:val="19"/>
          <w:szCs w:val="19"/>
          <w:color w:val="214E93"/>
        </w:rPr>
        <w:t>2033 Notes</w:t>
      </w:r>
    </w:p>
    <w:p>
      <w:pPr>
        <w:spacing w:after="0" w:line="208" w:lineRule="exact"/>
        <w:rPr>
          <w:sz w:val="20"/>
          <w:szCs w:val="20"/>
          <w:color w:val="auto"/>
        </w:rPr>
      </w:pPr>
    </w:p>
    <w:p>
      <w:pPr>
        <w:ind w:left="3" w:right="840" w:firstLine="241"/>
        <w:spacing w:after="0" w:line="264" w:lineRule="auto"/>
        <w:rPr>
          <w:sz w:val="20"/>
          <w:szCs w:val="20"/>
          <w:color w:val="auto"/>
        </w:rPr>
      </w:pPr>
      <w:r>
        <w:rPr>
          <w:rFonts w:ascii="Calibri" w:cs="Calibri" w:eastAsia="Calibri" w:hAnsi="Calibri"/>
          <w:sz w:val="18"/>
          <w:szCs w:val="18"/>
          <w:color w:val="auto"/>
        </w:rPr>
        <w:t>At December 31, 2025, the Company had $750.0 million in outstanding 2033 Notes, which have a 6.25% coupon rate and mature on April 15, 2033. Interest on the 2033 Notes is payable in arrears on each April 15 and October 15. The 2033 Notes are jointly and severally guaranteed on a senior unsecured basis by the Guarantors. San Mateo is not a Restricted Subsidiary (as defined in the indenture governing the 2033 Notes (the “2033 Notes Indenture”)) or Guarantor of the 2033 Notes.</w:t>
      </w:r>
    </w:p>
    <w:p>
      <w:pPr>
        <w:spacing w:after="0" w:line="221" w:lineRule="exact"/>
        <w:rPr>
          <w:sz w:val="20"/>
          <w:szCs w:val="20"/>
          <w:color w:val="auto"/>
        </w:rPr>
      </w:pPr>
    </w:p>
    <w:p>
      <w:pPr>
        <w:ind w:left="3" w:right="880" w:firstLine="241"/>
        <w:spacing w:after="0" w:line="267" w:lineRule="auto"/>
        <w:rPr>
          <w:sz w:val="20"/>
          <w:szCs w:val="20"/>
          <w:color w:val="auto"/>
        </w:rPr>
      </w:pPr>
      <w:r>
        <w:rPr>
          <w:rFonts w:ascii="Calibri" w:cs="Calibri" w:eastAsia="Calibri" w:hAnsi="Calibri"/>
          <w:sz w:val="18"/>
          <w:szCs w:val="18"/>
          <w:color w:val="auto"/>
        </w:rPr>
        <w:t>At any time prior to April 15, 2028, the Company may redeem up to 40% in aggregate principal amount of 2033 Notes at a redemption price of 106.250% of the principal amount thereof, plus accrued and unpaid interest, if any, to the redemption date, in an amount not greater than the net proceeds of certain equity offerings, so long as the redemption occurs within 180 days of completing such equity offering and at least 60% of the aggregate principal amount of the 2033 Notes remains outstanding after such redemption. In addition, at any time prior to April 15, 2028, the Company may redeem all or part of the 2033 Notes for cash at a redemption price equal to 100% of their principal amount plus an applicable make-whole premium and accrued and unpaid interest, if any, to the applicable redemption date.</w:t>
      </w:r>
    </w:p>
    <w:p>
      <w:pPr>
        <w:spacing w:after="0" w:line="220" w:lineRule="exact"/>
        <w:rPr>
          <w:sz w:val="20"/>
          <w:szCs w:val="20"/>
          <w:color w:val="auto"/>
        </w:rPr>
      </w:pPr>
    </w:p>
    <w:p>
      <w:pPr>
        <w:jc w:val="both"/>
        <w:ind w:left="3" w:right="1200" w:firstLine="241"/>
        <w:spacing w:after="0" w:line="283" w:lineRule="auto"/>
        <w:rPr>
          <w:sz w:val="20"/>
          <w:szCs w:val="20"/>
          <w:color w:val="auto"/>
        </w:rPr>
      </w:pPr>
      <w:r>
        <w:rPr>
          <w:rFonts w:ascii="Calibri" w:cs="Calibri" w:eastAsia="Calibri" w:hAnsi="Calibri"/>
          <w:sz w:val="17"/>
          <w:szCs w:val="17"/>
          <w:color w:val="auto"/>
        </w:rPr>
        <w:t>On or after April 15, 2028, the Company may redeem all or a part of the 2033 Notes at any time or from time to time at the following redemption prices (expressed as percentages of the principal amount) plus accrued and unpaid interest, if any, to the applicable redemption date, if redeemed during the twelve-month period beginning on April 15 of the years indicated below:</w:t>
      </w:r>
    </w:p>
    <w:p>
      <w:pPr>
        <w:spacing w:after="0" w:line="271" w:lineRule="exact"/>
        <w:rPr>
          <w:sz w:val="20"/>
          <w:szCs w:val="20"/>
          <w:color w:val="auto"/>
        </w:rPr>
      </w:pPr>
    </w:p>
    <w:tbl>
      <w:tblPr>
        <w:tblLayout w:type="fixed"/>
        <w:tblInd w:w="243" w:type="dxa"/>
        <w:tblCellMar>
          <w:top w:w="0" w:type="dxa"/>
          <w:left w:w="0" w:type="dxa"/>
          <w:bottom w:w="0" w:type="dxa"/>
          <w:right w:w="0" w:type="dxa"/>
        </w:tblCellMar>
      </w:tblPr>
      <w:tr>
        <w:trPr>
          <w:trHeight w:val="193"/>
        </w:trPr>
        <w:tc>
          <w:tcPr>
            <w:tcW w:w="4560" w:type="dxa"/>
            <w:vAlign w:val="bottom"/>
            <w:tcBorders>
              <w:bottom w:val="single" w:sz="8" w:color="214E93"/>
            </w:tcBorders>
          </w:tcPr>
          <w:p>
            <w:pPr>
              <w:ind w:left="60"/>
              <w:spacing w:after="0"/>
              <w:rPr>
                <w:sz w:val="20"/>
                <w:szCs w:val="20"/>
                <w:color w:val="auto"/>
              </w:rPr>
            </w:pPr>
            <w:r>
              <w:rPr>
                <w:rFonts w:ascii="Verdana" w:cs="Verdana" w:eastAsia="Verdana" w:hAnsi="Verdana"/>
                <w:sz w:val="14"/>
                <w:szCs w:val="14"/>
                <w:color w:val="auto"/>
              </w:rPr>
              <w:t>Year</w:t>
            </w:r>
          </w:p>
        </w:tc>
        <w:tc>
          <w:tcPr>
            <w:tcW w:w="4520" w:type="dxa"/>
            <w:vAlign w:val="bottom"/>
            <w:tcBorders>
              <w:bottom w:val="single" w:sz="8" w:color="214E93"/>
            </w:tcBorders>
          </w:tcPr>
          <w:p>
            <w:pPr>
              <w:jc w:val="center"/>
              <w:ind w:left="2484"/>
              <w:spacing w:after="0"/>
              <w:rPr>
                <w:sz w:val="20"/>
                <w:szCs w:val="20"/>
                <w:color w:val="auto"/>
              </w:rPr>
            </w:pPr>
            <w:r>
              <w:rPr>
                <w:rFonts w:ascii="Verdana" w:cs="Verdana" w:eastAsia="Verdana" w:hAnsi="Verdana"/>
                <w:sz w:val="14"/>
                <w:szCs w:val="14"/>
                <w:color w:val="auto"/>
                <w:w w:val="97"/>
              </w:rPr>
              <w:t>Redemption Price</w:t>
            </w:r>
          </w:p>
        </w:tc>
      </w:tr>
      <w:tr>
        <w:trPr>
          <w:trHeight w:val="284"/>
        </w:trPr>
        <w:tc>
          <w:tcPr>
            <w:tcW w:w="4560" w:type="dxa"/>
            <w:vAlign w:val="bottom"/>
          </w:tcPr>
          <w:p>
            <w:pPr>
              <w:ind w:left="60"/>
              <w:spacing w:after="0"/>
              <w:rPr>
                <w:sz w:val="20"/>
                <w:szCs w:val="20"/>
                <w:color w:val="auto"/>
              </w:rPr>
            </w:pPr>
            <w:r>
              <w:rPr>
                <w:rFonts w:ascii="Verdana" w:cs="Verdana" w:eastAsia="Verdana" w:hAnsi="Verdana"/>
                <w:sz w:val="16"/>
                <w:szCs w:val="16"/>
                <w:color w:val="auto"/>
              </w:rPr>
              <w:t>2028</w:t>
            </w:r>
          </w:p>
        </w:tc>
        <w:tc>
          <w:tcPr>
            <w:tcW w:w="4520" w:type="dxa"/>
            <w:vAlign w:val="bottom"/>
          </w:tcPr>
          <w:p>
            <w:pPr>
              <w:jc w:val="center"/>
              <w:ind w:left="2504"/>
              <w:spacing w:after="0"/>
              <w:rPr>
                <w:sz w:val="20"/>
                <w:szCs w:val="20"/>
                <w:color w:val="auto"/>
              </w:rPr>
            </w:pPr>
            <w:r>
              <w:rPr>
                <w:rFonts w:ascii="Verdana" w:cs="Verdana" w:eastAsia="Verdana" w:hAnsi="Verdana"/>
                <w:sz w:val="16"/>
                <w:szCs w:val="16"/>
                <w:color w:val="auto"/>
                <w:w w:val="97"/>
              </w:rPr>
              <w:t>103.125%</w:t>
            </w:r>
          </w:p>
        </w:tc>
      </w:tr>
      <w:tr>
        <w:trPr>
          <w:trHeight w:val="310"/>
        </w:trPr>
        <w:tc>
          <w:tcPr>
            <w:tcW w:w="4560" w:type="dxa"/>
            <w:vAlign w:val="bottom"/>
          </w:tcPr>
          <w:p>
            <w:pPr>
              <w:ind w:left="60"/>
              <w:spacing w:after="0"/>
              <w:rPr>
                <w:sz w:val="20"/>
                <w:szCs w:val="20"/>
                <w:color w:val="auto"/>
              </w:rPr>
            </w:pPr>
            <w:r>
              <w:rPr>
                <w:rFonts w:ascii="Verdana" w:cs="Verdana" w:eastAsia="Verdana" w:hAnsi="Verdana"/>
                <w:sz w:val="16"/>
                <w:szCs w:val="16"/>
                <w:color w:val="auto"/>
              </w:rPr>
              <w:t>2029</w:t>
            </w:r>
          </w:p>
        </w:tc>
        <w:tc>
          <w:tcPr>
            <w:tcW w:w="4520" w:type="dxa"/>
            <w:vAlign w:val="bottom"/>
          </w:tcPr>
          <w:p>
            <w:pPr>
              <w:jc w:val="center"/>
              <w:ind w:left="2504"/>
              <w:spacing w:after="0"/>
              <w:rPr>
                <w:sz w:val="20"/>
                <w:szCs w:val="20"/>
                <w:color w:val="auto"/>
              </w:rPr>
            </w:pPr>
            <w:r>
              <w:rPr>
                <w:rFonts w:ascii="Verdana" w:cs="Verdana" w:eastAsia="Verdana" w:hAnsi="Verdana"/>
                <w:sz w:val="16"/>
                <w:szCs w:val="16"/>
                <w:color w:val="auto"/>
                <w:w w:val="97"/>
              </w:rPr>
              <w:t>101.563%</w:t>
            </w:r>
          </w:p>
        </w:tc>
      </w:tr>
      <w:tr>
        <w:trPr>
          <w:trHeight w:val="310"/>
        </w:trPr>
        <w:tc>
          <w:tcPr>
            <w:tcW w:w="4560" w:type="dxa"/>
            <w:vAlign w:val="bottom"/>
          </w:tcPr>
          <w:p>
            <w:pPr>
              <w:ind w:left="60"/>
              <w:spacing w:after="0"/>
              <w:rPr>
                <w:sz w:val="20"/>
                <w:szCs w:val="20"/>
                <w:color w:val="auto"/>
              </w:rPr>
            </w:pPr>
            <w:r>
              <w:rPr>
                <w:rFonts w:ascii="Verdana" w:cs="Verdana" w:eastAsia="Verdana" w:hAnsi="Verdana"/>
                <w:sz w:val="16"/>
                <w:szCs w:val="16"/>
                <w:color w:val="auto"/>
              </w:rPr>
              <w:t>2030 and thereafter</w:t>
            </w:r>
          </w:p>
        </w:tc>
        <w:tc>
          <w:tcPr>
            <w:tcW w:w="4520" w:type="dxa"/>
            <w:vAlign w:val="bottom"/>
          </w:tcPr>
          <w:p>
            <w:pPr>
              <w:jc w:val="center"/>
              <w:ind w:left="2504"/>
              <w:spacing w:after="0"/>
              <w:rPr>
                <w:sz w:val="20"/>
                <w:szCs w:val="20"/>
                <w:color w:val="auto"/>
              </w:rPr>
            </w:pPr>
            <w:r>
              <w:rPr>
                <w:rFonts w:ascii="Verdana" w:cs="Verdana" w:eastAsia="Verdana" w:hAnsi="Verdana"/>
                <w:sz w:val="16"/>
                <w:szCs w:val="16"/>
                <w:color w:val="auto"/>
                <w:w w:val="97"/>
              </w:rPr>
              <w:t>100.000%</w:t>
            </w:r>
          </w:p>
        </w:tc>
      </w:tr>
    </w:tbl>
    <w:p>
      <w:pPr>
        <w:spacing w:after="0" w:line="20" w:lineRule="exact"/>
        <w:rPr>
          <w:sz w:val="20"/>
          <w:szCs w:val="20"/>
          <w:color w:val="auto"/>
        </w:rPr>
      </w:pPr>
    </w:p>
    <w:p>
      <w:pPr>
        <w:spacing w:after="0" w:line="254" w:lineRule="exact"/>
        <w:rPr>
          <w:sz w:val="20"/>
          <w:szCs w:val="20"/>
          <w:color w:val="auto"/>
        </w:rPr>
      </w:pPr>
    </w:p>
    <w:p>
      <w:pPr>
        <w:ind w:left="3" w:right="980" w:firstLine="241"/>
        <w:spacing w:after="0" w:line="252" w:lineRule="auto"/>
        <w:rPr>
          <w:sz w:val="20"/>
          <w:szCs w:val="20"/>
          <w:color w:val="auto"/>
        </w:rPr>
      </w:pPr>
      <w:r>
        <w:rPr>
          <w:rFonts w:ascii="Calibri" w:cs="Calibri" w:eastAsia="Calibri" w:hAnsi="Calibri"/>
          <w:sz w:val="18"/>
          <w:szCs w:val="18"/>
          <w:color w:val="auto"/>
        </w:rPr>
        <w:t>Subject to certain exceptions, the 2033 Notes Indenture contains various covenants that limit the Company’s and its Restricted Subsidiaries’ ability to take certain actions, including the following:</w:t>
      </w:r>
    </w:p>
    <w:p>
      <w:pPr>
        <w:spacing w:after="0" w:line="213" w:lineRule="exact"/>
        <w:rPr>
          <w:sz w:val="20"/>
          <w:szCs w:val="20"/>
          <w:color w:val="auto"/>
        </w:rPr>
      </w:pPr>
    </w:p>
    <w:p>
      <w:pPr>
        <w:ind w:left="363" w:hanging="363"/>
        <w:spacing w:after="0"/>
        <w:tabs>
          <w:tab w:leader="none" w:pos="363" w:val="left"/>
        </w:tabs>
        <w:numPr>
          <w:ilvl w:val="0"/>
          <w:numId w:val="91"/>
        </w:numPr>
        <w:rPr>
          <w:rFonts w:ascii="Calibri" w:cs="Calibri" w:eastAsia="Calibri" w:hAnsi="Calibri"/>
          <w:sz w:val="18"/>
          <w:szCs w:val="18"/>
          <w:color w:val="auto"/>
        </w:rPr>
      </w:pPr>
      <w:r>
        <w:rPr>
          <w:rFonts w:ascii="Calibri" w:cs="Calibri" w:eastAsia="Calibri" w:hAnsi="Calibri"/>
          <w:sz w:val="18"/>
          <w:szCs w:val="18"/>
          <w:color w:val="auto"/>
        </w:rPr>
        <w:t>incur additional indebtedness;</w:t>
      </w:r>
    </w:p>
    <w:p>
      <w:pPr>
        <w:spacing w:after="0" w:line="223" w:lineRule="exact"/>
        <w:rPr>
          <w:rFonts w:ascii="Calibri" w:cs="Calibri" w:eastAsia="Calibri" w:hAnsi="Calibri"/>
          <w:sz w:val="18"/>
          <w:szCs w:val="18"/>
          <w:color w:val="auto"/>
        </w:rPr>
      </w:pPr>
    </w:p>
    <w:p>
      <w:pPr>
        <w:ind w:left="363" w:hanging="363"/>
        <w:spacing w:after="0"/>
        <w:tabs>
          <w:tab w:leader="none" w:pos="363" w:val="left"/>
        </w:tabs>
        <w:numPr>
          <w:ilvl w:val="0"/>
          <w:numId w:val="91"/>
        </w:numPr>
        <w:rPr>
          <w:rFonts w:ascii="Calibri" w:cs="Calibri" w:eastAsia="Calibri" w:hAnsi="Calibri"/>
          <w:sz w:val="18"/>
          <w:szCs w:val="18"/>
          <w:color w:val="auto"/>
        </w:rPr>
      </w:pPr>
      <w:r>
        <w:rPr>
          <w:rFonts w:ascii="Calibri" w:cs="Calibri" w:eastAsia="Calibri" w:hAnsi="Calibri"/>
          <w:sz w:val="18"/>
          <w:szCs w:val="18"/>
          <w:color w:val="auto"/>
        </w:rPr>
        <w:t>sell assets;</w:t>
      </w:r>
    </w:p>
    <w:p>
      <w:pPr>
        <w:spacing w:after="0" w:line="223" w:lineRule="exact"/>
        <w:rPr>
          <w:rFonts w:ascii="Calibri" w:cs="Calibri" w:eastAsia="Calibri" w:hAnsi="Calibri"/>
          <w:sz w:val="18"/>
          <w:szCs w:val="18"/>
          <w:color w:val="auto"/>
        </w:rPr>
      </w:pPr>
    </w:p>
    <w:p>
      <w:pPr>
        <w:ind w:left="363" w:hanging="363"/>
        <w:spacing w:after="0"/>
        <w:tabs>
          <w:tab w:leader="none" w:pos="363" w:val="left"/>
        </w:tabs>
        <w:numPr>
          <w:ilvl w:val="0"/>
          <w:numId w:val="91"/>
        </w:numPr>
        <w:rPr>
          <w:rFonts w:ascii="Calibri" w:cs="Calibri" w:eastAsia="Calibri" w:hAnsi="Calibri"/>
          <w:sz w:val="18"/>
          <w:szCs w:val="18"/>
          <w:color w:val="auto"/>
        </w:rPr>
      </w:pPr>
      <w:r>
        <w:rPr>
          <w:rFonts w:ascii="Calibri" w:cs="Calibri" w:eastAsia="Calibri" w:hAnsi="Calibri"/>
          <w:sz w:val="18"/>
          <w:szCs w:val="18"/>
          <w:color w:val="auto"/>
        </w:rPr>
        <w:t>pay dividends or make certain investments;</w:t>
      </w:r>
    </w:p>
    <w:p>
      <w:pPr>
        <w:spacing w:after="0" w:line="223" w:lineRule="exact"/>
        <w:rPr>
          <w:rFonts w:ascii="Calibri" w:cs="Calibri" w:eastAsia="Calibri" w:hAnsi="Calibri"/>
          <w:sz w:val="18"/>
          <w:szCs w:val="18"/>
          <w:color w:val="auto"/>
        </w:rPr>
      </w:pPr>
    </w:p>
    <w:p>
      <w:pPr>
        <w:ind w:left="363" w:hanging="363"/>
        <w:spacing w:after="0"/>
        <w:tabs>
          <w:tab w:leader="none" w:pos="363" w:val="left"/>
        </w:tabs>
        <w:numPr>
          <w:ilvl w:val="0"/>
          <w:numId w:val="91"/>
        </w:numPr>
        <w:rPr>
          <w:rFonts w:ascii="Calibri" w:cs="Calibri" w:eastAsia="Calibri" w:hAnsi="Calibri"/>
          <w:sz w:val="18"/>
          <w:szCs w:val="18"/>
          <w:color w:val="auto"/>
        </w:rPr>
      </w:pPr>
      <w:r>
        <w:rPr>
          <w:rFonts w:ascii="Calibri" w:cs="Calibri" w:eastAsia="Calibri" w:hAnsi="Calibri"/>
          <w:sz w:val="18"/>
          <w:szCs w:val="18"/>
          <w:color w:val="auto"/>
        </w:rPr>
        <w:t>create liens that secure indebtedness;</w:t>
      </w:r>
    </w:p>
    <w:p>
      <w:pPr>
        <w:spacing w:after="0" w:line="223" w:lineRule="exact"/>
        <w:rPr>
          <w:rFonts w:ascii="Calibri" w:cs="Calibri" w:eastAsia="Calibri" w:hAnsi="Calibri"/>
          <w:sz w:val="18"/>
          <w:szCs w:val="18"/>
          <w:color w:val="auto"/>
        </w:rPr>
      </w:pPr>
    </w:p>
    <w:p>
      <w:pPr>
        <w:ind w:left="363" w:hanging="363"/>
        <w:spacing w:after="0"/>
        <w:tabs>
          <w:tab w:leader="none" w:pos="363" w:val="left"/>
        </w:tabs>
        <w:numPr>
          <w:ilvl w:val="0"/>
          <w:numId w:val="91"/>
        </w:numPr>
        <w:rPr>
          <w:rFonts w:ascii="Calibri" w:cs="Calibri" w:eastAsia="Calibri" w:hAnsi="Calibri"/>
          <w:sz w:val="18"/>
          <w:szCs w:val="18"/>
          <w:color w:val="auto"/>
        </w:rPr>
      </w:pPr>
      <w:r>
        <w:rPr>
          <w:rFonts w:ascii="Calibri" w:cs="Calibri" w:eastAsia="Calibri" w:hAnsi="Calibri"/>
          <w:sz w:val="18"/>
          <w:szCs w:val="18"/>
          <w:color w:val="auto"/>
        </w:rPr>
        <w:t>enter into transactions with affiliates; and</w:t>
      </w:r>
    </w:p>
    <w:p>
      <w:pPr>
        <w:spacing w:after="0" w:line="223" w:lineRule="exact"/>
        <w:rPr>
          <w:rFonts w:ascii="Calibri" w:cs="Calibri" w:eastAsia="Calibri" w:hAnsi="Calibri"/>
          <w:sz w:val="18"/>
          <w:szCs w:val="18"/>
          <w:color w:val="auto"/>
        </w:rPr>
      </w:pPr>
    </w:p>
    <w:p>
      <w:pPr>
        <w:ind w:left="363" w:hanging="363"/>
        <w:spacing w:after="0"/>
        <w:tabs>
          <w:tab w:leader="none" w:pos="363" w:val="left"/>
        </w:tabs>
        <w:numPr>
          <w:ilvl w:val="0"/>
          <w:numId w:val="91"/>
        </w:numPr>
        <w:rPr>
          <w:rFonts w:ascii="Calibri" w:cs="Calibri" w:eastAsia="Calibri" w:hAnsi="Calibri"/>
          <w:sz w:val="18"/>
          <w:szCs w:val="18"/>
          <w:color w:val="auto"/>
        </w:rPr>
      </w:pPr>
      <w:r>
        <w:rPr>
          <w:rFonts w:ascii="Calibri" w:cs="Calibri" w:eastAsia="Calibri" w:hAnsi="Calibri"/>
          <w:sz w:val="18"/>
          <w:szCs w:val="18"/>
          <w:color w:val="auto"/>
        </w:rPr>
        <w:t>merge or consolidate with another company.</w:t>
      </w:r>
    </w:p>
    <w:p>
      <w:pPr>
        <w:spacing w:after="0" w:line="241" w:lineRule="exact"/>
        <w:rPr>
          <w:sz w:val="20"/>
          <w:szCs w:val="20"/>
          <w:color w:val="auto"/>
        </w:rPr>
      </w:pPr>
    </w:p>
    <w:p>
      <w:pPr>
        <w:ind w:left="3" w:right="840" w:firstLine="241"/>
        <w:spacing w:after="0" w:line="267" w:lineRule="auto"/>
        <w:rPr>
          <w:sz w:val="20"/>
          <w:szCs w:val="20"/>
          <w:color w:val="auto"/>
        </w:rPr>
      </w:pPr>
      <w:r>
        <w:rPr>
          <w:rFonts w:ascii="Calibri" w:cs="Calibri" w:eastAsia="Calibri" w:hAnsi="Calibri"/>
          <w:sz w:val="18"/>
          <w:szCs w:val="18"/>
          <w:color w:val="auto"/>
        </w:rPr>
        <w:t>In the case of an event of default arising from certain events of bankruptcy or insolvency with respect to Matador, any Restricted Subsidiary (as defined in the 2033 Notes Indenture) that is a Significant Subsidiary (as defined in the 2033 Notes Indenture) or any group of Restricted Subsidiaries that, taken together, would constitute a Significant Subsidiary, all outstanding 2033 Notes will become due and payable immediately without further action or notice. If any other event of default occurs and is continuing, the trustee or the holders of at least 25% in principal amount of the then outstanding 2033 Notes may declare all the 2033 Notes to be due and payable immediately. Events of default include the following:</w:t>
      </w:r>
    </w:p>
    <w:p>
      <w:pPr>
        <w:spacing w:after="0" w:line="200" w:lineRule="exact"/>
        <w:rPr>
          <w:sz w:val="20"/>
          <w:szCs w:val="20"/>
          <w:color w:val="auto"/>
        </w:rPr>
      </w:pPr>
    </w:p>
    <w:p>
      <w:pPr>
        <w:ind w:left="363" w:hanging="363"/>
        <w:spacing w:after="0"/>
        <w:tabs>
          <w:tab w:leader="none" w:pos="363" w:val="left"/>
        </w:tabs>
        <w:numPr>
          <w:ilvl w:val="0"/>
          <w:numId w:val="92"/>
        </w:numPr>
        <w:rPr>
          <w:rFonts w:ascii="Calibri" w:cs="Calibri" w:eastAsia="Calibri" w:hAnsi="Calibri"/>
          <w:sz w:val="18"/>
          <w:szCs w:val="18"/>
          <w:color w:val="auto"/>
        </w:rPr>
      </w:pPr>
      <w:r>
        <w:rPr>
          <w:rFonts w:ascii="Calibri" w:cs="Calibri" w:eastAsia="Calibri" w:hAnsi="Calibri"/>
          <w:sz w:val="18"/>
          <w:szCs w:val="18"/>
          <w:color w:val="auto"/>
        </w:rPr>
        <w:t>default for 30 days in the payment when due of interest on the 2033 Notes;</w:t>
      </w:r>
    </w:p>
    <w:p>
      <w:pPr>
        <w:spacing w:after="0" w:line="223" w:lineRule="exact"/>
        <w:rPr>
          <w:rFonts w:ascii="Calibri" w:cs="Calibri" w:eastAsia="Calibri" w:hAnsi="Calibri"/>
          <w:sz w:val="18"/>
          <w:szCs w:val="18"/>
          <w:color w:val="auto"/>
        </w:rPr>
      </w:pPr>
    </w:p>
    <w:p>
      <w:pPr>
        <w:ind w:left="363" w:hanging="363"/>
        <w:spacing w:after="0"/>
        <w:tabs>
          <w:tab w:leader="none" w:pos="363" w:val="left"/>
        </w:tabs>
        <w:numPr>
          <w:ilvl w:val="0"/>
          <w:numId w:val="92"/>
        </w:numPr>
        <w:rPr>
          <w:rFonts w:ascii="Calibri" w:cs="Calibri" w:eastAsia="Calibri" w:hAnsi="Calibri"/>
          <w:sz w:val="18"/>
          <w:szCs w:val="18"/>
          <w:color w:val="auto"/>
        </w:rPr>
      </w:pPr>
      <w:r>
        <w:rPr>
          <w:rFonts w:ascii="Calibri" w:cs="Calibri" w:eastAsia="Calibri" w:hAnsi="Calibri"/>
          <w:sz w:val="18"/>
          <w:szCs w:val="18"/>
          <w:color w:val="auto"/>
        </w:rPr>
        <w:t>default in the payment when due of the principal of, or premium, if any, on the 2033 Notes;</w:t>
      </w:r>
    </w:p>
    <w:p>
      <w:pPr>
        <w:spacing w:after="0" w:line="241" w:lineRule="exact"/>
        <w:rPr>
          <w:rFonts w:ascii="Calibri" w:cs="Calibri" w:eastAsia="Calibri" w:hAnsi="Calibri"/>
          <w:sz w:val="18"/>
          <w:szCs w:val="18"/>
          <w:color w:val="auto"/>
        </w:rPr>
      </w:pPr>
    </w:p>
    <w:p>
      <w:pPr>
        <w:ind w:left="363" w:right="1020" w:hanging="363"/>
        <w:spacing w:after="0" w:line="252" w:lineRule="auto"/>
        <w:tabs>
          <w:tab w:leader="none" w:pos="363" w:val="left"/>
        </w:tabs>
        <w:numPr>
          <w:ilvl w:val="0"/>
          <w:numId w:val="92"/>
        </w:numPr>
        <w:rPr>
          <w:rFonts w:ascii="Calibri" w:cs="Calibri" w:eastAsia="Calibri" w:hAnsi="Calibri"/>
          <w:sz w:val="18"/>
          <w:szCs w:val="18"/>
          <w:color w:val="auto"/>
        </w:rPr>
      </w:pPr>
      <w:r>
        <w:rPr>
          <w:rFonts w:ascii="Calibri" w:cs="Calibri" w:eastAsia="Calibri" w:hAnsi="Calibri"/>
          <w:sz w:val="18"/>
          <w:szCs w:val="18"/>
          <w:color w:val="auto"/>
        </w:rPr>
        <w:t>failure by the Company to comply with its obligations to offer to purchase or purchase 2033 Notes pursuant to the change of control or asset sale covenants of the 2033 Notes Indenture or to comply with the covenant relating to mergers;</w:t>
      </w:r>
    </w:p>
    <w:p>
      <w:pPr>
        <w:sectPr>
          <w:pgSz w:w="11880" w:h="15480" w:orient="portrait"/>
          <w:cols w:equalWidth="0" w:num="1">
            <w:col w:w="10343"/>
          </w:cols>
          <w:pgMar w:left="1157" w:top="498"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903"/>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0343"/>
          </w:cols>
          <w:pgMar w:left="1157" w:top="498" w:right="380" w:bottom="0" w:gutter="0" w:footer="0" w:header="0"/>
          <w:type w:val="continuous"/>
        </w:sectPr>
      </w:pPr>
    </w:p>
    <w:bookmarkStart w:id="159" w:name="page160"/>
    <w:bookmarkEnd w:id="159"/>
    <w:p>
      <w:pPr>
        <w:spacing w:after="0"/>
        <w:tabs>
          <w:tab w:leader="none" w:pos="800" w:val="left"/>
        </w:tabs>
        <w:rPr>
          <w:sz w:val="20"/>
          <w:szCs w:val="20"/>
          <w:color w:val="auto"/>
        </w:rPr>
      </w:pPr>
      <w:r>
        <w:rPr>
          <w:rFonts w:ascii="Calibri" w:cs="Calibri" w:eastAsia="Calibri" w:hAnsi="Calibri"/>
          <w:sz w:val="18"/>
          <w:szCs w:val="18"/>
          <w:color w:val="auto"/>
        </w:rPr>
        <w:t>F-29</w:t>
      </w:r>
      <w:r>
        <w:rPr>
          <w:sz w:val="20"/>
          <w:szCs w:val="20"/>
          <w:color w:val="auto"/>
        </w:rPr>
        <w:tab/>
      </w:r>
      <w:r>
        <w:rPr>
          <w:rFonts w:ascii="Calibri" w:cs="Calibri" w:eastAsia="Calibri" w:hAnsi="Calibri"/>
          <w:sz w:val="17"/>
          <w:szCs w:val="17"/>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490220</wp:posOffset>
                </wp:positionH>
                <wp:positionV relativeFrom="paragraph">
                  <wp:posOffset>320675</wp:posOffset>
                </wp:positionV>
                <wp:extent cx="6812280" cy="0"/>
                <wp:wrapNone/>
                <wp:docPr id="316" name="Shape 3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6" o:spid="_x0000_s13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25.25pt" to="57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490220</wp:posOffset>
                </wp:positionH>
                <wp:positionV relativeFrom="paragraph">
                  <wp:posOffset>320675</wp:posOffset>
                </wp:positionV>
                <wp:extent cx="6812280" cy="0"/>
                <wp:wrapNone/>
                <wp:docPr id="317" name="Shape 3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17" o:spid="_x0000_s13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25.25pt" to="57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80"/>
        <w:spacing w:after="0"/>
        <w:rPr>
          <w:sz w:val="20"/>
          <w:szCs w:val="20"/>
          <w:color w:val="auto"/>
        </w:rPr>
      </w:pPr>
      <w:r>
        <w:rPr>
          <w:rFonts w:ascii="Verdana" w:cs="Verdana" w:eastAsia="Verdana" w:hAnsi="Verdana"/>
          <w:sz w:val="20"/>
          <w:szCs w:val="20"/>
          <w:color w:val="214E93"/>
        </w:rPr>
        <w:t>NOTE 7 — DEBT — Continued</w:t>
      </w:r>
    </w:p>
    <w:p>
      <w:pPr>
        <w:spacing w:after="0" w:line="192" w:lineRule="exact"/>
        <w:rPr>
          <w:sz w:val="20"/>
          <w:szCs w:val="20"/>
          <w:color w:val="auto"/>
        </w:rPr>
      </w:pPr>
    </w:p>
    <w:p>
      <w:pPr>
        <w:ind w:left="1140" w:hanging="363"/>
        <w:spacing w:after="0"/>
        <w:tabs>
          <w:tab w:leader="none" w:pos="1140" w:val="left"/>
        </w:tabs>
        <w:numPr>
          <w:ilvl w:val="0"/>
          <w:numId w:val="93"/>
        </w:numPr>
        <w:rPr>
          <w:rFonts w:ascii="Calibri" w:cs="Calibri" w:eastAsia="Calibri" w:hAnsi="Calibri"/>
          <w:sz w:val="18"/>
          <w:szCs w:val="18"/>
          <w:color w:val="auto"/>
        </w:rPr>
      </w:pPr>
      <w:r>
        <w:rPr>
          <w:rFonts w:ascii="Calibri" w:cs="Calibri" w:eastAsia="Calibri" w:hAnsi="Calibri"/>
          <w:sz w:val="18"/>
          <w:szCs w:val="18"/>
          <w:color w:val="auto"/>
        </w:rPr>
        <w:t>failure by the Company for 180 days after notice to comply with its reporting obligations under the 2033 Notes Indenture;</w:t>
      </w:r>
    </w:p>
    <w:p>
      <w:pPr>
        <w:spacing w:after="0" w:line="223" w:lineRule="exact"/>
        <w:rPr>
          <w:rFonts w:ascii="Calibri" w:cs="Calibri" w:eastAsia="Calibri" w:hAnsi="Calibri"/>
          <w:sz w:val="18"/>
          <w:szCs w:val="18"/>
          <w:color w:val="auto"/>
        </w:rPr>
      </w:pPr>
    </w:p>
    <w:p>
      <w:pPr>
        <w:ind w:left="1140" w:hanging="363"/>
        <w:spacing w:after="0"/>
        <w:tabs>
          <w:tab w:leader="none" w:pos="1140" w:val="left"/>
        </w:tabs>
        <w:numPr>
          <w:ilvl w:val="0"/>
          <w:numId w:val="93"/>
        </w:numPr>
        <w:rPr>
          <w:rFonts w:ascii="Calibri" w:cs="Calibri" w:eastAsia="Calibri" w:hAnsi="Calibri"/>
          <w:sz w:val="18"/>
          <w:szCs w:val="18"/>
          <w:color w:val="auto"/>
        </w:rPr>
      </w:pPr>
      <w:r>
        <w:rPr>
          <w:rFonts w:ascii="Calibri" w:cs="Calibri" w:eastAsia="Calibri" w:hAnsi="Calibri"/>
          <w:sz w:val="18"/>
          <w:szCs w:val="18"/>
          <w:color w:val="auto"/>
        </w:rPr>
        <w:t>failure by the Company for 60 days after notice to comply with any of the other agreements in the 2033 Notes Indenture;</w:t>
      </w:r>
    </w:p>
    <w:p>
      <w:pPr>
        <w:spacing w:after="0" w:line="240" w:lineRule="exact"/>
        <w:rPr>
          <w:rFonts w:ascii="Calibri" w:cs="Calibri" w:eastAsia="Calibri" w:hAnsi="Calibri"/>
          <w:sz w:val="18"/>
          <w:szCs w:val="18"/>
          <w:color w:val="auto"/>
        </w:rPr>
      </w:pPr>
    </w:p>
    <w:p>
      <w:pPr>
        <w:ind w:left="1140" w:right="240" w:hanging="363"/>
        <w:spacing w:after="0" w:line="252" w:lineRule="auto"/>
        <w:tabs>
          <w:tab w:leader="none" w:pos="1140" w:val="left"/>
        </w:tabs>
        <w:numPr>
          <w:ilvl w:val="0"/>
          <w:numId w:val="93"/>
        </w:numPr>
        <w:rPr>
          <w:rFonts w:ascii="Calibri" w:cs="Calibri" w:eastAsia="Calibri" w:hAnsi="Calibri"/>
          <w:sz w:val="18"/>
          <w:szCs w:val="18"/>
          <w:color w:val="auto"/>
        </w:rPr>
      </w:pPr>
      <w:r>
        <w:rPr>
          <w:rFonts w:ascii="Calibri" w:cs="Calibri" w:eastAsia="Calibri" w:hAnsi="Calibri"/>
          <w:sz w:val="18"/>
          <w:szCs w:val="18"/>
          <w:color w:val="auto"/>
        </w:rPr>
        <w:t>payment defaults and accelerations with respect to other indebtedness of the Company and its Restricted Subsidiaries in the aggregate principal amount of $100.0 million or more;</w:t>
      </w:r>
    </w:p>
    <w:p>
      <w:pPr>
        <w:spacing w:after="0" w:line="230" w:lineRule="exact"/>
        <w:rPr>
          <w:rFonts w:ascii="Calibri" w:cs="Calibri" w:eastAsia="Calibri" w:hAnsi="Calibri"/>
          <w:sz w:val="18"/>
          <w:szCs w:val="18"/>
          <w:color w:val="auto"/>
        </w:rPr>
      </w:pPr>
    </w:p>
    <w:p>
      <w:pPr>
        <w:ind w:left="1140" w:hanging="363"/>
        <w:spacing w:after="0" w:line="252" w:lineRule="auto"/>
        <w:tabs>
          <w:tab w:leader="none" w:pos="1140" w:val="left"/>
        </w:tabs>
        <w:numPr>
          <w:ilvl w:val="0"/>
          <w:numId w:val="93"/>
        </w:numPr>
        <w:rPr>
          <w:rFonts w:ascii="Calibri" w:cs="Calibri" w:eastAsia="Calibri" w:hAnsi="Calibri"/>
          <w:sz w:val="18"/>
          <w:szCs w:val="18"/>
          <w:color w:val="auto"/>
        </w:rPr>
      </w:pPr>
      <w:r>
        <w:rPr>
          <w:rFonts w:ascii="Calibri" w:cs="Calibri" w:eastAsia="Calibri" w:hAnsi="Calibri"/>
          <w:sz w:val="18"/>
          <w:szCs w:val="18"/>
          <w:color w:val="auto"/>
        </w:rPr>
        <w:t>failure by the Company or any Restricted Subsidiary to pay certain final judgments aggregating in excess of $100.0 million within 60 days;</w:t>
      </w:r>
    </w:p>
    <w:p>
      <w:pPr>
        <w:spacing w:after="0" w:line="230" w:lineRule="exact"/>
        <w:rPr>
          <w:rFonts w:ascii="Calibri" w:cs="Calibri" w:eastAsia="Calibri" w:hAnsi="Calibri"/>
          <w:sz w:val="18"/>
          <w:szCs w:val="18"/>
          <w:color w:val="auto"/>
        </w:rPr>
      </w:pPr>
    </w:p>
    <w:p>
      <w:pPr>
        <w:ind w:left="1140" w:right="20" w:hanging="363"/>
        <w:spacing w:after="0" w:line="252" w:lineRule="auto"/>
        <w:tabs>
          <w:tab w:leader="none" w:pos="1140" w:val="left"/>
        </w:tabs>
        <w:numPr>
          <w:ilvl w:val="0"/>
          <w:numId w:val="93"/>
        </w:numPr>
        <w:rPr>
          <w:rFonts w:ascii="Calibri" w:cs="Calibri" w:eastAsia="Calibri" w:hAnsi="Calibri"/>
          <w:sz w:val="18"/>
          <w:szCs w:val="18"/>
          <w:color w:val="auto"/>
        </w:rPr>
      </w:pPr>
      <w:r>
        <w:rPr>
          <w:rFonts w:ascii="Calibri" w:cs="Calibri" w:eastAsia="Calibri" w:hAnsi="Calibri"/>
          <w:sz w:val="18"/>
          <w:szCs w:val="18"/>
          <w:color w:val="auto"/>
        </w:rPr>
        <w:t>any subsidiary guarantee by a Guarantor ceases to be in full force and effect, is declared null and void in a judicial proceeding or is denied or disaffirmed by its maker; and</w:t>
      </w:r>
    </w:p>
    <w:p>
      <w:pPr>
        <w:spacing w:after="0" w:line="230" w:lineRule="exact"/>
        <w:rPr>
          <w:rFonts w:ascii="Calibri" w:cs="Calibri" w:eastAsia="Calibri" w:hAnsi="Calibri"/>
          <w:sz w:val="18"/>
          <w:szCs w:val="18"/>
          <w:color w:val="auto"/>
        </w:rPr>
      </w:pPr>
    </w:p>
    <w:p>
      <w:pPr>
        <w:ind w:left="1140" w:right="600" w:hanging="363"/>
        <w:spacing w:after="0" w:line="281" w:lineRule="auto"/>
        <w:tabs>
          <w:tab w:leader="none" w:pos="1140" w:val="left"/>
        </w:tabs>
        <w:numPr>
          <w:ilvl w:val="0"/>
          <w:numId w:val="93"/>
        </w:numPr>
        <w:rPr>
          <w:rFonts w:ascii="Calibri" w:cs="Calibri" w:eastAsia="Calibri" w:hAnsi="Calibri"/>
          <w:sz w:val="17"/>
          <w:szCs w:val="17"/>
          <w:color w:val="auto"/>
        </w:rPr>
      </w:pPr>
      <w:r>
        <w:rPr>
          <w:rFonts w:ascii="Calibri" w:cs="Calibri" w:eastAsia="Calibri" w:hAnsi="Calibri"/>
          <w:sz w:val="17"/>
          <w:szCs w:val="17"/>
          <w:color w:val="auto"/>
        </w:rPr>
        <w:t>certain events of bankruptcy or insolvency with respect to the Company or any Restricted Subsidiary that is a Significant Subsidiary or any group of Restricted Subsidiaries that, taken together, would constitute a Significant Subsidiary.</w:t>
      </w:r>
    </w:p>
    <w:p>
      <w:pPr>
        <w:spacing w:after="0" w:line="204" w:lineRule="exact"/>
        <w:rPr>
          <w:sz w:val="20"/>
          <w:szCs w:val="20"/>
          <w:color w:val="auto"/>
        </w:rPr>
      </w:pPr>
    </w:p>
    <w:p>
      <w:pPr>
        <w:ind w:left="780"/>
        <w:spacing w:after="0"/>
        <w:rPr>
          <w:sz w:val="20"/>
          <w:szCs w:val="20"/>
          <w:color w:val="auto"/>
        </w:rPr>
      </w:pPr>
      <w:r>
        <w:rPr>
          <w:rFonts w:ascii="Verdana" w:cs="Verdana" w:eastAsia="Verdana" w:hAnsi="Verdana"/>
          <w:sz w:val="20"/>
          <w:szCs w:val="20"/>
          <w:color w:val="214E93"/>
        </w:rPr>
        <w:t>NOTE 8 — INCOME TAXES</w:t>
      </w:r>
    </w:p>
    <w:p>
      <w:pPr>
        <w:spacing w:after="0" w:line="209" w:lineRule="exact"/>
        <w:rPr>
          <w:sz w:val="20"/>
          <w:szCs w:val="20"/>
          <w:color w:val="auto"/>
        </w:rPr>
      </w:pPr>
    </w:p>
    <w:p>
      <w:pPr>
        <w:ind w:left="780" w:firstLine="241"/>
        <w:spacing w:after="0" w:line="268" w:lineRule="auto"/>
        <w:rPr>
          <w:sz w:val="20"/>
          <w:szCs w:val="20"/>
          <w:color w:val="auto"/>
        </w:rPr>
      </w:pPr>
      <w:r>
        <w:rPr>
          <w:rFonts w:ascii="Calibri" w:cs="Calibri" w:eastAsia="Calibri" w:hAnsi="Calibri"/>
          <w:sz w:val="18"/>
          <w:szCs w:val="18"/>
          <w:color w:val="auto"/>
        </w:rPr>
        <w:t>On July 4, 2025, the One Big Beautiful Bill Act (the “OBBBA”) was enacted. The legislation, among other things, makes permanent, extends or modifies certain provisions under the 2017 Tax Cuts and Jobs Act, including (i) a permanent extension of 100% bonus depreciation for certain capital expenditures, (ii) an immediate deduction of domestic research or experimental expenditures, (iii) an acceleration of deductions for unamortized domestic research and development expenditures and (iv) an elimination of the deduction for depreciation, amortization and depletion from the definition of “adjusted taxable income” for the purpose of calculating limitations on interest expense deductions. Pursuant to ASC Topic 740, Income Taxes, the effects of changes in tax law are recognized in the period of enactment, and as a result, the Company recognized the impacts of this legislation in its consolidated financial statements for the year ended December 31, 2025. While the enactment of OBBBA resulted in a decrease in the current income tax provision and corresponding increase in the deferred income tax provision for the year ended December 31, 2025, the effective income tax rates and the total income tax provision were not materially impacted.</w:t>
      </w:r>
    </w:p>
    <w:p>
      <w:pPr>
        <w:spacing w:after="0" w:line="222" w:lineRule="exact"/>
        <w:rPr>
          <w:sz w:val="20"/>
          <w:szCs w:val="20"/>
          <w:color w:val="auto"/>
        </w:rPr>
      </w:pPr>
    </w:p>
    <w:p>
      <w:pPr>
        <w:ind w:left="780" w:right="20" w:firstLine="241"/>
        <w:spacing w:after="0" w:line="261" w:lineRule="auto"/>
        <w:rPr>
          <w:sz w:val="20"/>
          <w:szCs w:val="20"/>
          <w:color w:val="auto"/>
        </w:rPr>
      </w:pPr>
      <w:r>
        <w:rPr>
          <w:rFonts w:ascii="Calibri" w:cs="Calibri" w:eastAsia="Calibri" w:hAnsi="Calibri"/>
          <w:sz w:val="18"/>
          <w:szCs w:val="18"/>
          <w:color w:val="auto"/>
        </w:rPr>
        <w:t>Deferred tax assets and liabilities are the result of temporary differences between the financial statement carrying values and the tax bases of assets and liabilities. The Company’s net deferred tax position as of December 31, 2025 and 2024 is as follows (in thousands).</w:t>
      </w:r>
    </w:p>
    <w:p>
      <w:pPr>
        <w:sectPr>
          <w:pgSz w:w="11880" w:h="15480" w:orient="portrait"/>
          <w:cols w:equalWidth="0" w:num="1">
            <w:col w:w="10340"/>
          </w:cols>
          <w:pgMar w:left="38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0"/>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0340"/>
          </w:cols>
          <w:pgMar w:left="380" w:top="498" w:right="1160" w:bottom="0" w:gutter="0" w:footer="0" w:header="0"/>
          <w:type w:val="continuous"/>
        </w:sectPr>
      </w:pPr>
    </w:p>
    <w:bookmarkStart w:id="160" w:name="page161"/>
    <w:bookmarkEnd w:id="160"/>
    <w:tbl>
      <w:tblPr>
        <w:tblLayout w:type="fixed"/>
        <w:tblInd w:w="0" w:type="dxa"/>
        <w:tblCellMar>
          <w:top w:w="0" w:type="dxa"/>
          <w:left w:w="0" w:type="dxa"/>
          <w:bottom w:w="0" w:type="dxa"/>
          <w:right w:w="0" w:type="dxa"/>
        </w:tblCellMar>
      </w:tblPr>
      <w:tr>
        <w:trPr>
          <w:trHeight w:val="220"/>
        </w:trPr>
        <w:tc>
          <w:tcPr>
            <w:tcW w:w="116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20" w:type="dxa"/>
            <w:vAlign w:val="bottom"/>
            <w:gridSpan w:val="3"/>
          </w:tcPr>
          <w:p>
            <w:pPr>
              <w:jc w:val="right"/>
              <w:spacing w:after="0"/>
              <w:rPr>
                <w:sz w:val="20"/>
                <w:szCs w:val="20"/>
                <w:color w:val="auto"/>
              </w:rPr>
            </w:pPr>
            <w:r>
              <w:rPr>
                <w:rFonts w:ascii="Calibri" w:cs="Calibri" w:eastAsia="Calibri" w:hAnsi="Calibri"/>
                <w:sz w:val="18"/>
                <w:szCs w:val="18"/>
                <w:color w:val="auto"/>
              </w:rPr>
              <w:t>2025 ANNUAL REPORT</w:t>
            </w:r>
          </w:p>
        </w:tc>
        <w:tc>
          <w:tcPr>
            <w:tcW w:w="780" w:type="dxa"/>
            <w:vAlign w:val="bottom"/>
          </w:tcPr>
          <w:p>
            <w:pPr>
              <w:ind w:left="460"/>
              <w:spacing w:after="0"/>
              <w:rPr>
                <w:sz w:val="20"/>
                <w:szCs w:val="20"/>
                <w:color w:val="auto"/>
              </w:rPr>
            </w:pPr>
            <w:r>
              <w:rPr>
                <w:rFonts w:ascii="Calibri" w:cs="Calibri" w:eastAsia="Calibri" w:hAnsi="Calibri"/>
                <w:sz w:val="18"/>
                <w:szCs w:val="18"/>
                <w:color w:val="auto"/>
                <w:w w:val="93"/>
              </w:rPr>
              <w:t>F-30</w:t>
            </w:r>
          </w:p>
        </w:tc>
      </w:tr>
      <w:tr>
        <w:trPr>
          <w:trHeight w:val="496"/>
        </w:trPr>
        <w:tc>
          <w:tcPr>
            <w:tcW w:w="8200" w:type="dxa"/>
            <w:vAlign w:val="bottom"/>
            <w:tcBorders>
              <w:bottom w:val="single" w:sz="8" w:color="214E93"/>
            </w:tcBorders>
            <w:gridSpan w:val="2"/>
          </w:tcPr>
          <w:p>
            <w:pPr>
              <w:spacing w:after="0"/>
              <w:rPr>
                <w:sz w:val="24"/>
                <w:szCs w:val="24"/>
                <w:color w:val="auto"/>
              </w:rPr>
            </w:pPr>
          </w:p>
        </w:tc>
        <w:tc>
          <w:tcPr>
            <w:tcW w:w="200" w:type="dxa"/>
            <w:vAlign w:val="bottom"/>
            <w:tcBorders>
              <w:bottom w:val="single" w:sz="8" w:color="214E93"/>
            </w:tcBorders>
          </w:tcPr>
          <w:p>
            <w:pPr>
              <w:spacing w:after="0"/>
              <w:rPr>
                <w:sz w:val="24"/>
                <w:szCs w:val="24"/>
                <w:color w:val="auto"/>
              </w:rPr>
            </w:pPr>
          </w:p>
        </w:tc>
        <w:tc>
          <w:tcPr>
            <w:tcW w:w="1080" w:type="dxa"/>
            <w:vAlign w:val="bottom"/>
            <w:tcBorders>
              <w:bottom w:val="single" w:sz="8" w:color="214E93"/>
            </w:tcBorders>
          </w:tcPr>
          <w:p>
            <w:pPr>
              <w:spacing w:after="0"/>
              <w:rPr>
                <w:sz w:val="24"/>
                <w:szCs w:val="24"/>
                <w:color w:val="auto"/>
              </w:rPr>
            </w:pPr>
          </w:p>
        </w:tc>
        <w:tc>
          <w:tcPr>
            <w:tcW w:w="300" w:type="dxa"/>
            <w:vAlign w:val="bottom"/>
            <w:tcBorders>
              <w:bottom w:val="single" w:sz="8" w:color="214E93"/>
            </w:tcBorders>
          </w:tcPr>
          <w:p>
            <w:pPr>
              <w:spacing w:after="0"/>
              <w:rPr>
                <w:sz w:val="24"/>
                <w:szCs w:val="24"/>
                <w:color w:val="auto"/>
              </w:rPr>
            </w:pPr>
          </w:p>
        </w:tc>
        <w:tc>
          <w:tcPr>
            <w:tcW w:w="940" w:type="dxa"/>
            <w:vAlign w:val="bottom"/>
            <w:tcBorders>
              <w:bottom w:val="single" w:sz="8" w:color="214E93"/>
            </w:tcBorders>
          </w:tcPr>
          <w:p>
            <w:pPr>
              <w:spacing w:after="0"/>
              <w:rPr>
                <w:sz w:val="24"/>
                <w:szCs w:val="24"/>
                <w:color w:val="auto"/>
              </w:rPr>
            </w:pPr>
          </w:p>
        </w:tc>
        <w:tc>
          <w:tcPr>
            <w:tcW w:w="780" w:type="dxa"/>
            <w:vAlign w:val="bottom"/>
          </w:tcPr>
          <w:p>
            <w:pPr>
              <w:spacing w:after="0"/>
              <w:rPr>
                <w:sz w:val="24"/>
                <w:szCs w:val="24"/>
                <w:color w:val="auto"/>
              </w:rPr>
            </w:pPr>
          </w:p>
        </w:tc>
      </w:tr>
      <w:tr>
        <w:trPr>
          <w:trHeight w:val="388"/>
        </w:trPr>
        <w:tc>
          <w:tcPr>
            <w:tcW w:w="8200" w:type="dxa"/>
            <w:vAlign w:val="bottom"/>
            <w:gridSpan w:val="2"/>
          </w:tcPr>
          <w:p>
            <w:pPr>
              <w:ind w:left="1160"/>
              <w:spacing w:after="0"/>
              <w:rPr>
                <w:sz w:val="20"/>
                <w:szCs w:val="20"/>
                <w:color w:val="auto"/>
              </w:rPr>
            </w:pPr>
            <w:r>
              <w:rPr>
                <w:rFonts w:ascii="Verdana" w:cs="Verdana" w:eastAsia="Verdana" w:hAnsi="Verdana"/>
                <w:sz w:val="20"/>
                <w:szCs w:val="20"/>
                <w:color w:val="214E93"/>
              </w:rPr>
              <w:t>NOTE 8 — INCOME TAXES — Continued</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8"/>
        </w:trPr>
        <w:tc>
          <w:tcPr>
            <w:tcW w:w="116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00" w:type="dxa"/>
            <w:vAlign w:val="bottom"/>
            <w:tcBorders>
              <w:bottom w:val="single" w:sz="8" w:color="214E93"/>
            </w:tcBorders>
          </w:tcPr>
          <w:p>
            <w:pPr>
              <w:spacing w:after="0"/>
              <w:rPr>
                <w:sz w:val="24"/>
                <w:szCs w:val="24"/>
                <w:color w:val="auto"/>
              </w:rPr>
            </w:pPr>
          </w:p>
        </w:tc>
        <w:tc>
          <w:tcPr>
            <w:tcW w:w="2320" w:type="dxa"/>
            <w:vAlign w:val="bottom"/>
            <w:tcBorders>
              <w:bottom w:val="single" w:sz="8" w:color="214E93"/>
            </w:tcBorders>
            <w:gridSpan w:val="3"/>
          </w:tcPr>
          <w:p>
            <w:pPr>
              <w:jc w:val="right"/>
              <w:ind w:right="702"/>
              <w:spacing w:after="0"/>
              <w:rPr>
                <w:sz w:val="20"/>
                <w:szCs w:val="20"/>
                <w:color w:val="auto"/>
              </w:rPr>
            </w:pPr>
            <w:r>
              <w:rPr>
                <w:rFonts w:ascii="Verdana" w:cs="Verdana" w:eastAsia="Verdana" w:hAnsi="Verdana"/>
                <w:sz w:val="14"/>
                <w:szCs w:val="14"/>
                <w:color w:val="auto"/>
              </w:rPr>
              <w:t>December 31,</w:t>
            </w:r>
          </w:p>
        </w:tc>
        <w:tc>
          <w:tcPr>
            <w:tcW w:w="78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7040" w:type="dxa"/>
            <w:vAlign w:val="bottom"/>
            <w:tcBorders>
              <w:bottom w:val="single" w:sz="8" w:color="214E93"/>
            </w:tcBorders>
          </w:tcPr>
          <w:p>
            <w:pPr>
              <w:spacing w:after="0"/>
              <w:rPr>
                <w:sz w:val="18"/>
                <w:szCs w:val="18"/>
                <w:color w:val="auto"/>
              </w:rPr>
            </w:pPr>
          </w:p>
        </w:tc>
        <w:tc>
          <w:tcPr>
            <w:tcW w:w="200" w:type="dxa"/>
            <w:vAlign w:val="bottom"/>
            <w:tcBorders>
              <w:bottom w:val="single" w:sz="8" w:color="214E93"/>
            </w:tcBorders>
          </w:tcPr>
          <w:p>
            <w:pPr>
              <w:spacing w:after="0"/>
              <w:rPr>
                <w:sz w:val="18"/>
                <w:szCs w:val="18"/>
                <w:color w:val="auto"/>
              </w:rPr>
            </w:pPr>
          </w:p>
        </w:tc>
        <w:tc>
          <w:tcPr>
            <w:tcW w:w="1080" w:type="dxa"/>
            <w:vAlign w:val="bottom"/>
            <w:tcBorders>
              <w:bottom w:val="single" w:sz="8" w:color="214E93"/>
            </w:tcBorders>
          </w:tcPr>
          <w:p>
            <w:pPr>
              <w:jc w:val="right"/>
              <w:ind w:right="422"/>
              <w:spacing w:after="0"/>
              <w:rPr>
                <w:sz w:val="20"/>
                <w:szCs w:val="20"/>
                <w:color w:val="auto"/>
              </w:rPr>
            </w:pPr>
            <w:r>
              <w:rPr>
                <w:rFonts w:ascii="Verdana" w:cs="Verdana" w:eastAsia="Verdana" w:hAnsi="Verdana"/>
                <w:sz w:val="14"/>
                <w:szCs w:val="14"/>
                <w:color w:val="214E93"/>
              </w:rPr>
              <w:t>2025</w:t>
            </w:r>
          </w:p>
        </w:tc>
        <w:tc>
          <w:tcPr>
            <w:tcW w:w="300" w:type="dxa"/>
            <w:vAlign w:val="bottom"/>
            <w:tcBorders>
              <w:bottom w:val="single" w:sz="8" w:color="214E93"/>
            </w:tcBorders>
          </w:tcPr>
          <w:p>
            <w:pPr>
              <w:spacing w:after="0"/>
              <w:rPr>
                <w:sz w:val="18"/>
                <w:szCs w:val="18"/>
                <w:color w:val="auto"/>
              </w:rPr>
            </w:pPr>
          </w:p>
        </w:tc>
        <w:tc>
          <w:tcPr>
            <w:tcW w:w="940" w:type="dxa"/>
            <w:vAlign w:val="bottom"/>
            <w:tcBorders>
              <w:bottom w:val="single" w:sz="8" w:color="214E93"/>
            </w:tcBorders>
          </w:tcPr>
          <w:p>
            <w:pPr>
              <w:jc w:val="right"/>
              <w:ind w:right="362"/>
              <w:spacing w:after="0"/>
              <w:rPr>
                <w:sz w:val="20"/>
                <w:szCs w:val="20"/>
                <w:color w:val="auto"/>
              </w:rPr>
            </w:pPr>
            <w:r>
              <w:rPr>
                <w:rFonts w:ascii="Verdana" w:cs="Verdana" w:eastAsia="Verdana" w:hAnsi="Verdana"/>
                <w:sz w:val="14"/>
                <w:szCs w:val="14"/>
                <w:color w:val="auto"/>
              </w:rPr>
              <w:t>2024</w:t>
            </w:r>
          </w:p>
        </w:tc>
        <w:tc>
          <w:tcPr>
            <w:tcW w:w="780" w:type="dxa"/>
            <w:vAlign w:val="bottom"/>
          </w:tcPr>
          <w:p>
            <w:pPr>
              <w:spacing w:after="0"/>
              <w:rPr>
                <w:sz w:val="18"/>
                <w:szCs w:val="18"/>
                <w:color w:val="auto"/>
              </w:rPr>
            </w:pPr>
          </w:p>
        </w:tc>
      </w:tr>
      <w:tr>
        <w:trPr>
          <w:trHeight w:val="211"/>
        </w:trPr>
        <w:tc>
          <w:tcPr>
            <w:tcW w:w="1160" w:type="dxa"/>
            <w:vAlign w:val="bottom"/>
          </w:tcPr>
          <w:p>
            <w:pPr>
              <w:spacing w:after="0"/>
              <w:rPr>
                <w:sz w:val="18"/>
                <w:szCs w:val="18"/>
                <w:color w:val="auto"/>
              </w:rPr>
            </w:pPr>
          </w:p>
        </w:tc>
        <w:tc>
          <w:tcPr>
            <w:tcW w:w="7040" w:type="dxa"/>
            <w:vAlign w:val="bottom"/>
          </w:tcPr>
          <w:p>
            <w:pPr>
              <w:ind w:left="40"/>
              <w:spacing w:after="0"/>
              <w:rPr>
                <w:sz w:val="20"/>
                <w:szCs w:val="20"/>
                <w:color w:val="auto"/>
              </w:rPr>
            </w:pPr>
            <w:r>
              <w:rPr>
                <w:rFonts w:ascii="Verdana" w:cs="Verdana" w:eastAsia="Verdana" w:hAnsi="Verdana"/>
                <w:sz w:val="16"/>
                <w:szCs w:val="16"/>
                <w:color w:val="auto"/>
              </w:rPr>
              <w:t>Deferred tax assets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5"/>
        </w:trPr>
        <w:tc>
          <w:tcPr>
            <w:tcW w:w="1160" w:type="dxa"/>
            <w:vAlign w:val="bottom"/>
          </w:tcPr>
          <w:p>
            <w:pPr>
              <w:spacing w:after="0"/>
              <w:rPr>
                <w:sz w:val="20"/>
                <w:szCs w:val="20"/>
                <w:color w:val="auto"/>
              </w:rPr>
            </w:pPr>
          </w:p>
        </w:tc>
        <w:tc>
          <w:tcPr>
            <w:tcW w:w="7040" w:type="dxa"/>
            <w:vAlign w:val="bottom"/>
          </w:tcPr>
          <w:p>
            <w:pPr>
              <w:ind w:left="160"/>
              <w:spacing w:after="0"/>
              <w:rPr>
                <w:sz w:val="20"/>
                <w:szCs w:val="20"/>
                <w:color w:val="auto"/>
              </w:rPr>
            </w:pPr>
            <w:r>
              <w:rPr>
                <w:rFonts w:ascii="Verdana" w:cs="Verdana" w:eastAsia="Verdana" w:hAnsi="Verdana"/>
                <w:sz w:val="16"/>
                <w:szCs w:val="16"/>
                <w:color w:val="auto"/>
              </w:rPr>
              <w:t>Net operating loss carryforwards</w:t>
            </w:r>
          </w:p>
        </w:tc>
        <w:tc>
          <w:tcPr>
            <w:tcW w:w="20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1080" w:type="dxa"/>
            <w:vAlign w:val="bottom"/>
          </w:tcPr>
          <w:p>
            <w:pPr>
              <w:jc w:val="right"/>
              <w:ind w:right="62"/>
              <w:spacing w:after="0"/>
              <w:rPr>
                <w:sz w:val="20"/>
                <w:szCs w:val="20"/>
                <w:color w:val="auto"/>
              </w:rPr>
            </w:pPr>
            <w:r>
              <w:rPr>
                <w:rFonts w:ascii="Verdana" w:cs="Verdana" w:eastAsia="Verdana" w:hAnsi="Verdana"/>
                <w:sz w:val="16"/>
                <w:szCs w:val="16"/>
                <w:color w:val="214E93"/>
              </w:rPr>
              <w:t>118,860</w:t>
            </w:r>
          </w:p>
        </w:tc>
        <w:tc>
          <w:tcPr>
            <w:tcW w:w="300" w:type="dxa"/>
            <w:vAlign w:val="bottom"/>
          </w:tcPr>
          <w:p>
            <w:pPr>
              <w:jc w:val="right"/>
              <w:ind w:right="61"/>
              <w:spacing w:after="0"/>
              <w:rPr>
                <w:sz w:val="20"/>
                <w:szCs w:val="20"/>
                <w:color w:val="auto"/>
              </w:rPr>
            </w:pPr>
            <w:r>
              <w:rPr>
                <w:rFonts w:ascii="Verdana" w:cs="Verdana" w:eastAsia="Verdana" w:hAnsi="Verdana"/>
                <w:sz w:val="16"/>
                <w:szCs w:val="16"/>
                <w:color w:val="auto"/>
              </w:rPr>
              <w:t>$</w:t>
            </w:r>
          </w:p>
        </w:tc>
        <w:tc>
          <w:tcPr>
            <w:tcW w:w="940" w:type="dxa"/>
            <w:vAlign w:val="bottom"/>
          </w:tcPr>
          <w:p>
            <w:pPr>
              <w:jc w:val="right"/>
              <w:ind w:right="2"/>
              <w:spacing w:after="0"/>
              <w:rPr>
                <w:sz w:val="20"/>
                <w:szCs w:val="20"/>
                <w:color w:val="auto"/>
              </w:rPr>
            </w:pPr>
            <w:r>
              <w:rPr>
                <w:rFonts w:ascii="Verdana" w:cs="Verdana" w:eastAsia="Verdana" w:hAnsi="Verdana"/>
                <w:sz w:val="16"/>
                <w:szCs w:val="16"/>
                <w:color w:val="auto"/>
              </w:rPr>
              <w:t>14,338</w:t>
            </w:r>
          </w:p>
        </w:tc>
        <w:tc>
          <w:tcPr>
            <w:tcW w:w="780" w:type="dxa"/>
            <w:vAlign w:val="bottom"/>
          </w:tcPr>
          <w:p>
            <w:pPr>
              <w:spacing w:after="0"/>
              <w:rPr>
                <w:sz w:val="20"/>
                <w:szCs w:val="20"/>
                <w:color w:val="auto"/>
              </w:rPr>
            </w:pPr>
          </w:p>
        </w:tc>
      </w:tr>
      <w:tr>
        <w:trPr>
          <w:trHeight w:val="236"/>
        </w:trPr>
        <w:tc>
          <w:tcPr>
            <w:tcW w:w="1160" w:type="dxa"/>
            <w:vAlign w:val="bottom"/>
          </w:tcPr>
          <w:p>
            <w:pPr>
              <w:spacing w:after="0"/>
              <w:rPr>
                <w:sz w:val="20"/>
                <w:szCs w:val="20"/>
                <w:color w:val="auto"/>
              </w:rPr>
            </w:pPr>
          </w:p>
        </w:tc>
        <w:tc>
          <w:tcPr>
            <w:tcW w:w="7040" w:type="dxa"/>
            <w:vAlign w:val="bottom"/>
          </w:tcPr>
          <w:p>
            <w:pPr>
              <w:ind w:left="160"/>
              <w:spacing w:after="0"/>
              <w:rPr>
                <w:sz w:val="20"/>
                <w:szCs w:val="20"/>
                <w:color w:val="auto"/>
              </w:rPr>
            </w:pPr>
            <w:r>
              <w:rPr>
                <w:rFonts w:ascii="Verdana" w:cs="Verdana" w:eastAsia="Verdana" w:hAnsi="Verdana"/>
                <w:sz w:val="16"/>
                <w:szCs w:val="16"/>
                <w:color w:val="auto"/>
              </w:rPr>
              <w:t>Lease liabilities</w:t>
            </w:r>
          </w:p>
        </w:tc>
        <w:tc>
          <w:tcPr>
            <w:tcW w:w="200" w:type="dxa"/>
            <w:vAlign w:val="bottom"/>
          </w:tcPr>
          <w:p>
            <w:pPr>
              <w:spacing w:after="0"/>
              <w:rPr>
                <w:sz w:val="20"/>
                <w:szCs w:val="20"/>
                <w:color w:val="auto"/>
              </w:rPr>
            </w:pPr>
          </w:p>
        </w:tc>
        <w:tc>
          <w:tcPr>
            <w:tcW w:w="1080" w:type="dxa"/>
            <w:vAlign w:val="bottom"/>
          </w:tcPr>
          <w:p>
            <w:pPr>
              <w:jc w:val="right"/>
              <w:ind w:right="62"/>
              <w:spacing w:after="0"/>
              <w:rPr>
                <w:sz w:val="20"/>
                <w:szCs w:val="20"/>
                <w:color w:val="auto"/>
              </w:rPr>
            </w:pPr>
            <w:r>
              <w:rPr>
                <w:rFonts w:ascii="Verdana" w:cs="Verdana" w:eastAsia="Verdana" w:hAnsi="Verdana"/>
                <w:sz w:val="16"/>
                <w:szCs w:val="16"/>
                <w:color w:val="214E93"/>
              </w:rPr>
              <w:t>24,021</w:t>
            </w:r>
          </w:p>
        </w:tc>
        <w:tc>
          <w:tcPr>
            <w:tcW w:w="300" w:type="dxa"/>
            <w:vAlign w:val="bottom"/>
          </w:tcPr>
          <w:p>
            <w:pPr>
              <w:spacing w:after="0"/>
              <w:rPr>
                <w:sz w:val="20"/>
                <w:szCs w:val="20"/>
                <w:color w:val="auto"/>
              </w:rPr>
            </w:pPr>
          </w:p>
        </w:tc>
        <w:tc>
          <w:tcPr>
            <w:tcW w:w="940" w:type="dxa"/>
            <w:vAlign w:val="bottom"/>
          </w:tcPr>
          <w:p>
            <w:pPr>
              <w:jc w:val="right"/>
              <w:ind w:right="2"/>
              <w:spacing w:after="0"/>
              <w:rPr>
                <w:sz w:val="20"/>
                <w:szCs w:val="20"/>
                <w:color w:val="auto"/>
              </w:rPr>
            </w:pPr>
            <w:r>
              <w:rPr>
                <w:rFonts w:ascii="Verdana" w:cs="Verdana" w:eastAsia="Verdana" w:hAnsi="Verdana"/>
                <w:sz w:val="16"/>
                <w:szCs w:val="16"/>
                <w:color w:val="auto"/>
              </w:rPr>
              <w:t>31,843</w:t>
            </w:r>
          </w:p>
        </w:tc>
        <w:tc>
          <w:tcPr>
            <w:tcW w:w="780" w:type="dxa"/>
            <w:vAlign w:val="bottom"/>
          </w:tcPr>
          <w:p>
            <w:pPr>
              <w:spacing w:after="0"/>
              <w:rPr>
                <w:sz w:val="20"/>
                <w:szCs w:val="20"/>
                <w:color w:val="auto"/>
              </w:rPr>
            </w:pPr>
          </w:p>
        </w:tc>
      </w:tr>
      <w:tr>
        <w:trPr>
          <w:trHeight w:val="236"/>
        </w:trPr>
        <w:tc>
          <w:tcPr>
            <w:tcW w:w="1160" w:type="dxa"/>
            <w:vAlign w:val="bottom"/>
          </w:tcPr>
          <w:p>
            <w:pPr>
              <w:spacing w:after="0"/>
              <w:rPr>
                <w:sz w:val="20"/>
                <w:szCs w:val="20"/>
                <w:color w:val="auto"/>
              </w:rPr>
            </w:pPr>
          </w:p>
        </w:tc>
        <w:tc>
          <w:tcPr>
            <w:tcW w:w="7040" w:type="dxa"/>
            <w:vAlign w:val="bottom"/>
          </w:tcPr>
          <w:p>
            <w:pPr>
              <w:ind w:left="160"/>
              <w:spacing w:after="0"/>
              <w:rPr>
                <w:sz w:val="20"/>
                <w:szCs w:val="20"/>
                <w:color w:val="auto"/>
              </w:rPr>
            </w:pPr>
            <w:r>
              <w:rPr>
                <w:rFonts w:ascii="Verdana" w:cs="Verdana" w:eastAsia="Verdana" w:hAnsi="Verdana"/>
                <w:sz w:val="16"/>
                <w:szCs w:val="16"/>
                <w:color w:val="auto"/>
              </w:rPr>
              <w:t>Compensation</w:t>
            </w:r>
          </w:p>
        </w:tc>
        <w:tc>
          <w:tcPr>
            <w:tcW w:w="200" w:type="dxa"/>
            <w:vAlign w:val="bottom"/>
          </w:tcPr>
          <w:p>
            <w:pPr>
              <w:spacing w:after="0"/>
              <w:rPr>
                <w:sz w:val="20"/>
                <w:szCs w:val="20"/>
                <w:color w:val="auto"/>
              </w:rPr>
            </w:pPr>
          </w:p>
        </w:tc>
        <w:tc>
          <w:tcPr>
            <w:tcW w:w="1080" w:type="dxa"/>
            <w:vAlign w:val="bottom"/>
          </w:tcPr>
          <w:p>
            <w:pPr>
              <w:jc w:val="right"/>
              <w:ind w:right="62"/>
              <w:spacing w:after="0"/>
              <w:rPr>
                <w:sz w:val="20"/>
                <w:szCs w:val="20"/>
                <w:color w:val="auto"/>
              </w:rPr>
            </w:pPr>
            <w:r>
              <w:rPr>
                <w:rFonts w:ascii="Verdana" w:cs="Verdana" w:eastAsia="Verdana" w:hAnsi="Verdana"/>
                <w:sz w:val="16"/>
                <w:szCs w:val="16"/>
                <w:color w:val="214E93"/>
              </w:rPr>
              <w:t>17,615</w:t>
            </w:r>
          </w:p>
        </w:tc>
        <w:tc>
          <w:tcPr>
            <w:tcW w:w="300" w:type="dxa"/>
            <w:vAlign w:val="bottom"/>
          </w:tcPr>
          <w:p>
            <w:pPr>
              <w:spacing w:after="0"/>
              <w:rPr>
                <w:sz w:val="20"/>
                <w:szCs w:val="20"/>
                <w:color w:val="auto"/>
              </w:rPr>
            </w:pPr>
          </w:p>
        </w:tc>
        <w:tc>
          <w:tcPr>
            <w:tcW w:w="940" w:type="dxa"/>
            <w:vAlign w:val="bottom"/>
          </w:tcPr>
          <w:p>
            <w:pPr>
              <w:jc w:val="right"/>
              <w:ind w:right="2"/>
              <w:spacing w:after="0"/>
              <w:rPr>
                <w:sz w:val="20"/>
                <w:szCs w:val="20"/>
                <w:color w:val="auto"/>
              </w:rPr>
            </w:pPr>
            <w:r>
              <w:rPr>
                <w:rFonts w:ascii="Verdana" w:cs="Verdana" w:eastAsia="Verdana" w:hAnsi="Verdana"/>
                <w:sz w:val="16"/>
                <w:szCs w:val="16"/>
                <w:color w:val="auto"/>
              </w:rPr>
              <w:t>16,562</w:t>
            </w:r>
          </w:p>
        </w:tc>
        <w:tc>
          <w:tcPr>
            <w:tcW w:w="780" w:type="dxa"/>
            <w:vAlign w:val="bottom"/>
          </w:tcPr>
          <w:p>
            <w:pPr>
              <w:spacing w:after="0"/>
              <w:rPr>
                <w:sz w:val="20"/>
                <w:szCs w:val="20"/>
                <w:color w:val="auto"/>
              </w:rPr>
            </w:pPr>
          </w:p>
        </w:tc>
      </w:tr>
      <w:tr>
        <w:trPr>
          <w:trHeight w:val="236"/>
        </w:trPr>
        <w:tc>
          <w:tcPr>
            <w:tcW w:w="1160" w:type="dxa"/>
            <w:vAlign w:val="bottom"/>
          </w:tcPr>
          <w:p>
            <w:pPr>
              <w:spacing w:after="0"/>
              <w:rPr>
                <w:sz w:val="20"/>
                <w:szCs w:val="20"/>
                <w:color w:val="auto"/>
              </w:rPr>
            </w:pPr>
          </w:p>
        </w:tc>
        <w:tc>
          <w:tcPr>
            <w:tcW w:w="7040" w:type="dxa"/>
            <w:vAlign w:val="bottom"/>
          </w:tcPr>
          <w:p>
            <w:pPr>
              <w:ind w:left="160"/>
              <w:spacing w:after="0"/>
              <w:rPr>
                <w:sz w:val="20"/>
                <w:szCs w:val="20"/>
                <w:color w:val="auto"/>
              </w:rPr>
            </w:pPr>
            <w:r>
              <w:rPr>
                <w:rFonts w:ascii="Verdana" w:cs="Verdana" w:eastAsia="Verdana" w:hAnsi="Verdana"/>
                <w:sz w:val="16"/>
                <w:szCs w:val="16"/>
                <w:color w:val="auto"/>
              </w:rPr>
              <w:t>Research and experimental tax credits, net of reserve</w:t>
            </w:r>
          </w:p>
        </w:tc>
        <w:tc>
          <w:tcPr>
            <w:tcW w:w="200" w:type="dxa"/>
            <w:vAlign w:val="bottom"/>
          </w:tcPr>
          <w:p>
            <w:pPr>
              <w:spacing w:after="0"/>
              <w:rPr>
                <w:sz w:val="20"/>
                <w:szCs w:val="20"/>
                <w:color w:val="auto"/>
              </w:rPr>
            </w:pPr>
          </w:p>
        </w:tc>
        <w:tc>
          <w:tcPr>
            <w:tcW w:w="1080" w:type="dxa"/>
            <w:vAlign w:val="bottom"/>
          </w:tcPr>
          <w:p>
            <w:pPr>
              <w:jc w:val="right"/>
              <w:ind w:right="62"/>
              <w:spacing w:after="0"/>
              <w:rPr>
                <w:sz w:val="20"/>
                <w:szCs w:val="20"/>
                <w:color w:val="auto"/>
              </w:rPr>
            </w:pPr>
            <w:r>
              <w:rPr>
                <w:rFonts w:ascii="Verdana" w:cs="Verdana" w:eastAsia="Verdana" w:hAnsi="Verdana"/>
                <w:sz w:val="16"/>
                <w:szCs w:val="16"/>
                <w:color w:val="214E93"/>
              </w:rPr>
              <w:t>8,376</w:t>
            </w:r>
          </w:p>
        </w:tc>
        <w:tc>
          <w:tcPr>
            <w:tcW w:w="300" w:type="dxa"/>
            <w:vAlign w:val="bottom"/>
          </w:tcPr>
          <w:p>
            <w:pPr>
              <w:spacing w:after="0"/>
              <w:rPr>
                <w:sz w:val="20"/>
                <w:szCs w:val="20"/>
                <w:color w:val="auto"/>
              </w:rPr>
            </w:pPr>
          </w:p>
        </w:tc>
        <w:tc>
          <w:tcPr>
            <w:tcW w:w="940" w:type="dxa"/>
            <w:vAlign w:val="bottom"/>
          </w:tcPr>
          <w:p>
            <w:pPr>
              <w:jc w:val="right"/>
              <w:ind w:right="2"/>
              <w:spacing w:after="0"/>
              <w:rPr>
                <w:sz w:val="20"/>
                <w:szCs w:val="20"/>
                <w:color w:val="auto"/>
              </w:rPr>
            </w:pPr>
            <w:r>
              <w:rPr>
                <w:rFonts w:ascii="Verdana" w:cs="Verdana" w:eastAsia="Verdana" w:hAnsi="Verdana"/>
                <w:sz w:val="16"/>
                <w:szCs w:val="16"/>
                <w:color w:val="auto"/>
              </w:rPr>
              <w:t>1,117</w:t>
            </w:r>
          </w:p>
        </w:tc>
        <w:tc>
          <w:tcPr>
            <w:tcW w:w="780" w:type="dxa"/>
            <w:vAlign w:val="bottom"/>
          </w:tcPr>
          <w:p>
            <w:pPr>
              <w:spacing w:after="0"/>
              <w:rPr>
                <w:sz w:val="20"/>
                <w:szCs w:val="20"/>
                <w:color w:val="auto"/>
              </w:rPr>
            </w:pPr>
          </w:p>
        </w:tc>
      </w:tr>
      <w:tr>
        <w:trPr>
          <w:trHeight w:val="236"/>
        </w:trPr>
        <w:tc>
          <w:tcPr>
            <w:tcW w:w="1160" w:type="dxa"/>
            <w:vAlign w:val="bottom"/>
          </w:tcPr>
          <w:p>
            <w:pPr>
              <w:spacing w:after="0"/>
              <w:rPr>
                <w:sz w:val="20"/>
                <w:szCs w:val="20"/>
                <w:color w:val="auto"/>
              </w:rPr>
            </w:pPr>
          </w:p>
        </w:tc>
        <w:tc>
          <w:tcPr>
            <w:tcW w:w="7040" w:type="dxa"/>
            <w:vAlign w:val="bottom"/>
          </w:tcPr>
          <w:p>
            <w:pPr>
              <w:ind w:left="160"/>
              <w:spacing w:after="0"/>
              <w:rPr>
                <w:sz w:val="20"/>
                <w:szCs w:val="20"/>
                <w:color w:val="auto"/>
              </w:rPr>
            </w:pPr>
            <w:r>
              <w:rPr>
                <w:rFonts w:ascii="Verdana" w:cs="Verdana" w:eastAsia="Verdana" w:hAnsi="Verdana"/>
                <w:sz w:val="16"/>
                <w:szCs w:val="16"/>
                <w:color w:val="auto"/>
              </w:rPr>
              <w:t>Interest expense carryforward</w:t>
            </w:r>
          </w:p>
        </w:tc>
        <w:tc>
          <w:tcPr>
            <w:tcW w:w="200" w:type="dxa"/>
            <w:vAlign w:val="bottom"/>
          </w:tcPr>
          <w:p>
            <w:pPr>
              <w:spacing w:after="0"/>
              <w:rPr>
                <w:sz w:val="20"/>
                <w:szCs w:val="20"/>
                <w:color w:val="auto"/>
              </w:rPr>
            </w:pPr>
          </w:p>
        </w:tc>
        <w:tc>
          <w:tcPr>
            <w:tcW w:w="1080" w:type="dxa"/>
            <w:vAlign w:val="bottom"/>
          </w:tcPr>
          <w:p>
            <w:pPr>
              <w:jc w:val="right"/>
              <w:ind w:right="62"/>
              <w:spacing w:after="0"/>
              <w:rPr>
                <w:sz w:val="20"/>
                <w:szCs w:val="20"/>
                <w:color w:val="auto"/>
              </w:rPr>
            </w:pPr>
            <w:r>
              <w:rPr>
                <w:rFonts w:ascii="Verdana" w:cs="Verdana" w:eastAsia="Verdana" w:hAnsi="Verdana"/>
                <w:sz w:val="16"/>
                <w:szCs w:val="16"/>
                <w:color w:val="214E93"/>
              </w:rPr>
              <w:t>—</w:t>
            </w:r>
          </w:p>
        </w:tc>
        <w:tc>
          <w:tcPr>
            <w:tcW w:w="300" w:type="dxa"/>
            <w:vAlign w:val="bottom"/>
          </w:tcPr>
          <w:p>
            <w:pPr>
              <w:spacing w:after="0"/>
              <w:rPr>
                <w:sz w:val="20"/>
                <w:szCs w:val="20"/>
                <w:color w:val="auto"/>
              </w:rPr>
            </w:pPr>
          </w:p>
        </w:tc>
        <w:tc>
          <w:tcPr>
            <w:tcW w:w="940" w:type="dxa"/>
            <w:vAlign w:val="bottom"/>
          </w:tcPr>
          <w:p>
            <w:pPr>
              <w:jc w:val="right"/>
              <w:ind w:right="2"/>
              <w:spacing w:after="0"/>
              <w:rPr>
                <w:sz w:val="20"/>
                <w:szCs w:val="20"/>
                <w:color w:val="auto"/>
              </w:rPr>
            </w:pPr>
            <w:r>
              <w:rPr>
                <w:rFonts w:ascii="Verdana" w:cs="Verdana" w:eastAsia="Verdana" w:hAnsi="Verdana"/>
                <w:sz w:val="16"/>
                <w:szCs w:val="16"/>
                <w:color w:val="auto"/>
              </w:rPr>
              <w:t>15,891</w:t>
            </w:r>
          </w:p>
        </w:tc>
        <w:tc>
          <w:tcPr>
            <w:tcW w:w="780" w:type="dxa"/>
            <w:vAlign w:val="bottom"/>
          </w:tcPr>
          <w:p>
            <w:pPr>
              <w:spacing w:after="0"/>
              <w:rPr>
                <w:sz w:val="20"/>
                <w:szCs w:val="20"/>
                <w:color w:val="auto"/>
              </w:rPr>
            </w:pPr>
          </w:p>
        </w:tc>
      </w:tr>
      <w:tr>
        <w:trPr>
          <w:trHeight w:val="242"/>
        </w:trPr>
        <w:tc>
          <w:tcPr>
            <w:tcW w:w="1160" w:type="dxa"/>
            <w:vAlign w:val="bottom"/>
          </w:tcPr>
          <w:p>
            <w:pPr>
              <w:spacing w:after="0"/>
              <w:rPr>
                <w:sz w:val="21"/>
                <w:szCs w:val="21"/>
                <w:color w:val="auto"/>
              </w:rPr>
            </w:pPr>
          </w:p>
        </w:tc>
        <w:tc>
          <w:tcPr>
            <w:tcW w:w="7040" w:type="dxa"/>
            <w:vAlign w:val="bottom"/>
            <w:tcBorders>
              <w:bottom w:val="single" w:sz="8" w:color="auto"/>
            </w:tcBorders>
          </w:tcPr>
          <w:p>
            <w:pPr>
              <w:ind w:left="160"/>
              <w:spacing w:after="0"/>
              <w:rPr>
                <w:sz w:val="20"/>
                <w:szCs w:val="20"/>
                <w:color w:val="auto"/>
              </w:rPr>
            </w:pPr>
            <w:r>
              <w:rPr>
                <w:rFonts w:ascii="Verdana" w:cs="Verdana" w:eastAsia="Verdana" w:hAnsi="Verdana"/>
                <w:sz w:val="16"/>
                <w:szCs w:val="16"/>
                <w:color w:val="auto"/>
              </w:rPr>
              <w:t>Other</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62"/>
              <w:spacing w:after="0"/>
              <w:rPr>
                <w:sz w:val="20"/>
                <w:szCs w:val="20"/>
                <w:color w:val="auto"/>
              </w:rPr>
            </w:pPr>
            <w:r>
              <w:rPr>
                <w:rFonts w:ascii="Verdana" w:cs="Verdana" w:eastAsia="Verdana" w:hAnsi="Verdana"/>
                <w:sz w:val="16"/>
                <w:szCs w:val="16"/>
                <w:color w:val="214E93"/>
              </w:rPr>
              <w:t>2,553</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auto"/>
              </w:rPr>
              <w:t>1,677</w:t>
            </w:r>
          </w:p>
        </w:tc>
        <w:tc>
          <w:tcPr>
            <w:tcW w:w="780" w:type="dxa"/>
            <w:vAlign w:val="bottom"/>
          </w:tcPr>
          <w:p>
            <w:pPr>
              <w:spacing w:after="0"/>
              <w:rPr>
                <w:sz w:val="21"/>
                <w:szCs w:val="21"/>
                <w:color w:val="auto"/>
              </w:rPr>
            </w:pPr>
          </w:p>
        </w:tc>
      </w:tr>
      <w:tr>
        <w:trPr>
          <w:trHeight w:val="211"/>
        </w:trPr>
        <w:tc>
          <w:tcPr>
            <w:tcW w:w="1160" w:type="dxa"/>
            <w:vAlign w:val="bottom"/>
          </w:tcPr>
          <w:p>
            <w:pPr>
              <w:spacing w:after="0"/>
              <w:rPr>
                <w:sz w:val="18"/>
                <w:szCs w:val="18"/>
                <w:color w:val="auto"/>
              </w:rPr>
            </w:pPr>
          </w:p>
        </w:tc>
        <w:tc>
          <w:tcPr>
            <w:tcW w:w="7040" w:type="dxa"/>
            <w:vAlign w:val="bottom"/>
          </w:tcPr>
          <w:p>
            <w:pPr>
              <w:ind w:left="280"/>
              <w:spacing w:after="0"/>
              <w:rPr>
                <w:sz w:val="20"/>
                <w:szCs w:val="20"/>
                <w:color w:val="auto"/>
              </w:rPr>
            </w:pPr>
            <w:r>
              <w:rPr>
                <w:rFonts w:ascii="Verdana" w:cs="Verdana" w:eastAsia="Verdana" w:hAnsi="Verdana"/>
                <w:sz w:val="16"/>
                <w:szCs w:val="16"/>
                <w:color w:val="auto"/>
              </w:rPr>
              <w:t>Total deferred tax assets</w:t>
            </w:r>
          </w:p>
        </w:tc>
        <w:tc>
          <w:tcPr>
            <w:tcW w:w="200" w:type="dxa"/>
            <w:vAlign w:val="bottom"/>
          </w:tcPr>
          <w:p>
            <w:pPr>
              <w:spacing w:after="0"/>
              <w:rPr>
                <w:sz w:val="18"/>
                <w:szCs w:val="18"/>
                <w:color w:val="auto"/>
              </w:rPr>
            </w:pPr>
          </w:p>
        </w:tc>
        <w:tc>
          <w:tcPr>
            <w:tcW w:w="1080" w:type="dxa"/>
            <w:vAlign w:val="bottom"/>
          </w:tcPr>
          <w:p>
            <w:pPr>
              <w:jc w:val="right"/>
              <w:ind w:right="62"/>
              <w:spacing w:after="0"/>
              <w:rPr>
                <w:sz w:val="20"/>
                <w:szCs w:val="20"/>
                <w:color w:val="auto"/>
              </w:rPr>
            </w:pPr>
            <w:r>
              <w:rPr>
                <w:rFonts w:ascii="Verdana" w:cs="Verdana" w:eastAsia="Verdana" w:hAnsi="Verdana"/>
                <w:sz w:val="16"/>
                <w:szCs w:val="16"/>
                <w:color w:val="214E93"/>
              </w:rPr>
              <w:t>171,425</w:t>
            </w:r>
          </w:p>
        </w:tc>
        <w:tc>
          <w:tcPr>
            <w:tcW w:w="30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Verdana" w:cs="Verdana" w:eastAsia="Verdana" w:hAnsi="Verdana"/>
                <w:sz w:val="16"/>
                <w:szCs w:val="16"/>
                <w:color w:val="auto"/>
              </w:rPr>
              <w:t>81,428</w:t>
            </w:r>
          </w:p>
        </w:tc>
        <w:tc>
          <w:tcPr>
            <w:tcW w:w="780" w:type="dxa"/>
            <w:vAlign w:val="bottom"/>
          </w:tcPr>
          <w:p>
            <w:pPr>
              <w:spacing w:after="0"/>
              <w:rPr>
                <w:sz w:val="18"/>
                <w:szCs w:val="18"/>
                <w:color w:val="auto"/>
              </w:rPr>
            </w:pPr>
          </w:p>
        </w:tc>
      </w:tr>
      <w:tr>
        <w:trPr>
          <w:trHeight w:val="242"/>
        </w:trPr>
        <w:tc>
          <w:tcPr>
            <w:tcW w:w="1160" w:type="dxa"/>
            <w:vAlign w:val="bottom"/>
          </w:tcPr>
          <w:p>
            <w:pPr>
              <w:spacing w:after="0"/>
              <w:rPr>
                <w:sz w:val="21"/>
                <w:szCs w:val="21"/>
                <w:color w:val="auto"/>
              </w:rPr>
            </w:pPr>
          </w:p>
        </w:tc>
        <w:tc>
          <w:tcPr>
            <w:tcW w:w="7040" w:type="dxa"/>
            <w:vAlign w:val="bottom"/>
            <w:tcBorders>
              <w:bottom w:val="single" w:sz="8" w:color="auto"/>
            </w:tcBorders>
          </w:tcPr>
          <w:p>
            <w:pPr>
              <w:ind w:left="160"/>
              <w:spacing w:after="0"/>
              <w:rPr>
                <w:sz w:val="20"/>
                <w:szCs w:val="20"/>
                <w:color w:val="auto"/>
              </w:rPr>
            </w:pPr>
            <w:r>
              <w:rPr>
                <w:rFonts w:ascii="Verdana" w:cs="Verdana" w:eastAsia="Verdana" w:hAnsi="Verdana"/>
                <w:sz w:val="16"/>
                <w:szCs w:val="16"/>
                <w:color w:val="auto"/>
              </w:rPr>
              <w:t>Valuation allowance on deferred tax assets</w:t>
            </w: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214E93"/>
              </w:rPr>
              <w:t>$</w:t>
            </w:r>
          </w:p>
        </w:tc>
        <w:tc>
          <w:tcPr>
            <w:tcW w:w="108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214E93"/>
              </w:rPr>
              <w:t>(8,985)</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(11,957)</w:t>
            </w:r>
          </w:p>
        </w:tc>
        <w:tc>
          <w:tcPr>
            <w:tcW w:w="780" w:type="dxa"/>
            <w:vAlign w:val="bottom"/>
          </w:tcPr>
          <w:p>
            <w:pPr>
              <w:spacing w:after="0"/>
              <w:rPr>
                <w:sz w:val="21"/>
                <w:szCs w:val="21"/>
                <w:color w:val="auto"/>
              </w:rPr>
            </w:pPr>
          </w:p>
        </w:tc>
      </w:tr>
      <w:tr>
        <w:trPr>
          <w:trHeight w:val="211"/>
        </w:trPr>
        <w:tc>
          <w:tcPr>
            <w:tcW w:w="1160" w:type="dxa"/>
            <w:vAlign w:val="bottom"/>
          </w:tcPr>
          <w:p>
            <w:pPr>
              <w:spacing w:after="0"/>
              <w:rPr>
                <w:sz w:val="18"/>
                <w:szCs w:val="18"/>
                <w:color w:val="auto"/>
              </w:rPr>
            </w:pPr>
          </w:p>
        </w:tc>
        <w:tc>
          <w:tcPr>
            <w:tcW w:w="7040" w:type="dxa"/>
            <w:vAlign w:val="bottom"/>
          </w:tcPr>
          <w:p>
            <w:pPr>
              <w:ind w:left="280"/>
              <w:spacing w:after="0"/>
              <w:rPr>
                <w:sz w:val="20"/>
                <w:szCs w:val="20"/>
                <w:color w:val="auto"/>
              </w:rPr>
            </w:pPr>
            <w:r>
              <w:rPr>
                <w:rFonts w:ascii="Verdana" w:cs="Verdana" w:eastAsia="Verdana" w:hAnsi="Verdana"/>
                <w:sz w:val="16"/>
                <w:szCs w:val="16"/>
                <w:color w:val="auto"/>
              </w:rPr>
              <w:t>Total deferred tax assets, net of valuation allowance</w:t>
            </w:r>
          </w:p>
        </w:tc>
        <w:tc>
          <w:tcPr>
            <w:tcW w:w="200" w:type="dxa"/>
            <w:vAlign w:val="bottom"/>
          </w:tcPr>
          <w:p>
            <w:pPr>
              <w:spacing w:after="0"/>
              <w:rPr>
                <w:sz w:val="18"/>
                <w:szCs w:val="18"/>
                <w:color w:val="auto"/>
              </w:rPr>
            </w:pPr>
          </w:p>
        </w:tc>
        <w:tc>
          <w:tcPr>
            <w:tcW w:w="1080" w:type="dxa"/>
            <w:vAlign w:val="bottom"/>
          </w:tcPr>
          <w:p>
            <w:pPr>
              <w:jc w:val="right"/>
              <w:ind w:right="62"/>
              <w:spacing w:after="0"/>
              <w:rPr>
                <w:sz w:val="20"/>
                <w:szCs w:val="20"/>
                <w:color w:val="auto"/>
              </w:rPr>
            </w:pPr>
            <w:r>
              <w:rPr>
                <w:rFonts w:ascii="Verdana" w:cs="Verdana" w:eastAsia="Verdana" w:hAnsi="Verdana"/>
                <w:sz w:val="16"/>
                <w:szCs w:val="16"/>
                <w:color w:val="214E93"/>
              </w:rPr>
              <w:t>162,440</w:t>
            </w:r>
          </w:p>
        </w:tc>
        <w:tc>
          <w:tcPr>
            <w:tcW w:w="30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Verdana" w:cs="Verdana" w:eastAsia="Verdana" w:hAnsi="Verdana"/>
                <w:sz w:val="16"/>
                <w:szCs w:val="16"/>
                <w:color w:val="auto"/>
              </w:rPr>
              <w:t>69,471</w:t>
            </w:r>
          </w:p>
        </w:tc>
        <w:tc>
          <w:tcPr>
            <w:tcW w:w="78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7040" w:type="dxa"/>
            <w:vAlign w:val="bottom"/>
          </w:tcPr>
          <w:p>
            <w:pPr>
              <w:ind w:left="40"/>
              <w:spacing w:after="0"/>
              <w:rPr>
                <w:sz w:val="20"/>
                <w:szCs w:val="20"/>
                <w:color w:val="auto"/>
              </w:rPr>
            </w:pPr>
            <w:r>
              <w:rPr>
                <w:rFonts w:ascii="Verdana" w:cs="Verdana" w:eastAsia="Verdana" w:hAnsi="Verdana"/>
                <w:sz w:val="16"/>
                <w:szCs w:val="16"/>
                <w:color w:val="auto"/>
              </w:rPr>
              <w:t>Deferred tax liabilities</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8"/>
        </w:trPr>
        <w:tc>
          <w:tcPr>
            <w:tcW w:w="1160" w:type="dxa"/>
            <w:vAlign w:val="bottom"/>
          </w:tcPr>
          <w:p>
            <w:pPr>
              <w:spacing w:after="0"/>
              <w:rPr>
                <w:sz w:val="20"/>
                <w:szCs w:val="20"/>
                <w:color w:val="auto"/>
              </w:rPr>
            </w:pPr>
          </w:p>
        </w:tc>
        <w:tc>
          <w:tcPr>
            <w:tcW w:w="7040" w:type="dxa"/>
            <w:vAlign w:val="bottom"/>
          </w:tcPr>
          <w:p>
            <w:pPr>
              <w:ind w:left="160"/>
              <w:spacing w:after="0"/>
              <w:rPr>
                <w:sz w:val="20"/>
                <w:szCs w:val="20"/>
                <w:color w:val="auto"/>
              </w:rPr>
            </w:pPr>
            <w:r>
              <w:rPr>
                <w:rFonts w:ascii="Verdana" w:cs="Verdana" w:eastAsia="Verdana" w:hAnsi="Verdana"/>
                <w:sz w:val="16"/>
                <w:szCs w:val="16"/>
                <w:color w:val="auto"/>
              </w:rPr>
              <w:t>Property and equipment</w:t>
            </w:r>
          </w:p>
        </w:tc>
        <w:tc>
          <w:tcPr>
            <w:tcW w:w="200" w:type="dxa"/>
            <w:vAlign w:val="bottom"/>
          </w:tcPr>
          <w:p>
            <w:pPr>
              <w:spacing w:after="0"/>
              <w:rPr>
                <w:sz w:val="20"/>
                <w:szCs w:val="20"/>
                <w:color w:val="auto"/>
              </w:rPr>
            </w:pPr>
          </w:p>
        </w:tc>
        <w:tc>
          <w:tcPr>
            <w:tcW w:w="1080" w:type="dxa"/>
            <w:vAlign w:val="bottom"/>
          </w:tcPr>
          <w:p>
            <w:pPr>
              <w:jc w:val="right"/>
              <w:ind w:right="2"/>
              <w:spacing w:after="0"/>
              <w:rPr>
                <w:sz w:val="20"/>
                <w:szCs w:val="20"/>
                <w:color w:val="auto"/>
              </w:rPr>
            </w:pPr>
            <w:r>
              <w:rPr>
                <w:rFonts w:ascii="Verdana" w:cs="Verdana" w:eastAsia="Verdana" w:hAnsi="Verdana"/>
                <w:sz w:val="16"/>
                <w:szCs w:val="16"/>
                <w:color w:val="214E93"/>
              </w:rPr>
              <w:t>(1,036,280)</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Verdana" w:cs="Verdana" w:eastAsia="Verdana" w:hAnsi="Verdana"/>
                <w:sz w:val="16"/>
                <w:szCs w:val="16"/>
                <w:color w:val="auto"/>
              </w:rPr>
              <w:t>(802,186)</w:t>
            </w:r>
          </w:p>
        </w:tc>
        <w:tc>
          <w:tcPr>
            <w:tcW w:w="780" w:type="dxa"/>
            <w:vAlign w:val="bottom"/>
          </w:tcPr>
          <w:p>
            <w:pPr>
              <w:spacing w:after="0"/>
              <w:rPr>
                <w:sz w:val="20"/>
                <w:szCs w:val="20"/>
                <w:color w:val="auto"/>
              </w:rPr>
            </w:pPr>
          </w:p>
        </w:tc>
      </w:tr>
      <w:tr>
        <w:trPr>
          <w:trHeight w:val="236"/>
        </w:trPr>
        <w:tc>
          <w:tcPr>
            <w:tcW w:w="1160" w:type="dxa"/>
            <w:vAlign w:val="bottom"/>
          </w:tcPr>
          <w:p>
            <w:pPr>
              <w:spacing w:after="0"/>
              <w:rPr>
                <w:sz w:val="20"/>
                <w:szCs w:val="20"/>
                <w:color w:val="auto"/>
              </w:rPr>
            </w:pPr>
          </w:p>
        </w:tc>
        <w:tc>
          <w:tcPr>
            <w:tcW w:w="7040" w:type="dxa"/>
            <w:vAlign w:val="bottom"/>
          </w:tcPr>
          <w:p>
            <w:pPr>
              <w:ind w:left="160"/>
              <w:spacing w:after="0"/>
              <w:rPr>
                <w:sz w:val="20"/>
                <w:szCs w:val="20"/>
                <w:color w:val="auto"/>
              </w:rPr>
            </w:pPr>
            <w:r>
              <w:rPr>
                <w:rFonts w:ascii="Verdana" w:cs="Verdana" w:eastAsia="Verdana" w:hAnsi="Verdana"/>
                <w:sz w:val="16"/>
                <w:szCs w:val="16"/>
                <w:color w:val="auto"/>
              </w:rPr>
              <w:t>Less than wholly-owned subsidiaries</w:t>
            </w:r>
          </w:p>
        </w:tc>
        <w:tc>
          <w:tcPr>
            <w:tcW w:w="200" w:type="dxa"/>
            <w:vAlign w:val="bottom"/>
          </w:tcPr>
          <w:p>
            <w:pPr>
              <w:spacing w:after="0"/>
              <w:rPr>
                <w:sz w:val="20"/>
                <w:szCs w:val="20"/>
                <w:color w:val="auto"/>
              </w:rPr>
            </w:pPr>
          </w:p>
        </w:tc>
        <w:tc>
          <w:tcPr>
            <w:tcW w:w="1080" w:type="dxa"/>
            <w:vAlign w:val="bottom"/>
          </w:tcPr>
          <w:p>
            <w:pPr>
              <w:jc w:val="right"/>
              <w:ind w:right="2"/>
              <w:spacing w:after="0"/>
              <w:rPr>
                <w:sz w:val="20"/>
                <w:szCs w:val="20"/>
                <w:color w:val="auto"/>
              </w:rPr>
            </w:pPr>
            <w:r>
              <w:rPr>
                <w:rFonts w:ascii="Verdana" w:cs="Verdana" w:eastAsia="Verdana" w:hAnsi="Verdana"/>
                <w:sz w:val="16"/>
                <w:szCs w:val="16"/>
                <w:color w:val="214E93"/>
              </w:rPr>
              <w:t>(107,566)</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Verdana" w:cs="Verdana" w:eastAsia="Verdana" w:hAnsi="Verdana"/>
                <w:sz w:val="16"/>
                <w:szCs w:val="16"/>
                <w:color w:val="auto"/>
              </w:rPr>
              <w:t>(75,580)</w:t>
            </w:r>
          </w:p>
        </w:tc>
        <w:tc>
          <w:tcPr>
            <w:tcW w:w="780" w:type="dxa"/>
            <w:vAlign w:val="bottom"/>
          </w:tcPr>
          <w:p>
            <w:pPr>
              <w:spacing w:after="0"/>
              <w:rPr>
                <w:sz w:val="20"/>
                <w:szCs w:val="20"/>
                <w:color w:val="auto"/>
              </w:rPr>
            </w:pPr>
          </w:p>
        </w:tc>
      </w:tr>
      <w:tr>
        <w:trPr>
          <w:trHeight w:val="236"/>
        </w:trPr>
        <w:tc>
          <w:tcPr>
            <w:tcW w:w="1160" w:type="dxa"/>
            <w:vAlign w:val="bottom"/>
          </w:tcPr>
          <w:p>
            <w:pPr>
              <w:spacing w:after="0"/>
              <w:rPr>
                <w:sz w:val="20"/>
                <w:szCs w:val="20"/>
                <w:color w:val="auto"/>
              </w:rPr>
            </w:pPr>
          </w:p>
        </w:tc>
        <w:tc>
          <w:tcPr>
            <w:tcW w:w="7040" w:type="dxa"/>
            <w:vAlign w:val="bottom"/>
          </w:tcPr>
          <w:p>
            <w:pPr>
              <w:ind w:left="160"/>
              <w:spacing w:after="0"/>
              <w:rPr>
                <w:sz w:val="20"/>
                <w:szCs w:val="20"/>
                <w:color w:val="auto"/>
              </w:rPr>
            </w:pPr>
            <w:r>
              <w:rPr>
                <w:rFonts w:ascii="Verdana" w:cs="Verdana" w:eastAsia="Verdana" w:hAnsi="Verdana"/>
                <w:sz w:val="16"/>
                <w:szCs w:val="16"/>
                <w:color w:val="auto"/>
              </w:rPr>
              <w:t>Lease right of use assets</w:t>
            </w:r>
          </w:p>
        </w:tc>
        <w:tc>
          <w:tcPr>
            <w:tcW w:w="200" w:type="dxa"/>
            <w:vAlign w:val="bottom"/>
          </w:tcPr>
          <w:p>
            <w:pPr>
              <w:spacing w:after="0"/>
              <w:rPr>
                <w:sz w:val="20"/>
                <w:szCs w:val="20"/>
                <w:color w:val="auto"/>
              </w:rPr>
            </w:pPr>
          </w:p>
        </w:tc>
        <w:tc>
          <w:tcPr>
            <w:tcW w:w="1080" w:type="dxa"/>
            <w:vAlign w:val="bottom"/>
          </w:tcPr>
          <w:p>
            <w:pPr>
              <w:jc w:val="right"/>
              <w:ind w:right="2"/>
              <w:spacing w:after="0"/>
              <w:rPr>
                <w:sz w:val="20"/>
                <w:szCs w:val="20"/>
                <w:color w:val="auto"/>
              </w:rPr>
            </w:pPr>
            <w:r>
              <w:rPr>
                <w:rFonts w:ascii="Verdana" w:cs="Verdana" w:eastAsia="Verdana" w:hAnsi="Verdana"/>
                <w:sz w:val="16"/>
                <w:szCs w:val="16"/>
                <w:color w:val="214E93"/>
              </w:rPr>
              <w:t>(24,021)</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Verdana" w:cs="Verdana" w:eastAsia="Verdana" w:hAnsi="Verdana"/>
                <w:sz w:val="16"/>
                <w:szCs w:val="16"/>
                <w:color w:val="auto"/>
              </w:rPr>
              <w:t>(31,843)</w:t>
            </w:r>
          </w:p>
        </w:tc>
        <w:tc>
          <w:tcPr>
            <w:tcW w:w="780" w:type="dxa"/>
            <w:vAlign w:val="bottom"/>
          </w:tcPr>
          <w:p>
            <w:pPr>
              <w:spacing w:after="0"/>
              <w:rPr>
                <w:sz w:val="20"/>
                <w:szCs w:val="20"/>
                <w:color w:val="auto"/>
              </w:rPr>
            </w:pPr>
          </w:p>
        </w:tc>
      </w:tr>
      <w:tr>
        <w:trPr>
          <w:trHeight w:val="236"/>
        </w:trPr>
        <w:tc>
          <w:tcPr>
            <w:tcW w:w="1160" w:type="dxa"/>
            <w:vAlign w:val="bottom"/>
          </w:tcPr>
          <w:p>
            <w:pPr>
              <w:spacing w:after="0"/>
              <w:rPr>
                <w:sz w:val="20"/>
                <w:szCs w:val="20"/>
                <w:color w:val="auto"/>
              </w:rPr>
            </w:pPr>
          </w:p>
        </w:tc>
        <w:tc>
          <w:tcPr>
            <w:tcW w:w="7040" w:type="dxa"/>
            <w:vAlign w:val="bottom"/>
          </w:tcPr>
          <w:p>
            <w:pPr>
              <w:ind w:left="160"/>
              <w:spacing w:after="0"/>
              <w:rPr>
                <w:sz w:val="20"/>
                <w:szCs w:val="20"/>
                <w:color w:val="auto"/>
              </w:rPr>
            </w:pPr>
            <w:r>
              <w:rPr>
                <w:rFonts w:ascii="Verdana" w:cs="Verdana" w:eastAsia="Verdana" w:hAnsi="Verdana"/>
                <w:sz w:val="16"/>
                <w:szCs w:val="16"/>
                <w:color w:val="auto"/>
              </w:rPr>
              <w:t>Unrealized gain on derivatives</w:t>
            </w:r>
          </w:p>
        </w:tc>
        <w:tc>
          <w:tcPr>
            <w:tcW w:w="200" w:type="dxa"/>
            <w:vAlign w:val="bottom"/>
          </w:tcPr>
          <w:p>
            <w:pPr>
              <w:spacing w:after="0"/>
              <w:rPr>
                <w:sz w:val="20"/>
                <w:szCs w:val="20"/>
                <w:color w:val="auto"/>
              </w:rPr>
            </w:pPr>
          </w:p>
        </w:tc>
        <w:tc>
          <w:tcPr>
            <w:tcW w:w="1080" w:type="dxa"/>
            <w:vAlign w:val="bottom"/>
          </w:tcPr>
          <w:p>
            <w:pPr>
              <w:jc w:val="right"/>
              <w:ind w:right="2"/>
              <w:spacing w:after="0"/>
              <w:rPr>
                <w:sz w:val="20"/>
                <w:szCs w:val="20"/>
                <w:color w:val="auto"/>
              </w:rPr>
            </w:pPr>
            <w:r>
              <w:rPr>
                <w:rFonts w:ascii="Verdana" w:cs="Verdana" w:eastAsia="Verdana" w:hAnsi="Verdana"/>
                <w:sz w:val="16"/>
                <w:szCs w:val="16"/>
                <w:color w:val="214E93"/>
              </w:rPr>
              <w:t>(8,097)</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Verdana" w:cs="Verdana" w:eastAsia="Verdana" w:hAnsi="Verdana"/>
                <w:sz w:val="16"/>
                <w:szCs w:val="16"/>
                <w:color w:val="auto"/>
              </w:rPr>
              <w:t>(4,039)</w:t>
            </w:r>
          </w:p>
        </w:tc>
        <w:tc>
          <w:tcPr>
            <w:tcW w:w="780" w:type="dxa"/>
            <w:vAlign w:val="bottom"/>
          </w:tcPr>
          <w:p>
            <w:pPr>
              <w:spacing w:after="0"/>
              <w:rPr>
                <w:sz w:val="20"/>
                <w:szCs w:val="20"/>
                <w:color w:val="auto"/>
              </w:rPr>
            </w:pPr>
          </w:p>
        </w:tc>
      </w:tr>
      <w:tr>
        <w:trPr>
          <w:trHeight w:val="242"/>
        </w:trPr>
        <w:tc>
          <w:tcPr>
            <w:tcW w:w="1160" w:type="dxa"/>
            <w:vAlign w:val="bottom"/>
          </w:tcPr>
          <w:p>
            <w:pPr>
              <w:spacing w:after="0"/>
              <w:rPr>
                <w:sz w:val="21"/>
                <w:szCs w:val="21"/>
                <w:color w:val="auto"/>
              </w:rPr>
            </w:pPr>
          </w:p>
        </w:tc>
        <w:tc>
          <w:tcPr>
            <w:tcW w:w="7040" w:type="dxa"/>
            <w:vAlign w:val="bottom"/>
            <w:tcBorders>
              <w:bottom w:val="single" w:sz="8" w:color="auto"/>
            </w:tcBorders>
          </w:tcPr>
          <w:p>
            <w:pPr>
              <w:ind w:left="160"/>
              <w:spacing w:after="0"/>
              <w:rPr>
                <w:sz w:val="20"/>
                <w:szCs w:val="20"/>
                <w:color w:val="auto"/>
              </w:rPr>
            </w:pPr>
            <w:r>
              <w:rPr>
                <w:rFonts w:ascii="Verdana" w:cs="Verdana" w:eastAsia="Verdana" w:hAnsi="Verdana"/>
                <w:sz w:val="16"/>
                <w:szCs w:val="16"/>
                <w:color w:val="auto"/>
              </w:rPr>
              <w:t>Other</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214E93"/>
              </w:rPr>
              <w:t>(2,407)</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(3,489)</w:t>
            </w:r>
          </w:p>
        </w:tc>
        <w:tc>
          <w:tcPr>
            <w:tcW w:w="780" w:type="dxa"/>
            <w:vAlign w:val="bottom"/>
          </w:tcPr>
          <w:p>
            <w:pPr>
              <w:spacing w:after="0"/>
              <w:rPr>
                <w:sz w:val="21"/>
                <w:szCs w:val="21"/>
                <w:color w:val="auto"/>
              </w:rPr>
            </w:pPr>
          </w:p>
        </w:tc>
      </w:tr>
      <w:tr>
        <w:trPr>
          <w:trHeight w:val="216"/>
        </w:trPr>
        <w:tc>
          <w:tcPr>
            <w:tcW w:w="1160" w:type="dxa"/>
            <w:vAlign w:val="bottom"/>
          </w:tcPr>
          <w:p>
            <w:pPr>
              <w:spacing w:after="0"/>
              <w:rPr>
                <w:sz w:val="18"/>
                <w:szCs w:val="18"/>
                <w:color w:val="auto"/>
              </w:rPr>
            </w:pPr>
          </w:p>
        </w:tc>
        <w:tc>
          <w:tcPr>
            <w:tcW w:w="7040" w:type="dxa"/>
            <w:vAlign w:val="bottom"/>
            <w:tcBorders>
              <w:bottom w:val="single" w:sz="8" w:color="auto"/>
            </w:tcBorders>
          </w:tcPr>
          <w:p>
            <w:pPr>
              <w:ind w:left="280"/>
              <w:spacing w:after="0"/>
              <w:rPr>
                <w:sz w:val="20"/>
                <w:szCs w:val="20"/>
                <w:color w:val="auto"/>
              </w:rPr>
            </w:pPr>
            <w:r>
              <w:rPr>
                <w:rFonts w:ascii="Verdana" w:cs="Verdana" w:eastAsia="Verdana" w:hAnsi="Verdana"/>
                <w:sz w:val="16"/>
                <w:szCs w:val="16"/>
                <w:color w:val="auto"/>
              </w:rPr>
              <w:t>Total deferred tax liabilities</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214E93"/>
              </w:rPr>
              <w:t>(1,178,371)</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(917,137)</w:t>
            </w:r>
          </w:p>
        </w:tc>
        <w:tc>
          <w:tcPr>
            <w:tcW w:w="780" w:type="dxa"/>
            <w:vAlign w:val="bottom"/>
          </w:tcPr>
          <w:p>
            <w:pPr>
              <w:spacing w:after="0"/>
              <w:rPr>
                <w:sz w:val="18"/>
                <w:szCs w:val="18"/>
                <w:color w:val="auto"/>
              </w:rPr>
            </w:pPr>
          </w:p>
        </w:tc>
      </w:tr>
      <w:tr>
        <w:trPr>
          <w:trHeight w:val="217"/>
        </w:trPr>
        <w:tc>
          <w:tcPr>
            <w:tcW w:w="1160" w:type="dxa"/>
            <w:vAlign w:val="bottom"/>
          </w:tcPr>
          <w:p>
            <w:pPr>
              <w:spacing w:after="0"/>
              <w:rPr>
                <w:sz w:val="18"/>
                <w:szCs w:val="18"/>
                <w:color w:val="auto"/>
              </w:rPr>
            </w:pPr>
          </w:p>
        </w:tc>
        <w:tc>
          <w:tcPr>
            <w:tcW w:w="7040" w:type="dxa"/>
            <w:vAlign w:val="bottom"/>
            <w:tcBorders>
              <w:bottom w:val="single" w:sz="8" w:color="214E93"/>
            </w:tcBorders>
          </w:tcPr>
          <w:p>
            <w:pPr>
              <w:ind w:left="400"/>
              <w:spacing w:after="0"/>
              <w:rPr>
                <w:sz w:val="20"/>
                <w:szCs w:val="20"/>
                <w:color w:val="auto"/>
              </w:rPr>
            </w:pPr>
            <w:r>
              <w:rPr>
                <w:rFonts w:ascii="Verdana" w:cs="Verdana" w:eastAsia="Verdana" w:hAnsi="Verdana"/>
                <w:sz w:val="16"/>
                <w:szCs w:val="16"/>
                <w:color w:val="auto"/>
              </w:rPr>
              <w:t>Net deferred tax liabilities</w:t>
            </w:r>
          </w:p>
        </w:tc>
        <w:tc>
          <w:tcPr>
            <w:tcW w:w="20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w:t>
            </w:r>
          </w:p>
        </w:tc>
        <w:tc>
          <w:tcPr>
            <w:tcW w:w="1080" w:type="dxa"/>
            <w:vAlign w:val="bottom"/>
            <w:tcBorders>
              <w:bottom w:val="single" w:sz="8" w:color="214E93"/>
            </w:tcBorders>
          </w:tcPr>
          <w:p>
            <w:pPr>
              <w:jc w:val="right"/>
              <w:ind w:right="2"/>
              <w:spacing w:after="0"/>
              <w:rPr>
                <w:sz w:val="20"/>
                <w:szCs w:val="20"/>
                <w:color w:val="auto"/>
              </w:rPr>
            </w:pPr>
            <w:r>
              <w:rPr>
                <w:rFonts w:ascii="Verdana" w:cs="Verdana" w:eastAsia="Verdana" w:hAnsi="Verdana"/>
                <w:sz w:val="16"/>
                <w:szCs w:val="16"/>
                <w:color w:val="214E93"/>
              </w:rPr>
              <w:t>(1,015,931)</w:t>
            </w:r>
          </w:p>
        </w:tc>
        <w:tc>
          <w:tcPr>
            <w:tcW w:w="300" w:type="dxa"/>
            <w:vAlign w:val="bottom"/>
            <w:tcBorders>
              <w:bottom w:val="single" w:sz="8" w:color="214E93"/>
            </w:tcBorders>
          </w:tcPr>
          <w:p>
            <w:pPr>
              <w:jc w:val="right"/>
              <w:ind w:right="61"/>
              <w:spacing w:after="0"/>
              <w:rPr>
                <w:sz w:val="20"/>
                <w:szCs w:val="20"/>
                <w:color w:val="auto"/>
              </w:rPr>
            </w:pPr>
            <w:r>
              <w:rPr>
                <w:rFonts w:ascii="Verdana" w:cs="Verdana" w:eastAsia="Verdana" w:hAnsi="Verdana"/>
                <w:sz w:val="16"/>
                <w:szCs w:val="16"/>
                <w:color w:val="auto"/>
              </w:rPr>
              <w:t>$</w:t>
            </w:r>
          </w:p>
        </w:tc>
        <w:tc>
          <w:tcPr>
            <w:tcW w:w="94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(847,666)</w:t>
            </w:r>
          </w:p>
        </w:tc>
        <w:tc>
          <w:tcPr>
            <w:tcW w:w="7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-3329305</wp:posOffset>
                </wp:positionV>
                <wp:extent cx="6811645" cy="0"/>
                <wp:wrapNone/>
                <wp:docPr id="318" name="Shape 3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8" o:spid="_x0000_s13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2.1499pt" to="536.35pt,-262.1499pt" o:allowincell="f" strokecolor="#000000" strokeweight="0pt"/>
            </w:pict>
          </mc:Fallback>
        </mc:AlternateContent>
      </w:r>
    </w:p>
    <w:p>
      <w:pPr>
        <w:spacing w:after="0" w:line="228" w:lineRule="exact"/>
        <w:rPr>
          <w:sz w:val="20"/>
          <w:szCs w:val="20"/>
          <w:color w:val="auto"/>
        </w:rPr>
      </w:pPr>
    </w:p>
    <w:p>
      <w:pPr>
        <w:ind w:left="1160" w:right="820" w:firstLine="241"/>
        <w:spacing w:after="0" w:line="267" w:lineRule="auto"/>
        <w:rPr>
          <w:sz w:val="20"/>
          <w:szCs w:val="20"/>
          <w:color w:val="auto"/>
        </w:rPr>
      </w:pPr>
      <w:r>
        <w:rPr>
          <w:rFonts w:ascii="Calibri" w:cs="Calibri" w:eastAsia="Calibri" w:hAnsi="Calibri"/>
          <w:sz w:val="18"/>
          <w:szCs w:val="18"/>
          <w:color w:val="auto"/>
        </w:rPr>
        <w:t>At December 31, 2025, the Company had a federal net operating loss (“NOL”) carryforward and research and experimental credit carryforward of $97.3 million and $10.4 million, respectively. The federal NOL carryforward is indefinite-lived, and the research and experimental credit carryforward expires in 2045. At December 31, 2025, the Company had state NOL carryforwards and research and experimental credit carryforwards of $21.5 million and $4.3 million, respectively. State NOL carryforwards were comprised of $11.1 million and $10.0 million related to Louisiana and New Mexico, respectively. The Louisiana NOL carryforwards are fully offset by a valuation allowance, and the New Mexico NOL carryforward expires in 2045. The state research and experimental credit carryforwards all relate to Texas and begin expiring in 2038.</w:t>
      </w:r>
    </w:p>
    <w:p>
      <w:pPr>
        <w:spacing w:after="0" w:line="220" w:lineRule="exact"/>
        <w:rPr>
          <w:sz w:val="20"/>
          <w:szCs w:val="20"/>
          <w:color w:val="auto"/>
        </w:rPr>
      </w:pPr>
    </w:p>
    <w:p>
      <w:pPr>
        <w:ind w:left="1160" w:right="880" w:firstLine="241"/>
        <w:spacing w:after="0" w:line="252" w:lineRule="auto"/>
        <w:rPr>
          <w:sz w:val="20"/>
          <w:szCs w:val="20"/>
          <w:color w:val="auto"/>
        </w:rPr>
      </w:pPr>
      <w:r>
        <w:rPr>
          <w:rFonts w:ascii="Calibri" w:cs="Calibri" w:eastAsia="Calibri" w:hAnsi="Calibri"/>
          <w:sz w:val="18"/>
          <w:szCs w:val="18"/>
          <w:color w:val="auto"/>
        </w:rPr>
        <w:t>The current income tax provision and the deferred income tax provision for the years ended December 31, 2025, 2024 and 2023 were comprised of the following (in thousands).</w:t>
      </w:r>
    </w:p>
    <w:p>
      <w:pPr>
        <w:spacing w:after="0" w:line="306" w:lineRule="exact"/>
        <w:rPr>
          <w:sz w:val="20"/>
          <w:szCs w:val="20"/>
          <w:color w:val="auto"/>
        </w:rPr>
      </w:pPr>
    </w:p>
    <w:tbl>
      <w:tblPr>
        <w:tblLayout w:type="fixed"/>
        <w:tblInd w:w="1160" w:type="dxa"/>
        <w:tblCellMar>
          <w:top w:w="0" w:type="dxa"/>
          <w:left w:w="0" w:type="dxa"/>
          <w:bottom w:w="0" w:type="dxa"/>
          <w:right w:w="0" w:type="dxa"/>
        </w:tblCellMar>
      </w:tblPr>
      <w:tr>
        <w:trPr>
          <w:trHeight w:val="193"/>
        </w:trPr>
        <w:tc>
          <w:tcPr>
            <w:tcW w:w="5740" w:type="dxa"/>
            <w:vAlign w:val="bottom"/>
          </w:tcPr>
          <w:p>
            <w:pPr>
              <w:spacing w:after="0"/>
              <w:rPr>
                <w:sz w:val="16"/>
                <w:szCs w:val="16"/>
                <w:color w:val="auto"/>
              </w:rPr>
            </w:pPr>
          </w:p>
        </w:tc>
        <w:tc>
          <w:tcPr>
            <w:tcW w:w="300" w:type="dxa"/>
            <w:vAlign w:val="bottom"/>
            <w:tcBorders>
              <w:bottom w:val="single" w:sz="8" w:color="214E93"/>
            </w:tcBorders>
          </w:tcPr>
          <w:p>
            <w:pPr>
              <w:spacing w:after="0"/>
              <w:rPr>
                <w:sz w:val="16"/>
                <w:szCs w:val="16"/>
                <w:color w:val="auto"/>
              </w:rPr>
            </w:pPr>
          </w:p>
        </w:tc>
        <w:tc>
          <w:tcPr>
            <w:tcW w:w="2620" w:type="dxa"/>
            <w:vAlign w:val="bottom"/>
            <w:tcBorders>
              <w:bottom w:val="single" w:sz="8" w:color="214E93"/>
            </w:tcBorders>
            <w:gridSpan w:val="4"/>
          </w:tcPr>
          <w:p>
            <w:pPr>
              <w:jc w:val="right"/>
              <w:ind w:right="21"/>
              <w:spacing w:after="0"/>
              <w:rPr>
                <w:sz w:val="20"/>
                <w:szCs w:val="20"/>
                <w:color w:val="auto"/>
              </w:rPr>
            </w:pPr>
            <w:r>
              <w:rPr>
                <w:rFonts w:ascii="Verdana" w:cs="Verdana" w:eastAsia="Verdana" w:hAnsi="Verdana"/>
                <w:sz w:val="14"/>
                <w:szCs w:val="14"/>
                <w:color w:val="auto"/>
              </w:rPr>
              <w:t>Year Ended December 31,</w:t>
            </w:r>
          </w:p>
        </w:tc>
        <w:tc>
          <w:tcPr>
            <w:tcW w:w="900" w:type="dxa"/>
            <w:vAlign w:val="bottom"/>
            <w:tcBorders>
              <w:bottom w:val="single" w:sz="8" w:color="214E93"/>
            </w:tcBorders>
          </w:tcPr>
          <w:p>
            <w:pPr>
              <w:spacing w:after="0"/>
              <w:rPr>
                <w:sz w:val="16"/>
                <w:szCs w:val="16"/>
                <w:color w:val="auto"/>
              </w:rPr>
            </w:pPr>
          </w:p>
        </w:tc>
      </w:tr>
      <w:tr>
        <w:trPr>
          <w:trHeight w:val="216"/>
        </w:trPr>
        <w:tc>
          <w:tcPr>
            <w:tcW w:w="5740" w:type="dxa"/>
            <w:vAlign w:val="bottom"/>
            <w:tcBorders>
              <w:bottom w:val="single" w:sz="8" w:color="214E93"/>
            </w:tcBorders>
          </w:tcPr>
          <w:p>
            <w:pPr>
              <w:spacing w:after="0"/>
              <w:rPr>
                <w:sz w:val="18"/>
                <w:szCs w:val="18"/>
                <w:color w:val="auto"/>
              </w:rPr>
            </w:pPr>
          </w:p>
        </w:tc>
        <w:tc>
          <w:tcPr>
            <w:tcW w:w="300" w:type="dxa"/>
            <w:vAlign w:val="bottom"/>
            <w:tcBorders>
              <w:bottom w:val="single" w:sz="8" w:color="214E93"/>
            </w:tcBorders>
          </w:tcPr>
          <w:p>
            <w:pPr>
              <w:spacing w:after="0"/>
              <w:rPr>
                <w:sz w:val="18"/>
                <w:szCs w:val="18"/>
                <w:color w:val="auto"/>
              </w:rPr>
            </w:pPr>
          </w:p>
        </w:tc>
        <w:tc>
          <w:tcPr>
            <w:tcW w:w="980" w:type="dxa"/>
            <w:vAlign w:val="bottom"/>
            <w:tcBorders>
              <w:bottom w:val="single" w:sz="8" w:color="214E93"/>
            </w:tcBorders>
          </w:tcPr>
          <w:p>
            <w:pPr>
              <w:jc w:val="right"/>
              <w:ind w:right="423"/>
              <w:spacing w:after="0"/>
              <w:rPr>
                <w:sz w:val="20"/>
                <w:szCs w:val="20"/>
                <w:color w:val="auto"/>
              </w:rPr>
            </w:pPr>
            <w:r>
              <w:rPr>
                <w:rFonts w:ascii="Verdana" w:cs="Verdana" w:eastAsia="Verdana" w:hAnsi="Verdana"/>
                <w:sz w:val="14"/>
                <w:szCs w:val="14"/>
                <w:color w:val="214E93"/>
              </w:rPr>
              <w:t>2025</w:t>
            </w:r>
          </w:p>
        </w:tc>
        <w:tc>
          <w:tcPr>
            <w:tcW w:w="320" w:type="dxa"/>
            <w:vAlign w:val="bottom"/>
            <w:tcBorders>
              <w:bottom w:val="single" w:sz="8" w:color="214E93"/>
            </w:tcBorders>
          </w:tcPr>
          <w:p>
            <w:pPr>
              <w:spacing w:after="0"/>
              <w:rPr>
                <w:sz w:val="18"/>
                <w:szCs w:val="18"/>
                <w:color w:val="auto"/>
              </w:rPr>
            </w:pPr>
          </w:p>
        </w:tc>
        <w:tc>
          <w:tcPr>
            <w:tcW w:w="940" w:type="dxa"/>
            <w:vAlign w:val="bottom"/>
            <w:tcBorders>
              <w:bottom w:val="single" w:sz="8" w:color="214E93"/>
            </w:tcBorders>
          </w:tcPr>
          <w:p>
            <w:pPr>
              <w:jc w:val="right"/>
              <w:ind w:right="382"/>
              <w:spacing w:after="0"/>
              <w:rPr>
                <w:sz w:val="20"/>
                <w:szCs w:val="20"/>
                <w:color w:val="auto"/>
              </w:rPr>
            </w:pPr>
            <w:r>
              <w:rPr>
                <w:rFonts w:ascii="Verdana" w:cs="Verdana" w:eastAsia="Verdana" w:hAnsi="Verdana"/>
                <w:sz w:val="14"/>
                <w:szCs w:val="14"/>
                <w:color w:val="auto"/>
              </w:rPr>
              <w:t>2024</w:t>
            </w:r>
          </w:p>
        </w:tc>
        <w:tc>
          <w:tcPr>
            <w:tcW w:w="380" w:type="dxa"/>
            <w:vAlign w:val="bottom"/>
            <w:tcBorders>
              <w:bottom w:val="single" w:sz="8" w:color="214E93"/>
            </w:tcBorders>
          </w:tcPr>
          <w:p>
            <w:pPr>
              <w:spacing w:after="0"/>
              <w:rPr>
                <w:sz w:val="18"/>
                <w:szCs w:val="18"/>
                <w:color w:val="auto"/>
              </w:rPr>
            </w:pPr>
          </w:p>
        </w:tc>
        <w:tc>
          <w:tcPr>
            <w:tcW w:w="900" w:type="dxa"/>
            <w:vAlign w:val="bottom"/>
            <w:tcBorders>
              <w:bottom w:val="single" w:sz="8" w:color="214E93"/>
            </w:tcBorders>
          </w:tcPr>
          <w:p>
            <w:pPr>
              <w:jc w:val="right"/>
              <w:ind w:right="362"/>
              <w:spacing w:after="0"/>
              <w:rPr>
                <w:sz w:val="20"/>
                <w:szCs w:val="20"/>
                <w:color w:val="auto"/>
              </w:rPr>
            </w:pPr>
            <w:r>
              <w:rPr>
                <w:rFonts w:ascii="Verdana" w:cs="Verdana" w:eastAsia="Verdana" w:hAnsi="Verdana"/>
                <w:sz w:val="14"/>
                <w:szCs w:val="14"/>
                <w:color w:val="auto"/>
              </w:rPr>
              <w:t>2023</w:t>
            </w:r>
          </w:p>
        </w:tc>
      </w:tr>
      <w:tr>
        <w:trPr>
          <w:trHeight w:val="211"/>
        </w:trPr>
        <w:tc>
          <w:tcPr>
            <w:tcW w:w="5740" w:type="dxa"/>
            <w:vAlign w:val="bottom"/>
          </w:tcPr>
          <w:p>
            <w:pPr>
              <w:ind w:left="40"/>
              <w:spacing w:after="0"/>
              <w:rPr>
                <w:sz w:val="20"/>
                <w:szCs w:val="20"/>
                <w:color w:val="auto"/>
              </w:rPr>
            </w:pPr>
            <w:r>
              <w:rPr>
                <w:rFonts w:ascii="Verdana" w:cs="Verdana" w:eastAsia="Verdana" w:hAnsi="Verdana"/>
                <w:sz w:val="16"/>
                <w:szCs w:val="16"/>
                <w:color w:val="auto"/>
              </w:rPr>
              <w:t>Current income tax provision</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5"/>
        </w:trPr>
        <w:tc>
          <w:tcPr>
            <w:tcW w:w="5740" w:type="dxa"/>
            <w:vAlign w:val="bottom"/>
          </w:tcPr>
          <w:p>
            <w:pPr>
              <w:ind w:left="160"/>
              <w:spacing w:after="0"/>
              <w:rPr>
                <w:sz w:val="20"/>
                <w:szCs w:val="20"/>
                <w:color w:val="auto"/>
              </w:rPr>
            </w:pPr>
            <w:r>
              <w:rPr>
                <w:rFonts w:ascii="Verdana" w:cs="Verdana" w:eastAsia="Verdana" w:hAnsi="Verdana"/>
                <w:sz w:val="16"/>
                <w:szCs w:val="16"/>
                <w:color w:val="auto"/>
              </w:rPr>
              <w:t>Federal</w:t>
            </w:r>
          </w:p>
        </w:tc>
        <w:tc>
          <w:tcPr>
            <w:tcW w:w="300" w:type="dxa"/>
            <w:vAlign w:val="bottom"/>
          </w:tcPr>
          <w:p>
            <w:pPr>
              <w:jc w:val="right"/>
              <w:ind w:right="61"/>
              <w:spacing w:after="0"/>
              <w:rPr>
                <w:sz w:val="20"/>
                <w:szCs w:val="20"/>
                <w:color w:val="auto"/>
              </w:rPr>
            </w:pPr>
            <w:r>
              <w:rPr>
                <w:rFonts w:ascii="Verdana" w:cs="Verdana" w:eastAsia="Verdana" w:hAnsi="Verdana"/>
                <w:sz w:val="16"/>
                <w:szCs w:val="16"/>
                <w:color w:val="214E93"/>
              </w:rPr>
              <w:t>$</w:t>
            </w:r>
          </w:p>
        </w:tc>
        <w:tc>
          <w:tcPr>
            <w:tcW w:w="980" w:type="dxa"/>
            <w:vAlign w:val="bottom"/>
          </w:tcPr>
          <w:p>
            <w:pPr>
              <w:jc w:val="right"/>
              <w:ind w:right="63"/>
              <w:spacing w:after="0"/>
              <w:rPr>
                <w:sz w:val="20"/>
                <w:szCs w:val="20"/>
                <w:color w:val="auto"/>
              </w:rPr>
            </w:pPr>
            <w:r>
              <w:rPr>
                <w:rFonts w:ascii="Verdana" w:cs="Verdana" w:eastAsia="Verdana" w:hAnsi="Verdana"/>
                <w:sz w:val="16"/>
                <w:szCs w:val="16"/>
                <w:color w:val="214E93"/>
              </w:rPr>
              <w:t>6,192</w:t>
            </w:r>
          </w:p>
        </w:tc>
        <w:tc>
          <w:tcPr>
            <w:tcW w:w="320" w:type="dxa"/>
            <w:vAlign w:val="bottom"/>
          </w:tcPr>
          <w:p>
            <w:pPr>
              <w:jc w:val="right"/>
              <w:ind w:right="61"/>
              <w:spacing w:after="0"/>
              <w:rPr>
                <w:sz w:val="20"/>
                <w:szCs w:val="20"/>
                <w:color w:val="auto"/>
              </w:rPr>
            </w:pPr>
            <w:r>
              <w:rPr>
                <w:rFonts w:ascii="Verdana" w:cs="Verdana" w:eastAsia="Verdana" w:hAnsi="Verdana"/>
                <w:sz w:val="16"/>
                <w:szCs w:val="16"/>
                <w:color w:val="auto"/>
              </w:rPr>
              <w:t>$</w:t>
            </w:r>
          </w:p>
        </w:tc>
        <w:tc>
          <w:tcPr>
            <w:tcW w:w="940" w:type="dxa"/>
            <w:vAlign w:val="bottom"/>
          </w:tcPr>
          <w:p>
            <w:pPr>
              <w:jc w:val="right"/>
              <w:ind w:right="22"/>
              <w:spacing w:after="0"/>
              <w:rPr>
                <w:sz w:val="20"/>
                <w:szCs w:val="20"/>
                <w:color w:val="auto"/>
              </w:rPr>
            </w:pPr>
            <w:r>
              <w:rPr>
                <w:rFonts w:ascii="Verdana" w:cs="Verdana" w:eastAsia="Verdana" w:hAnsi="Verdana"/>
                <w:sz w:val="16"/>
                <w:szCs w:val="16"/>
                <w:color w:val="auto"/>
              </w:rPr>
              <w:t>21,296</w:t>
            </w:r>
          </w:p>
        </w:tc>
        <w:tc>
          <w:tcPr>
            <w:tcW w:w="380" w:type="dxa"/>
            <w:vAlign w:val="bottom"/>
          </w:tcPr>
          <w:p>
            <w:pPr>
              <w:jc w:val="right"/>
              <w:ind w:right="101"/>
              <w:spacing w:after="0"/>
              <w:rPr>
                <w:sz w:val="20"/>
                <w:szCs w:val="20"/>
                <w:color w:val="auto"/>
              </w:rPr>
            </w:pPr>
            <w:r>
              <w:rPr>
                <w:rFonts w:ascii="Verdana" w:cs="Verdana" w:eastAsia="Verdana" w:hAnsi="Verdana"/>
                <w:sz w:val="16"/>
                <w:szCs w:val="16"/>
                <w:color w:val="auto"/>
              </w:rPr>
              <w:t>$</w:t>
            </w:r>
          </w:p>
        </w:tc>
        <w:tc>
          <w:tcPr>
            <w:tcW w:w="900" w:type="dxa"/>
            <w:vAlign w:val="bottom"/>
          </w:tcPr>
          <w:p>
            <w:pPr>
              <w:jc w:val="right"/>
              <w:ind w:right="2"/>
              <w:spacing w:after="0"/>
              <w:rPr>
                <w:sz w:val="20"/>
                <w:szCs w:val="20"/>
                <w:color w:val="auto"/>
              </w:rPr>
            </w:pPr>
            <w:r>
              <w:rPr>
                <w:rFonts w:ascii="Verdana" w:cs="Verdana" w:eastAsia="Verdana" w:hAnsi="Verdana"/>
                <w:sz w:val="16"/>
                <w:szCs w:val="16"/>
                <w:color w:val="auto"/>
              </w:rPr>
              <w:t>1,554</w:t>
            </w:r>
          </w:p>
        </w:tc>
      </w:tr>
      <w:tr>
        <w:trPr>
          <w:trHeight w:val="242"/>
        </w:trPr>
        <w:tc>
          <w:tcPr>
            <w:tcW w:w="5740" w:type="dxa"/>
            <w:vAlign w:val="bottom"/>
            <w:tcBorders>
              <w:bottom w:val="single" w:sz="8" w:color="auto"/>
            </w:tcBorders>
          </w:tcPr>
          <w:p>
            <w:pPr>
              <w:ind w:left="160"/>
              <w:spacing w:after="0"/>
              <w:rPr>
                <w:sz w:val="20"/>
                <w:szCs w:val="20"/>
                <w:color w:val="auto"/>
              </w:rPr>
            </w:pPr>
            <w:r>
              <w:rPr>
                <w:rFonts w:ascii="Verdana" w:cs="Verdana" w:eastAsia="Verdana" w:hAnsi="Verdana"/>
                <w:sz w:val="16"/>
                <w:szCs w:val="16"/>
                <w:color w:val="auto"/>
              </w:rPr>
              <w:t>State</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63"/>
              <w:spacing w:after="0"/>
              <w:rPr>
                <w:sz w:val="20"/>
                <w:szCs w:val="20"/>
                <w:color w:val="auto"/>
              </w:rPr>
            </w:pPr>
            <w:r>
              <w:rPr>
                <w:rFonts w:ascii="Verdana" w:cs="Verdana" w:eastAsia="Verdana" w:hAnsi="Verdana"/>
                <w:sz w:val="16"/>
                <w:szCs w:val="16"/>
                <w:color w:val="214E93"/>
              </w:rPr>
              <w:t>896</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2"/>
              <w:spacing w:after="0"/>
              <w:rPr>
                <w:sz w:val="20"/>
                <w:szCs w:val="20"/>
                <w:color w:val="auto"/>
              </w:rPr>
            </w:pPr>
            <w:r>
              <w:rPr>
                <w:rFonts w:ascii="Verdana" w:cs="Verdana" w:eastAsia="Verdana" w:hAnsi="Verdana"/>
                <w:sz w:val="16"/>
                <w:szCs w:val="16"/>
                <w:color w:val="auto"/>
              </w:rPr>
              <w:t>5,763</w:t>
            </w: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auto"/>
              </w:rPr>
              <w:t>12,368</w:t>
            </w:r>
          </w:p>
        </w:tc>
      </w:tr>
      <w:tr>
        <w:trPr>
          <w:trHeight w:val="217"/>
        </w:trPr>
        <w:tc>
          <w:tcPr>
            <w:tcW w:w="5740" w:type="dxa"/>
            <w:vAlign w:val="bottom"/>
            <w:tcBorders>
              <w:bottom w:val="single" w:sz="8" w:color="214E93"/>
            </w:tcBorders>
          </w:tcPr>
          <w:p>
            <w:pPr>
              <w:ind w:left="280"/>
              <w:spacing w:after="0"/>
              <w:rPr>
                <w:sz w:val="20"/>
                <w:szCs w:val="20"/>
                <w:color w:val="auto"/>
              </w:rPr>
            </w:pPr>
            <w:r>
              <w:rPr>
                <w:rFonts w:ascii="Verdana" w:cs="Verdana" w:eastAsia="Verdana" w:hAnsi="Verdana"/>
                <w:sz w:val="16"/>
                <w:szCs w:val="16"/>
                <w:color w:val="auto"/>
              </w:rPr>
              <w:t>Total current income tax provision</w:t>
            </w:r>
          </w:p>
        </w:tc>
        <w:tc>
          <w:tcPr>
            <w:tcW w:w="300" w:type="dxa"/>
            <w:vAlign w:val="bottom"/>
            <w:tcBorders>
              <w:bottom w:val="single" w:sz="8" w:color="214E93"/>
            </w:tcBorders>
          </w:tcPr>
          <w:p>
            <w:pPr>
              <w:jc w:val="right"/>
              <w:ind w:right="61"/>
              <w:spacing w:after="0"/>
              <w:rPr>
                <w:sz w:val="20"/>
                <w:szCs w:val="20"/>
                <w:color w:val="auto"/>
              </w:rPr>
            </w:pPr>
            <w:r>
              <w:rPr>
                <w:rFonts w:ascii="Verdana" w:cs="Verdana" w:eastAsia="Verdana" w:hAnsi="Verdana"/>
                <w:sz w:val="16"/>
                <w:szCs w:val="16"/>
                <w:color w:val="214E93"/>
              </w:rPr>
              <w:t>$</w:t>
            </w:r>
          </w:p>
        </w:tc>
        <w:tc>
          <w:tcPr>
            <w:tcW w:w="980" w:type="dxa"/>
            <w:vAlign w:val="bottom"/>
            <w:tcBorders>
              <w:bottom w:val="single" w:sz="8" w:color="214E93"/>
            </w:tcBorders>
          </w:tcPr>
          <w:p>
            <w:pPr>
              <w:jc w:val="right"/>
              <w:ind w:right="63"/>
              <w:spacing w:after="0"/>
              <w:rPr>
                <w:sz w:val="20"/>
                <w:szCs w:val="20"/>
                <w:color w:val="auto"/>
              </w:rPr>
            </w:pPr>
            <w:r>
              <w:rPr>
                <w:rFonts w:ascii="Verdana" w:cs="Verdana" w:eastAsia="Verdana" w:hAnsi="Verdana"/>
                <w:sz w:val="16"/>
                <w:szCs w:val="16"/>
                <w:color w:val="214E93"/>
              </w:rPr>
              <w:t>7,088</w:t>
            </w:r>
          </w:p>
        </w:tc>
        <w:tc>
          <w:tcPr>
            <w:tcW w:w="320" w:type="dxa"/>
            <w:vAlign w:val="bottom"/>
            <w:tcBorders>
              <w:bottom w:val="single" w:sz="8" w:color="214E93"/>
            </w:tcBorders>
          </w:tcPr>
          <w:p>
            <w:pPr>
              <w:jc w:val="right"/>
              <w:ind w:right="61"/>
              <w:spacing w:after="0"/>
              <w:rPr>
                <w:sz w:val="20"/>
                <w:szCs w:val="20"/>
                <w:color w:val="auto"/>
              </w:rPr>
            </w:pPr>
            <w:r>
              <w:rPr>
                <w:rFonts w:ascii="Verdana" w:cs="Verdana" w:eastAsia="Verdana" w:hAnsi="Verdana"/>
                <w:sz w:val="16"/>
                <w:szCs w:val="16"/>
                <w:color w:val="auto"/>
              </w:rPr>
              <w:t>$</w:t>
            </w:r>
          </w:p>
        </w:tc>
        <w:tc>
          <w:tcPr>
            <w:tcW w:w="940" w:type="dxa"/>
            <w:vAlign w:val="bottom"/>
            <w:tcBorders>
              <w:bottom w:val="single" w:sz="8" w:color="214E93"/>
            </w:tcBorders>
          </w:tcPr>
          <w:p>
            <w:pPr>
              <w:jc w:val="right"/>
              <w:ind w:right="22"/>
              <w:spacing w:after="0"/>
              <w:rPr>
                <w:sz w:val="20"/>
                <w:szCs w:val="20"/>
                <w:color w:val="auto"/>
              </w:rPr>
            </w:pPr>
            <w:r>
              <w:rPr>
                <w:rFonts w:ascii="Verdana" w:cs="Verdana" w:eastAsia="Verdana" w:hAnsi="Verdana"/>
                <w:sz w:val="16"/>
                <w:szCs w:val="16"/>
                <w:color w:val="auto"/>
              </w:rPr>
              <w:t>27,059</w:t>
            </w:r>
          </w:p>
        </w:tc>
        <w:tc>
          <w:tcPr>
            <w:tcW w:w="380" w:type="dxa"/>
            <w:vAlign w:val="bottom"/>
            <w:tcBorders>
              <w:bottom w:val="single" w:sz="8" w:color="214E93"/>
            </w:tcBorders>
          </w:tcPr>
          <w:p>
            <w:pPr>
              <w:jc w:val="right"/>
              <w:ind w:right="101"/>
              <w:spacing w:after="0"/>
              <w:rPr>
                <w:sz w:val="20"/>
                <w:szCs w:val="20"/>
                <w:color w:val="auto"/>
              </w:rPr>
            </w:pPr>
            <w:r>
              <w:rPr>
                <w:rFonts w:ascii="Verdana" w:cs="Verdana" w:eastAsia="Verdana" w:hAnsi="Verdana"/>
                <w:sz w:val="16"/>
                <w:szCs w:val="16"/>
                <w:color w:val="auto"/>
              </w:rPr>
              <w:t>$</w:t>
            </w:r>
          </w:p>
        </w:tc>
        <w:tc>
          <w:tcPr>
            <w:tcW w:w="900" w:type="dxa"/>
            <w:vAlign w:val="bottom"/>
            <w:tcBorders>
              <w:bottom w:val="single" w:sz="8" w:color="214E93"/>
            </w:tcBorders>
          </w:tcPr>
          <w:p>
            <w:pPr>
              <w:jc w:val="right"/>
              <w:ind w:right="2"/>
              <w:spacing w:after="0"/>
              <w:rPr>
                <w:sz w:val="20"/>
                <w:szCs w:val="20"/>
                <w:color w:val="auto"/>
              </w:rPr>
            </w:pPr>
            <w:r>
              <w:rPr>
                <w:rFonts w:ascii="Verdana" w:cs="Verdana" w:eastAsia="Verdana" w:hAnsi="Verdana"/>
                <w:sz w:val="16"/>
                <w:szCs w:val="16"/>
                <w:color w:val="auto"/>
              </w:rPr>
              <w:t>13,922</w:t>
            </w:r>
          </w:p>
        </w:tc>
      </w:tr>
      <w:tr>
        <w:trPr>
          <w:trHeight w:val="211"/>
        </w:trPr>
        <w:tc>
          <w:tcPr>
            <w:tcW w:w="5740" w:type="dxa"/>
            <w:vAlign w:val="bottom"/>
          </w:tcPr>
          <w:p>
            <w:pPr>
              <w:ind w:left="40"/>
              <w:spacing w:after="0"/>
              <w:rPr>
                <w:sz w:val="20"/>
                <w:szCs w:val="20"/>
                <w:color w:val="auto"/>
              </w:rPr>
            </w:pPr>
            <w:r>
              <w:rPr>
                <w:rFonts w:ascii="Verdana" w:cs="Verdana" w:eastAsia="Verdana" w:hAnsi="Verdana"/>
                <w:sz w:val="16"/>
                <w:szCs w:val="16"/>
                <w:color w:val="auto"/>
              </w:rPr>
              <w:t>Deferred income tax provision (benefit)</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5"/>
        </w:trPr>
        <w:tc>
          <w:tcPr>
            <w:tcW w:w="5740" w:type="dxa"/>
            <w:vAlign w:val="bottom"/>
          </w:tcPr>
          <w:p>
            <w:pPr>
              <w:ind w:left="160"/>
              <w:spacing w:after="0"/>
              <w:rPr>
                <w:sz w:val="20"/>
                <w:szCs w:val="20"/>
                <w:color w:val="auto"/>
              </w:rPr>
            </w:pPr>
            <w:r>
              <w:rPr>
                <w:rFonts w:ascii="Verdana" w:cs="Verdana" w:eastAsia="Verdana" w:hAnsi="Verdana"/>
                <w:sz w:val="16"/>
                <w:szCs w:val="16"/>
                <w:color w:val="auto"/>
              </w:rPr>
              <w:t>Federal</w:t>
            </w:r>
          </w:p>
        </w:tc>
        <w:tc>
          <w:tcPr>
            <w:tcW w:w="300" w:type="dxa"/>
            <w:vAlign w:val="bottom"/>
          </w:tcPr>
          <w:p>
            <w:pPr>
              <w:jc w:val="right"/>
              <w:ind w:right="61"/>
              <w:spacing w:after="0"/>
              <w:rPr>
                <w:sz w:val="20"/>
                <w:szCs w:val="20"/>
                <w:color w:val="auto"/>
              </w:rPr>
            </w:pPr>
            <w:r>
              <w:rPr>
                <w:rFonts w:ascii="Verdana" w:cs="Verdana" w:eastAsia="Verdana" w:hAnsi="Verdana"/>
                <w:sz w:val="16"/>
                <w:szCs w:val="16"/>
                <w:color w:val="214E93"/>
              </w:rPr>
              <w:t>$</w:t>
            </w:r>
          </w:p>
        </w:tc>
        <w:tc>
          <w:tcPr>
            <w:tcW w:w="980" w:type="dxa"/>
            <w:vAlign w:val="bottom"/>
          </w:tcPr>
          <w:p>
            <w:pPr>
              <w:jc w:val="right"/>
              <w:ind w:right="63"/>
              <w:spacing w:after="0"/>
              <w:rPr>
                <w:sz w:val="20"/>
                <w:szCs w:val="20"/>
                <w:color w:val="auto"/>
              </w:rPr>
            </w:pPr>
            <w:r>
              <w:rPr>
                <w:rFonts w:ascii="Verdana" w:cs="Verdana" w:eastAsia="Verdana" w:hAnsi="Verdana"/>
                <w:sz w:val="16"/>
                <w:szCs w:val="16"/>
                <w:color w:val="214E93"/>
              </w:rPr>
              <w:t>187,881</w:t>
            </w:r>
          </w:p>
        </w:tc>
        <w:tc>
          <w:tcPr>
            <w:tcW w:w="320" w:type="dxa"/>
            <w:vAlign w:val="bottom"/>
          </w:tcPr>
          <w:p>
            <w:pPr>
              <w:jc w:val="right"/>
              <w:ind w:right="61"/>
              <w:spacing w:after="0"/>
              <w:rPr>
                <w:sz w:val="20"/>
                <w:szCs w:val="20"/>
                <w:color w:val="auto"/>
              </w:rPr>
            </w:pPr>
            <w:r>
              <w:rPr>
                <w:rFonts w:ascii="Verdana" w:cs="Verdana" w:eastAsia="Verdana" w:hAnsi="Verdana"/>
                <w:sz w:val="16"/>
                <w:szCs w:val="16"/>
                <w:color w:val="auto"/>
              </w:rPr>
              <w:t>$</w:t>
            </w:r>
          </w:p>
        </w:tc>
        <w:tc>
          <w:tcPr>
            <w:tcW w:w="940" w:type="dxa"/>
            <w:vAlign w:val="bottom"/>
          </w:tcPr>
          <w:p>
            <w:pPr>
              <w:jc w:val="right"/>
              <w:ind w:right="22"/>
              <w:spacing w:after="0"/>
              <w:rPr>
                <w:sz w:val="20"/>
                <w:szCs w:val="20"/>
                <w:color w:val="auto"/>
              </w:rPr>
            </w:pPr>
            <w:r>
              <w:rPr>
                <w:rFonts w:ascii="Verdana" w:cs="Verdana" w:eastAsia="Verdana" w:hAnsi="Verdana"/>
                <w:sz w:val="16"/>
                <w:szCs w:val="16"/>
                <w:color w:val="auto"/>
              </w:rPr>
              <w:t>221,356</w:t>
            </w:r>
          </w:p>
        </w:tc>
        <w:tc>
          <w:tcPr>
            <w:tcW w:w="380" w:type="dxa"/>
            <w:vAlign w:val="bottom"/>
          </w:tcPr>
          <w:p>
            <w:pPr>
              <w:jc w:val="right"/>
              <w:ind w:right="101"/>
              <w:spacing w:after="0"/>
              <w:rPr>
                <w:sz w:val="20"/>
                <w:szCs w:val="20"/>
                <w:color w:val="auto"/>
              </w:rPr>
            </w:pPr>
            <w:r>
              <w:rPr>
                <w:rFonts w:ascii="Verdana" w:cs="Verdana" w:eastAsia="Verdana" w:hAnsi="Verdana"/>
                <w:sz w:val="16"/>
                <w:szCs w:val="16"/>
                <w:color w:val="auto"/>
              </w:rPr>
              <w:t>$</w:t>
            </w:r>
          </w:p>
        </w:tc>
        <w:tc>
          <w:tcPr>
            <w:tcW w:w="900" w:type="dxa"/>
            <w:vAlign w:val="bottom"/>
          </w:tcPr>
          <w:p>
            <w:pPr>
              <w:jc w:val="right"/>
              <w:ind w:right="2"/>
              <w:spacing w:after="0"/>
              <w:rPr>
                <w:sz w:val="20"/>
                <w:szCs w:val="20"/>
                <w:color w:val="auto"/>
              </w:rPr>
            </w:pPr>
            <w:r>
              <w:rPr>
                <w:rFonts w:ascii="Verdana" w:cs="Verdana" w:eastAsia="Verdana" w:hAnsi="Verdana"/>
                <w:sz w:val="16"/>
                <w:szCs w:val="16"/>
                <w:color w:val="auto"/>
              </w:rPr>
              <w:t>145,711</w:t>
            </w:r>
          </w:p>
        </w:tc>
      </w:tr>
      <w:tr>
        <w:trPr>
          <w:trHeight w:val="242"/>
        </w:trPr>
        <w:tc>
          <w:tcPr>
            <w:tcW w:w="5740" w:type="dxa"/>
            <w:vAlign w:val="bottom"/>
            <w:tcBorders>
              <w:bottom w:val="single" w:sz="8" w:color="auto"/>
            </w:tcBorders>
          </w:tcPr>
          <w:p>
            <w:pPr>
              <w:ind w:left="160"/>
              <w:spacing w:after="0"/>
              <w:rPr>
                <w:sz w:val="20"/>
                <w:szCs w:val="20"/>
                <w:color w:val="auto"/>
              </w:rPr>
            </w:pPr>
            <w:r>
              <w:rPr>
                <w:rFonts w:ascii="Verdana" w:cs="Verdana" w:eastAsia="Verdana" w:hAnsi="Verdana"/>
                <w:sz w:val="16"/>
                <w:szCs w:val="16"/>
                <w:color w:val="auto"/>
              </w:rPr>
              <w:t>State</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214E93"/>
              </w:rPr>
              <w:t>(22,294)</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2"/>
              <w:spacing w:after="0"/>
              <w:rPr>
                <w:sz w:val="20"/>
                <w:szCs w:val="20"/>
                <w:color w:val="auto"/>
              </w:rPr>
            </w:pPr>
            <w:r>
              <w:rPr>
                <w:rFonts w:ascii="Verdana" w:cs="Verdana" w:eastAsia="Verdana" w:hAnsi="Verdana"/>
                <w:sz w:val="16"/>
                <w:szCs w:val="16"/>
                <w:color w:val="auto"/>
              </w:rPr>
              <w:t>43,949</w:t>
            </w: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auto"/>
              </w:rPr>
              <w:t>26,393</w:t>
            </w:r>
          </w:p>
        </w:tc>
      </w:tr>
      <w:tr>
        <w:trPr>
          <w:trHeight w:val="217"/>
        </w:trPr>
        <w:tc>
          <w:tcPr>
            <w:tcW w:w="5740" w:type="dxa"/>
            <w:vAlign w:val="bottom"/>
            <w:tcBorders>
              <w:bottom w:val="single" w:sz="8" w:color="214E93"/>
            </w:tcBorders>
          </w:tcPr>
          <w:p>
            <w:pPr>
              <w:ind w:left="280"/>
              <w:spacing w:after="0"/>
              <w:rPr>
                <w:sz w:val="20"/>
                <w:szCs w:val="20"/>
                <w:color w:val="auto"/>
              </w:rPr>
            </w:pPr>
            <w:r>
              <w:rPr>
                <w:rFonts w:ascii="Verdana" w:cs="Verdana" w:eastAsia="Verdana" w:hAnsi="Verdana"/>
                <w:sz w:val="16"/>
                <w:szCs w:val="16"/>
                <w:color w:val="auto"/>
              </w:rPr>
              <w:t>Total deferred income tax provision</w:t>
            </w:r>
          </w:p>
        </w:tc>
        <w:tc>
          <w:tcPr>
            <w:tcW w:w="300" w:type="dxa"/>
            <w:vAlign w:val="bottom"/>
            <w:tcBorders>
              <w:bottom w:val="single" w:sz="8" w:color="214E93"/>
            </w:tcBorders>
          </w:tcPr>
          <w:p>
            <w:pPr>
              <w:jc w:val="right"/>
              <w:ind w:right="61"/>
              <w:spacing w:after="0"/>
              <w:rPr>
                <w:sz w:val="20"/>
                <w:szCs w:val="20"/>
                <w:color w:val="auto"/>
              </w:rPr>
            </w:pPr>
            <w:r>
              <w:rPr>
                <w:rFonts w:ascii="Verdana" w:cs="Verdana" w:eastAsia="Verdana" w:hAnsi="Verdana"/>
                <w:sz w:val="16"/>
                <w:szCs w:val="16"/>
                <w:color w:val="214E93"/>
              </w:rPr>
              <w:t>$</w:t>
            </w:r>
          </w:p>
        </w:tc>
        <w:tc>
          <w:tcPr>
            <w:tcW w:w="980" w:type="dxa"/>
            <w:vAlign w:val="bottom"/>
            <w:tcBorders>
              <w:bottom w:val="single" w:sz="8" w:color="214E93"/>
            </w:tcBorders>
          </w:tcPr>
          <w:p>
            <w:pPr>
              <w:jc w:val="right"/>
              <w:ind w:right="63"/>
              <w:spacing w:after="0"/>
              <w:rPr>
                <w:sz w:val="20"/>
                <w:szCs w:val="20"/>
                <w:color w:val="auto"/>
              </w:rPr>
            </w:pPr>
            <w:r>
              <w:rPr>
                <w:rFonts w:ascii="Verdana" w:cs="Verdana" w:eastAsia="Verdana" w:hAnsi="Verdana"/>
                <w:sz w:val="16"/>
                <w:szCs w:val="16"/>
                <w:color w:val="214E93"/>
              </w:rPr>
              <w:t>165,587</w:t>
            </w:r>
          </w:p>
        </w:tc>
        <w:tc>
          <w:tcPr>
            <w:tcW w:w="320" w:type="dxa"/>
            <w:vAlign w:val="bottom"/>
            <w:tcBorders>
              <w:bottom w:val="single" w:sz="8" w:color="214E93"/>
            </w:tcBorders>
          </w:tcPr>
          <w:p>
            <w:pPr>
              <w:jc w:val="right"/>
              <w:ind w:right="61"/>
              <w:spacing w:after="0"/>
              <w:rPr>
                <w:sz w:val="20"/>
                <w:szCs w:val="20"/>
                <w:color w:val="auto"/>
              </w:rPr>
            </w:pPr>
            <w:r>
              <w:rPr>
                <w:rFonts w:ascii="Verdana" w:cs="Verdana" w:eastAsia="Verdana" w:hAnsi="Verdana"/>
                <w:sz w:val="16"/>
                <w:szCs w:val="16"/>
                <w:color w:val="auto"/>
              </w:rPr>
              <w:t>$</w:t>
            </w:r>
          </w:p>
        </w:tc>
        <w:tc>
          <w:tcPr>
            <w:tcW w:w="940" w:type="dxa"/>
            <w:vAlign w:val="bottom"/>
            <w:tcBorders>
              <w:bottom w:val="single" w:sz="8" w:color="214E93"/>
            </w:tcBorders>
          </w:tcPr>
          <w:p>
            <w:pPr>
              <w:jc w:val="right"/>
              <w:ind w:right="22"/>
              <w:spacing w:after="0"/>
              <w:rPr>
                <w:sz w:val="20"/>
                <w:szCs w:val="20"/>
                <w:color w:val="auto"/>
              </w:rPr>
            </w:pPr>
            <w:r>
              <w:rPr>
                <w:rFonts w:ascii="Verdana" w:cs="Verdana" w:eastAsia="Verdana" w:hAnsi="Verdana"/>
                <w:sz w:val="16"/>
                <w:szCs w:val="16"/>
                <w:color w:val="auto"/>
              </w:rPr>
              <w:t>265,305</w:t>
            </w:r>
          </w:p>
        </w:tc>
        <w:tc>
          <w:tcPr>
            <w:tcW w:w="380" w:type="dxa"/>
            <w:vAlign w:val="bottom"/>
            <w:tcBorders>
              <w:bottom w:val="single" w:sz="8" w:color="214E93"/>
            </w:tcBorders>
          </w:tcPr>
          <w:p>
            <w:pPr>
              <w:jc w:val="right"/>
              <w:ind w:right="101"/>
              <w:spacing w:after="0"/>
              <w:rPr>
                <w:sz w:val="20"/>
                <w:szCs w:val="20"/>
                <w:color w:val="auto"/>
              </w:rPr>
            </w:pPr>
            <w:r>
              <w:rPr>
                <w:rFonts w:ascii="Verdana" w:cs="Verdana" w:eastAsia="Verdana" w:hAnsi="Verdana"/>
                <w:sz w:val="16"/>
                <w:szCs w:val="16"/>
                <w:color w:val="auto"/>
              </w:rPr>
              <w:t>$</w:t>
            </w:r>
          </w:p>
        </w:tc>
        <w:tc>
          <w:tcPr>
            <w:tcW w:w="900" w:type="dxa"/>
            <w:vAlign w:val="bottom"/>
            <w:tcBorders>
              <w:bottom w:val="single" w:sz="8" w:color="214E93"/>
            </w:tcBorders>
          </w:tcPr>
          <w:p>
            <w:pPr>
              <w:jc w:val="right"/>
              <w:ind w:right="2"/>
              <w:spacing w:after="0"/>
              <w:rPr>
                <w:sz w:val="20"/>
                <w:szCs w:val="20"/>
                <w:color w:val="auto"/>
              </w:rPr>
            </w:pPr>
            <w:r>
              <w:rPr>
                <w:rFonts w:ascii="Verdana" w:cs="Verdana" w:eastAsia="Verdana" w:hAnsi="Verdana"/>
                <w:sz w:val="16"/>
                <w:szCs w:val="16"/>
                <w:color w:val="auto"/>
              </w:rPr>
              <w:t>172,104</w:t>
            </w:r>
          </w:p>
        </w:tc>
      </w:tr>
      <w:tr>
        <w:trPr>
          <w:trHeight w:val="211"/>
        </w:trPr>
        <w:tc>
          <w:tcPr>
            <w:tcW w:w="5740" w:type="dxa"/>
            <w:vAlign w:val="bottom"/>
          </w:tcPr>
          <w:p>
            <w:pPr>
              <w:ind w:left="40"/>
              <w:spacing w:after="0"/>
              <w:rPr>
                <w:sz w:val="20"/>
                <w:szCs w:val="20"/>
                <w:color w:val="auto"/>
              </w:rPr>
            </w:pPr>
            <w:r>
              <w:rPr>
                <w:rFonts w:ascii="Verdana" w:cs="Verdana" w:eastAsia="Verdana" w:hAnsi="Verdana"/>
                <w:sz w:val="16"/>
                <w:szCs w:val="16"/>
                <w:color w:val="auto"/>
              </w:rPr>
              <w:t>Total income tax provision (benefit)</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5"/>
        </w:trPr>
        <w:tc>
          <w:tcPr>
            <w:tcW w:w="5740" w:type="dxa"/>
            <w:vAlign w:val="bottom"/>
          </w:tcPr>
          <w:p>
            <w:pPr>
              <w:ind w:left="160"/>
              <w:spacing w:after="0"/>
              <w:rPr>
                <w:sz w:val="20"/>
                <w:szCs w:val="20"/>
                <w:color w:val="auto"/>
              </w:rPr>
            </w:pPr>
            <w:r>
              <w:rPr>
                <w:rFonts w:ascii="Verdana" w:cs="Verdana" w:eastAsia="Verdana" w:hAnsi="Verdana"/>
                <w:sz w:val="16"/>
                <w:szCs w:val="16"/>
                <w:color w:val="auto"/>
              </w:rPr>
              <w:t>Federal</w:t>
            </w:r>
          </w:p>
        </w:tc>
        <w:tc>
          <w:tcPr>
            <w:tcW w:w="300" w:type="dxa"/>
            <w:vAlign w:val="bottom"/>
          </w:tcPr>
          <w:p>
            <w:pPr>
              <w:jc w:val="right"/>
              <w:ind w:right="61"/>
              <w:spacing w:after="0"/>
              <w:rPr>
                <w:sz w:val="20"/>
                <w:szCs w:val="20"/>
                <w:color w:val="auto"/>
              </w:rPr>
            </w:pPr>
            <w:r>
              <w:rPr>
                <w:rFonts w:ascii="Verdana" w:cs="Verdana" w:eastAsia="Verdana" w:hAnsi="Verdana"/>
                <w:sz w:val="16"/>
                <w:szCs w:val="16"/>
                <w:color w:val="214E93"/>
              </w:rPr>
              <w:t>$</w:t>
            </w:r>
          </w:p>
        </w:tc>
        <w:tc>
          <w:tcPr>
            <w:tcW w:w="980" w:type="dxa"/>
            <w:vAlign w:val="bottom"/>
          </w:tcPr>
          <w:p>
            <w:pPr>
              <w:jc w:val="right"/>
              <w:ind w:right="63"/>
              <w:spacing w:after="0"/>
              <w:rPr>
                <w:sz w:val="20"/>
                <w:szCs w:val="20"/>
                <w:color w:val="auto"/>
              </w:rPr>
            </w:pPr>
            <w:r>
              <w:rPr>
                <w:rFonts w:ascii="Verdana" w:cs="Verdana" w:eastAsia="Verdana" w:hAnsi="Verdana"/>
                <w:sz w:val="16"/>
                <w:szCs w:val="16"/>
                <w:color w:val="214E93"/>
              </w:rPr>
              <w:t>194,073</w:t>
            </w:r>
          </w:p>
        </w:tc>
        <w:tc>
          <w:tcPr>
            <w:tcW w:w="32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Verdana" w:cs="Verdana" w:eastAsia="Verdana" w:hAnsi="Verdana"/>
                <w:sz w:val="16"/>
                <w:szCs w:val="16"/>
                <w:color w:val="auto"/>
              </w:rPr>
              <w:t>242,652</w:t>
            </w:r>
          </w:p>
        </w:tc>
        <w:tc>
          <w:tcPr>
            <w:tcW w:w="3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Verdana" w:cs="Verdana" w:eastAsia="Verdana" w:hAnsi="Verdana"/>
                <w:sz w:val="16"/>
                <w:szCs w:val="16"/>
                <w:color w:val="auto"/>
              </w:rPr>
              <w:t>147,265</w:t>
            </w:r>
          </w:p>
        </w:tc>
      </w:tr>
      <w:tr>
        <w:trPr>
          <w:trHeight w:val="242"/>
        </w:trPr>
        <w:tc>
          <w:tcPr>
            <w:tcW w:w="5740" w:type="dxa"/>
            <w:vAlign w:val="bottom"/>
            <w:tcBorders>
              <w:bottom w:val="single" w:sz="8" w:color="auto"/>
            </w:tcBorders>
          </w:tcPr>
          <w:p>
            <w:pPr>
              <w:ind w:left="160"/>
              <w:spacing w:after="0"/>
              <w:rPr>
                <w:sz w:val="20"/>
                <w:szCs w:val="20"/>
                <w:color w:val="auto"/>
              </w:rPr>
            </w:pPr>
            <w:r>
              <w:rPr>
                <w:rFonts w:ascii="Verdana" w:cs="Verdana" w:eastAsia="Verdana" w:hAnsi="Verdana"/>
                <w:sz w:val="16"/>
                <w:szCs w:val="16"/>
                <w:color w:val="auto"/>
              </w:rPr>
              <w:t>State</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214E93"/>
              </w:rPr>
              <w:t>(21,398)</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2"/>
              <w:spacing w:after="0"/>
              <w:rPr>
                <w:sz w:val="20"/>
                <w:szCs w:val="20"/>
                <w:color w:val="auto"/>
              </w:rPr>
            </w:pPr>
            <w:r>
              <w:rPr>
                <w:rFonts w:ascii="Verdana" w:cs="Verdana" w:eastAsia="Verdana" w:hAnsi="Verdana"/>
                <w:sz w:val="16"/>
                <w:szCs w:val="16"/>
                <w:color w:val="auto"/>
              </w:rPr>
              <w:t>49,712</w:t>
            </w: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auto"/>
              </w:rPr>
              <w:t>38,761</w:t>
            </w:r>
          </w:p>
        </w:tc>
      </w:tr>
      <w:tr>
        <w:trPr>
          <w:trHeight w:val="217"/>
        </w:trPr>
        <w:tc>
          <w:tcPr>
            <w:tcW w:w="5740" w:type="dxa"/>
            <w:vAlign w:val="bottom"/>
            <w:tcBorders>
              <w:bottom w:val="single" w:sz="8" w:color="214E93"/>
            </w:tcBorders>
          </w:tcPr>
          <w:p>
            <w:pPr>
              <w:ind w:left="280"/>
              <w:spacing w:after="0"/>
              <w:rPr>
                <w:sz w:val="20"/>
                <w:szCs w:val="20"/>
                <w:color w:val="auto"/>
              </w:rPr>
            </w:pPr>
            <w:r>
              <w:rPr>
                <w:rFonts w:ascii="Verdana" w:cs="Verdana" w:eastAsia="Verdana" w:hAnsi="Verdana"/>
                <w:sz w:val="16"/>
                <w:szCs w:val="16"/>
                <w:color w:val="auto"/>
              </w:rPr>
              <w:t>Total income tax provision</w:t>
            </w:r>
          </w:p>
        </w:tc>
        <w:tc>
          <w:tcPr>
            <w:tcW w:w="300" w:type="dxa"/>
            <w:vAlign w:val="bottom"/>
            <w:tcBorders>
              <w:bottom w:val="single" w:sz="8" w:color="214E93"/>
            </w:tcBorders>
          </w:tcPr>
          <w:p>
            <w:pPr>
              <w:jc w:val="right"/>
              <w:ind w:right="61"/>
              <w:spacing w:after="0"/>
              <w:rPr>
                <w:sz w:val="20"/>
                <w:szCs w:val="20"/>
                <w:color w:val="auto"/>
              </w:rPr>
            </w:pPr>
            <w:r>
              <w:rPr>
                <w:rFonts w:ascii="Verdana" w:cs="Verdana" w:eastAsia="Verdana" w:hAnsi="Verdana"/>
                <w:sz w:val="16"/>
                <w:szCs w:val="16"/>
                <w:color w:val="214E93"/>
              </w:rPr>
              <w:t>$</w:t>
            </w:r>
          </w:p>
        </w:tc>
        <w:tc>
          <w:tcPr>
            <w:tcW w:w="980" w:type="dxa"/>
            <w:vAlign w:val="bottom"/>
            <w:tcBorders>
              <w:bottom w:val="single" w:sz="8" w:color="214E93"/>
            </w:tcBorders>
          </w:tcPr>
          <w:p>
            <w:pPr>
              <w:jc w:val="right"/>
              <w:ind w:right="63"/>
              <w:spacing w:after="0"/>
              <w:rPr>
                <w:sz w:val="20"/>
                <w:szCs w:val="20"/>
                <w:color w:val="auto"/>
              </w:rPr>
            </w:pPr>
            <w:r>
              <w:rPr>
                <w:rFonts w:ascii="Verdana" w:cs="Verdana" w:eastAsia="Verdana" w:hAnsi="Verdana"/>
                <w:sz w:val="16"/>
                <w:szCs w:val="16"/>
                <w:color w:val="214E93"/>
              </w:rPr>
              <w:t>172,675</w:t>
            </w:r>
          </w:p>
        </w:tc>
        <w:tc>
          <w:tcPr>
            <w:tcW w:w="320" w:type="dxa"/>
            <w:vAlign w:val="bottom"/>
            <w:tcBorders>
              <w:bottom w:val="single" w:sz="8" w:color="214E93"/>
            </w:tcBorders>
          </w:tcPr>
          <w:p>
            <w:pPr>
              <w:jc w:val="right"/>
              <w:ind w:right="61"/>
              <w:spacing w:after="0"/>
              <w:rPr>
                <w:sz w:val="20"/>
                <w:szCs w:val="20"/>
                <w:color w:val="auto"/>
              </w:rPr>
            </w:pPr>
            <w:r>
              <w:rPr>
                <w:rFonts w:ascii="Verdana" w:cs="Verdana" w:eastAsia="Verdana" w:hAnsi="Verdana"/>
                <w:sz w:val="16"/>
                <w:szCs w:val="16"/>
                <w:color w:val="auto"/>
              </w:rPr>
              <w:t>$</w:t>
            </w:r>
          </w:p>
        </w:tc>
        <w:tc>
          <w:tcPr>
            <w:tcW w:w="940" w:type="dxa"/>
            <w:vAlign w:val="bottom"/>
            <w:tcBorders>
              <w:bottom w:val="single" w:sz="8" w:color="214E93"/>
            </w:tcBorders>
          </w:tcPr>
          <w:p>
            <w:pPr>
              <w:jc w:val="right"/>
              <w:ind w:right="22"/>
              <w:spacing w:after="0"/>
              <w:rPr>
                <w:sz w:val="20"/>
                <w:szCs w:val="20"/>
                <w:color w:val="auto"/>
              </w:rPr>
            </w:pPr>
            <w:r>
              <w:rPr>
                <w:rFonts w:ascii="Verdana" w:cs="Verdana" w:eastAsia="Verdana" w:hAnsi="Verdana"/>
                <w:sz w:val="16"/>
                <w:szCs w:val="16"/>
                <w:color w:val="auto"/>
              </w:rPr>
              <w:t>292,364</w:t>
            </w:r>
          </w:p>
        </w:tc>
        <w:tc>
          <w:tcPr>
            <w:tcW w:w="380" w:type="dxa"/>
            <w:vAlign w:val="bottom"/>
            <w:tcBorders>
              <w:bottom w:val="single" w:sz="8" w:color="214E93"/>
            </w:tcBorders>
          </w:tcPr>
          <w:p>
            <w:pPr>
              <w:jc w:val="right"/>
              <w:ind w:right="101"/>
              <w:spacing w:after="0"/>
              <w:rPr>
                <w:sz w:val="20"/>
                <w:szCs w:val="20"/>
                <w:color w:val="auto"/>
              </w:rPr>
            </w:pPr>
            <w:r>
              <w:rPr>
                <w:rFonts w:ascii="Verdana" w:cs="Verdana" w:eastAsia="Verdana" w:hAnsi="Verdana"/>
                <w:sz w:val="16"/>
                <w:szCs w:val="16"/>
                <w:color w:val="auto"/>
              </w:rPr>
              <w:t>$</w:t>
            </w:r>
          </w:p>
        </w:tc>
        <w:tc>
          <w:tcPr>
            <w:tcW w:w="900" w:type="dxa"/>
            <w:vAlign w:val="bottom"/>
            <w:tcBorders>
              <w:bottom w:val="single" w:sz="8" w:color="214E93"/>
            </w:tcBorders>
          </w:tcPr>
          <w:p>
            <w:pPr>
              <w:jc w:val="right"/>
              <w:ind w:right="2"/>
              <w:spacing w:after="0"/>
              <w:rPr>
                <w:sz w:val="20"/>
                <w:szCs w:val="20"/>
                <w:color w:val="auto"/>
              </w:rPr>
            </w:pPr>
            <w:r>
              <w:rPr>
                <w:rFonts w:ascii="Verdana" w:cs="Verdana" w:eastAsia="Verdana" w:hAnsi="Verdana"/>
                <w:sz w:val="16"/>
                <w:szCs w:val="16"/>
                <w:color w:val="auto"/>
              </w:rPr>
              <w:t>186,026</w:t>
            </w:r>
          </w:p>
        </w:tc>
      </w:tr>
    </w:tbl>
    <w:p>
      <w:pPr>
        <w:spacing w:after="0" w:line="20" w:lineRule="exact"/>
        <w:rPr>
          <w:sz w:val="20"/>
          <w:szCs w:val="20"/>
          <w:color w:val="auto"/>
        </w:rPr>
      </w:pPr>
    </w:p>
    <w:p>
      <w:pPr>
        <w:sectPr>
          <w:pgSz w:w="11880" w:h="15480" w:orient="portrait"/>
          <w:cols w:equalWidth="0" w:num="1">
            <w:col w:w="11500"/>
          </w:cols>
          <w:pgMar w:left="0" w:top="498"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60"/>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1500"/>
          </w:cols>
          <w:pgMar w:left="0" w:top="498" w:right="380" w:bottom="0" w:gutter="0" w:footer="0" w:header="0"/>
          <w:type w:val="continuous"/>
        </w:sectPr>
      </w:pPr>
    </w:p>
    <w:bookmarkStart w:id="161" w:name="page162"/>
    <w:bookmarkEnd w:id="161"/>
    <w:p>
      <w:pPr>
        <w:spacing w:after="0"/>
        <w:tabs>
          <w:tab w:leader="none" w:pos="800" w:val="left"/>
        </w:tabs>
        <w:rPr>
          <w:sz w:val="20"/>
          <w:szCs w:val="20"/>
          <w:color w:val="auto"/>
        </w:rPr>
      </w:pPr>
      <w:r>
        <w:rPr>
          <w:rFonts w:ascii="Calibri" w:cs="Calibri" w:eastAsia="Calibri" w:hAnsi="Calibri"/>
          <w:sz w:val="18"/>
          <w:szCs w:val="18"/>
          <w:color w:val="auto"/>
        </w:rPr>
        <w:t>F-31</w:t>
      </w:r>
      <w:r>
        <w:rPr>
          <w:sz w:val="20"/>
          <w:szCs w:val="20"/>
          <w:color w:val="auto"/>
        </w:rPr>
        <w:tab/>
      </w:r>
      <w:r>
        <w:rPr>
          <w:rFonts w:ascii="Calibri" w:cs="Calibri" w:eastAsia="Calibri" w:hAnsi="Calibri"/>
          <w:sz w:val="17"/>
          <w:szCs w:val="17"/>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490220</wp:posOffset>
                </wp:positionH>
                <wp:positionV relativeFrom="paragraph">
                  <wp:posOffset>320675</wp:posOffset>
                </wp:positionV>
                <wp:extent cx="6812280" cy="0"/>
                <wp:wrapNone/>
                <wp:docPr id="319" name="Shape 3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9" o:spid="_x0000_s13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25.25pt" to="57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490220</wp:posOffset>
                </wp:positionH>
                <wp:positionV relativeFrom="paragraph">
                  <wp:posOffset>320675</wp:posOffset>
                </wp:positionV>
                <wp:extent cx="6812280" cy="0"/>
                <wp:wrapNone/>
                <wp:docPr id="320" name="Shape 3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20" o:spid="_x0000_s13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25.25pt" to="57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80"/>
        <w:spacing w:after="0"/>
        <w:rPr>
          <w:sz w:val="20"/>
          <w:szCs w:val="20"/>
          <w:color w:val="auto"/>
        </w:rPr>
      </w:pPr>
      <w:r>
        <w:rPr>
          <w:rFonts w:ascii="Verdana" w:cs="Verdana" w:eastAsia="Verdana" w:hAnsi="Verdana"/>
          <w:sz w:val="20"/>
          <w:szCs w:val="20"/>
          <w:color w:val="214E93"/>
        </w:rPr>
        <w:t>NOTE 8 — INCOME TAXES — Continued</w:t>
      </w:r>
    </w:p>
    <w:p>
      <w:pPr>
        <w:spacing w:after="0" w:line="209" w:lineRule="exact"/>
        <w:rPr>
          <w:sz w:val="20"/>
          <w:szCs w:val="20"/>
          <w:color w:val="auto"/>
        </w:rPr>
      </w:pPr>
    </w:p>
    <w:p>
      <w:pPr>
        <w:ind w:left="780" w:right="160" w:firstLine="241"/>
        <w:spacing w:after="0" w:line="252" w:lineRule="auto"/>
        <w:rPr>
          <w:sz w:val="20"/>
          <w:szCs w:val="20"/>
          <w:color w:val="auto"/>
        </w:rPr>
      </w:pPr>
      <w:r>
        <w:rPr>
          <w:rFonts w:ascii="Calibri" w:cs="Calibri" w:eastAsia="Calibri" w:hAnsi="Calibri"/>
          <w:sz w:val="18"/>
          <w:szCs w:val="18"/>
          <w:color w:val="auto"/>
        </w:rPr>
        <w:t>Reconciliations of expected income tax expense and reported income tax expense on income before income taxes for the years ended December 31, 2025, 2024 and 2023 are as follows (in thousands).</w:t>
      </w:r>
    </w:p>
    <w:p>
      <w:pPr>
        <w:spacing w:after="0" w:line="188" w:lineRule="exact"/>
        <w:rPr>
          <w:sz w:val="20"/>
          <w:szCs w:val="20"/>
          <w:color w:val="auto"/>
        </w:rPr>
      </w:pPr>
    </w:p>
    <w:tbl>
      <w:tblPr>
        <w:tblLayout w:type="fixed"/>
        <w:tblInd w:w="780" w:type="dxa"/>
        <w:tblCellMar>
          <w:top w:w="0" w:type="dxa"/>
          <w:left w:w="0" w:type="dxa"/>
          <w:bottom w:w="0" w:type="dxa"/>
          <w:right w:w="0" w:type="dxa"/>
        </w:tblCellMar>
      </w:tblPr>
      <w:tr>
        <w:trPr>
          <w:trHeight w:val="193"/>
        </w:trPr>
        <w:tc>
          <w:tcPr>
            <w:tcW w:w="4040" w:type="dxa"/>
            <w:vAlign w:val="bottom"/>
          </w:tcPr>
          <w:p>
            <w:pPr>
              <w:spacing w:after="0"/>
              <w:rPr>
                <w:sz w:val="16"/>
                <w:szCs w:val="16"/>
                <w:color w:val="auto"/>
              </w:rPr>
            </w:pPr>
          </w:p>
        </w:tc>
        <w:tc>
          <w:tcPr>
            <w:tcW w:w="200" w:type="dxa"/>
            <w:vAlign w:val="bottom"/>
            <w:tcBorders>
              <w:bottom w:val="single" w:sz="8" w:color="214E93"/>
            </w:tcBorders>
          </w:tcPr>
          <w:p>
            <w:pPr>
              <w:spacing w:after="0"/>
              <w:rPr>
                <w:sz w:val="16"/>
                <w:szCs w:val="16"/>
                <w:color w:val="auto"/>
              </w:rPr>
            </w:pPr>
          </w:p>
        </w:tc>
        <w:tc>
          <w:tcPr>
            <w:tcW w:w="880" w:type="dxa"/>
            <w:vAlign w:val="bottom"/>
            <w:tcBorders>
              <w:bottom w:val="single" w:sz="8" w:color="214E93"/>
            </w:tcBorders>
          </w:tcPr>
          <w:p>
            <w:pPr>
              <w:spacing w:after="0"/>
              <w:rPr>
                <w:sz w:val="16"/>
                <w:szCs w:val="16"/>
                <w:color w:val="auto"/>
              </w:rPr>
            </w:pPr>
          </w:p>
        </w:tc>
        <w:tc>
          <w:tcPr>
            <w:tcW w:w="500" w:type="dxa"/>
            <w:vAlign w:val="bottom"/>
            <w:tcBorders>
              <w:bottom w:val="single" w:sz="8" w:color="214E93"/>
            </w:tcBorders>
          </w:tcPr>
          <w:p>
            <w:pPr>
              <w:spacing w:after="0"/>
              <w:rPr>
                <w:sz w:val="16"/>
                <w:szCs w:val="16"/>
                <w:color w:val="auto"/>
              </w:rPr>
            </w:pPr>
          </w:p>
        </w:tc>
        <w:tc>
          <w:tcPr>
            <w:tcW w:w="240" w:type="dxa"/>
            <w:vAlign w:val="bottom"/>
            <w:tcBorders>
              <w:bottom w:val="single" w:sz="8" w:color="214E93"/>
            </w:tcBorders>
          </w:tcPr>
          <w:p>
            <w:pPr>
              <w:spacing w:after="0"/>
              <w:rPr>
                <w:sz w:val="16"/>
                <w:szCs w:val="16"/>
                <w:color w:val="auto"/>
              </w:rPr>
            </w:pPr>
          </w:p>
        </w:tc>
        <w:tc>
          <w:tcPr>
            <w:tcW w:w="1900" w:type="dxa"/>
            <w:vAlign w:val="bottom"/>
            <w:tcBorders>
              <w:bottom w:val="single" w:sz="8" w:color="214E93"/>
            </w:tcBorders>
            <w:gridSpan w:val="4"/>
          </w:tcPr>
          <w:p>
            <w:pPr>
              <w:jc w:val="right"/>
              <w:spacing w:after="0"/>
              <w:rPr>
                <w:sz w:val="20"/>
                <w:szCs w:val="20"/>
                <w:color w:val="auto"/>
              </w:rPr>
            </w:pPr>
            <w:r>
              <w:rPr>
                <w:rFonts w:ascii="Verdana" w:cs="Verdana" w:eastAsia="Verdana" w:hAnsi="Verdana"/>
                <w:sz w:val="14"/>
                <w:szCs w:val="14"/>
                <w:color w:val="auto"/>
                <w:w w:val="98"/>
              </w:rPr>
              <w:t>Year Ended December 31,</w:t>
            </w:r>
          </w:p>
        </w:tc>
        <w:tc>
          <w:tcPr>
            <w:tcW w:w="180" w:type="dxa"/>
            <w:vAlign w:val="bottom"/>
            <w:tcBorders>
              <w:bottom w:val="single" w:sz="8" w:color="214E93"/>
            </w:tcBorders>
          </w:tcPr>
          <w:p>
            <w:pPr>
              <w:spacing w:after="0"/>
              <w:rPr>
                <w:sz w:val="16"/>
                <w:szCs w:val="16"/>
                <w:color w:val="auto"/>
              </w:rPr>
            </w:pPr>
          </w:p>
        </w:tc>
        <w:tc>
          <w:tcPr>
            <w:tcW w:w="900" w:type="dxa"/>
            <w:vAlign w:val="bottom"/>
            <w:tcBorders>
              <w:bottom w:val="single" w:sz="8" w:color="214E93"/>
            </w:tcBorders>
          </w:tcPr>
          <w:p>
            <w:pPr>
              <w:spacing w:after="0"/>
              <w:rPr>
                <w:sz w:val="16"/>
                <w:szCs w:val="16"/>
                <w:color w:val="auto"/>
              </w:rPr>
            </w:pPr>
          </w:p>
        </w:tc>
        <w:tc>
          <w:tcPr>
            <w:tcW w:w="500" w:type="dxa"/>
            <w:vAlign w:val="bottom"/>
            <w:tcBorders>
              <w:bottom w:val="single" w:sz="8" w:color="214E93"/>
            </w:tcBorders>
          </w:tcPr>
          <w:p>
            <w:pPr>
              <w:spacing w:after="0"/>
              <w:rPr>
                <w:sz w:val="16"/>
                <w:szCs w:val="16"/>
                <w:color w:val="auto"/>
              </w:rPr>
            </w:pPr>
          </w:p>
        </w:tc>
        <w:tc>
          <w:tcPr>
            <w:tcW w:w="220" w:type="dxa"/>
            <w:vAlign w:val="bottom"/>
            <w:tcBorders>
              <w:bottom w:val="single" w:sz="8" w:color="214E93"/>
            </w:tcBorders>
          </w:tcPr>
          <w:p>
            <w:pPr>
              <w:spacing w:after="0"/>
              <w:rPr>
                <w:sz w:val="16"/>
                <w:szCs w:val="16"/>
                <w:color w:val="auto"/>
              </w:rPr>
            </w:pPr>
          </w:p>
        </w:tc>
      </w:tr>
      <w:tr>
        <w:trPr>
          <w:trHeight w:val="216"/>
        </w:trPr>
        <w:tc>
          <w:tcPr>
            <w:tcW w:w="4040" w:type="dxa"/>
            <w:vAlign w:val="bottom"/>
            <w:tcBorders>
              <w:bottom w:val="single" w:sz="8" w:color="214E93"/>
            </w:tcBorders>
          </w:tcPr>
          <w:p>
            <w:pPr>
              <w:spacing w:after="0"/>
              <w:rPr>
                <w:sz w:val="18"/>
                <w:szCs w:val="18"/>
                <w:color w:val="auto"/>
              </w:rPr>
            </w:pPr>
          </w:p>
        </w:tc>
        <w:tc>
          <w:tcPr>
            <w:tcW w:w="200" w:type="dxa"/>
            <w:vAlign w:val="bottom"/>
            <w:tcBorders>
              <w:bottom w:val="single" w:sz="8" w:color="214E93"/>
            </w:tcBorders>
          </w:tcPr>
          <w:p>
            <w:pPr>
              <w:spacing w:after="0"/>
              <w:rPr>
                <w:sz w:val="18"/>
                <w:szCs w:val="18"/>
                <w:color w:val="auto"/>
              </w:rPr>
            </w:pPr>
          </w:p>
        </w:tc>
        <w:tc>
          <w:tcPr>
            <w:tcW w:w="880" w:type="dxa"/>
            <w:vAlign w:val="bottom"/>
            <w:tcBorders>
              <w:bottom w:val="single" w:sz="8" w:color="214E93"/>
            </w:tcBorders>
          </w:tcPr>
          <w:p>
            <w:pPr>
              <w:jc w:val="right"/>
              <w:spacing w:after="0"/>
              <w:rPr>
                <w:sz w:val="20"/>
                <w:szCs w:val="20"/>
                <w:color w:val="auto"/>
              </w:rPr>
            </w:pPr>
            <w:r>
              <w:rPr>
                <w:rFonts w:ascii="Verdana" w:cs="Verdana" w:eastAsia="Verdana" w:hAnsi="Verdana"/>
                <w:sz w:val="14"/>
                <w:szCs w:val="14"/>
                <w:color w:val="auto"/>
              </w:rPr>
              <w:t>2025</w:t>
            </w:r>
          </w:p>
        </w:tc>
        <w:tc>
          <w:tcPr>
            <w:tcW w:w="500" w:type="dxa"/>
            <w:vAlign w:val="bottom"/>
            <w:tcBorders>
              <w:bottom w:val="single" w:sz="8" w:color="214E93"/>
            </w:tcBorders>
          </w:tcPr>
          <w:p>
            <w:pPr>
              <w:spacing w:after="0"/>
              <w:rPr>
                <w:sz w:val="18"/>
                <w:szCs w:val="18"/>
                <w:color w:val="auto"/>
              </w:rPr>
            </w:pPr>
          </w:p>
        </w:tc>
        <w:tc>
          <w:tcPr>
            <w:tcW w:w="240" w:type="dxa"/>
            <w:vAlign w:val="bottom"/>
            <w:tcBorders>
              <w:bottom w:val="single" w:sz="8" w:color="214E93"/>
            </w:tcBorders>
          </w:tcPr>
          <w:p>
            <w:pPr>
              <w:spacing w:after="0"/>
              <w:rPr>
                <w:sz w:val="18"/>
                <w:szCs w:val="18"/>
                <w:color w:val="auto"/>
              </w:rPr>
            </w:pPr>
          </w:p>
        </w:tc>
        <w:tc>
          <w:tcPr>
            <w:tcW w:w="240" w:type="dxa"/>
            <w:vAlign w:val="bottom"/>
            <w:tcBorders>
              <w:bottom w:val="single" w:sz="8" w:color="214E93"/>
            </w:tcBorders>
          </w:tcPr>
          <w:p>
            <w:pPr>
              <w:spacing w:after="0"/>
              <w:rPr>
                <w:sz w:val="18"/>
                <w:szCs w:val="18"/>
                <w:color w:val="auto"/>
              </w:rPr>
            </w:pPr>
          </w:p>
        </w:tc>
        <w:tc>
          <w:tcPr>
            <w:tcW w:w="880" w:type="dxa"/>
            <w:vAlign w:val="bottom"/>
            <w:tcBorders>
              <w:bottom w:val="single" w:sz="8" w:color="214E93"/>
            </w:tcBorders>
          </w:tcPr>
          <w:p>
            <w:pPr>
              <w:jc w:val="right"/>
              <w:spacing w:after="0"/>
              <w:rPr>
                <w:sz w:val="20"/>
                <w:szCs w:val="20"/>
                <w:color w:val="auto"/>
              </w:rPr>
            </w:pPr>
            <w:r>
              <w:rPr>
                <w:rFonts w:ascii="Verdana" w:cs="Verdana" w:eastAsia="Verdana" w:hAnsi="Verdana"/>
                <w:sz w:val="14"/>
                <w:szCs w:val="14"/>
                <w:color w:val="auto"/>
              </w:rPr>
              <w:t>2024</w:t>
            </w:r>
          </w:p>
        </w:tc>
        <w:tc>
          <w:tcPr>
            <w:tcW w:w="500" w:type="dxa"/>
            <w:vAlign w:val="bottom"/>
            <w:tcBorders>
              <w:bottom w:val="single" w:sz="8" w:color="214E93"/>
            </w:tcBorders>
          </w:tcPr>
          <w:p>
            <w:pPr>
              <w:spacing w:after="0"/>
              <w:rPr>
                <w:sz w:val="18"/>
                <w:szCs w:val="18"/>
                <w:color w:val="auto"/>
              </w:rPr>
            </w:pPr>
          </w:p>
        </w:tc>
        <w:tc>
          <w:tcPr>
            <w:tcW w:w="280" w:type="dxa"/>
            <w:vAlign w:val="bottom"/>
            <w:tcBorders>
              <w:bottom w:val="single" w:sz="8" w:color="214E93"/>
            </w:tcBorders>
          </w:tcPr>
          <w:p>
            <w:pPr>
              <w:spacing w:after="0"/>
              <w:rPr>
                <w:sz w:val="18"/>
                <w:szCs w:val="18"/>
                <w:color w:val="auto"/>
              </w:rPr>
            </w:pPr>
          </w:p>
        </w:tc>
        <w:tc>
          <w:tcPr>
            <w:tcW w:w="180" w:type="dxa"/>
            <w:vAlign w:val="bottom"/>
            <w:tcBorders>
              <w:bottom w:val="single" w:sz="8" w:color="214E93"/>
            </w:tcBorders>
          </w:tcPr>
          <w:p>
            <w:pPr>
              <w:spacing w:after="0"/>
              <w:rPr>
                <w:sz w:val="18"/>
                <w:szCs w:val="18"/>
                <w:color w:val="auto"/>
              </w:rPr>
            </w:pPr>
          </w:p>
        </w:tc>
        <w:tc>
          <w:tcPr>
            <w:tcW w:w="900" w:type="dxa"/>
            <w:vAlign w:val="bottom"/>
            <w:tcBorders>
              <w:bottom w:val="single" w:sz="8" w:color="214E93"/>
            </w:tcBorders>
          </w:tcPr>
          <w:p>
            <w:pPr>
              <w:jc w:val="right"/>
              <w:spacing w:after="0"/>
              <w:rPr>
                <w:sz w:val="20"/>
                <w:szCs w:val="20"/>
                <w:color w:val="auto"/>
              </w:rPr>
            </w:pPr>
            <w:r>
              <w:rPr>
                <w:rFonts w:ascii="Verdana" w:cs="Verdana" w:eastAsia="Verdana" w:hAnsi="Verdana"/>
                <w:sz w:val="14"/>
                <w:szCs w:val="14"/>
                <w:color w:val="auto"/>
              </w:rPr>
              <w:t>2023</w:t>
            </w:r>
          </w:p>
        </w:tc>
        <w:tc>
          <w:tcPr>
            <w:tcW w:w="500" w:type="dxa"/>
            <w:vAlign w:val="bottom"/>
            <w:tcBorders>
              <w:bottom w:val="single" w:sz="8" w:color="214E93"/>
            </w:tcBorders>
          </w:tcPr>
          <w:p>
            <w:pPr>
              <w:spacing w:after="0"/>
              <w:rPr>
                <w:sz w:val="18"/>
                <w:szCs w:val="18"/>
                <w:color w:val="auto"/>
              </w:rPr>
            </w:pPr>
          </w:p>
        </w:tc>
        <w:tc>
          <w:tcPr>
            <w:tcW w:w="220" w:type="dxa"/>
            <w:vAlign w:val="bottom"/>
            <w:tcBorders>
              <w:bottom w:val="single" w:sz="8" w:color="214E93"/>
            </w:tcBorders>
          </w:tcPr>
          <w:p>
            <w:pPr>
              <w:spacing w:after="0"/>
              <w:rPr>
                <w:sz w:val="18"/>
                <w:szCs w:val="18"/>
                <w:color w:val="auto"/>
              </w:rPr>
            </w:pPr>
          </w:p>
        </w:tc>
      </w:tr>
      <w:tr>
        <w:trPr>
          <w:trHeight w:val="194"/>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223"/>
              <w:spacing w:after="0"/>
              <w:rPr>
                <w:sz w:val="20"/>
                <w:szCs w:val="20"/>
                <w:color w:val="auto"/>
              </w:rPr>
            </w:pPr>
            <w:r>
              <w:rPr>
                <w:rFonts w:ascii="Verdana" w:cs="Verdana" w:eastAsia="Verdana" w:hAnsi="Verdana"/>
                <w:sz w:val="14"/>
                <w:szCs w:val="14"/>
                <w:color w:val="auto"/>
              </w:rPr>
              <w:t>Amount</w:t>
            </w:r>
          </w:p>
        </w:tc>
        <w:tc>
          <w:tcPr>
            <w:tcW w:w="740" w:type="dxa"/>
            <w:vAlign w:val="bottom"/>
            <w:gridSpan w:val="2"/>
          </w:tcPr>
          <w:p>
            <w:pPr>
              <w:jc w:val="right"/>
              <w:ind w:right="61"/>
              <w:spacing w:after="0"/>
              <w:rPr>
                <w:sz w:val="20"/>
                <w:szCs w:val="20"/>
                <w:color w:val="auto"/>
              </w:rPr>
            </w:pPr>
            <w:r>
              <w:rPr>
                <w:rFonts w:ascii="Verdana" w:cs="Verdana" w:eastAsia="Verdana" w:hAnsi="Verdana"/>
                <w:sz w:val="14"/>
                <w:szCs w:val="14"/>
                <w:color w:val="auto"/>
              </w:rPr>
              <w:t>Percent</w:t>
            </w:r>
          </w:p>
        </w:tc>
        <w:tc>
          <w:tcPr>
            <w:tcW w:w="240" w:type="dxa"/>
            <w:vAlign w:val="bottom"/>
          </w:tcPr>
          <w:p>
            <w:pPr>
              <w:spacing w:after="0"/>
              <w:rPr>
                <w:sz w:val="16"/>
                <w:szCs w:val="16"/>
                <w:color w:val="auto"/>
              </w:rPr>
            </w:pPr>
          </w:p>
        </w:tc>
        <w:tc>
          <w:tcPr>
            <w:tcW w:w="880" w:type="dxa"/>
            <w:vAlign w:val="bottom"/>
          </w:tcPr>
          <w:p>
            <w:pPr>
              <w:jc w:val="right"/>
              <w:ind w:right="223"/>
              <w:spacing w:after="0"/>
              <w:rPr>
                <w:sz w:val="20"/>
                <w:szCs w:val="20"/>
                <w:color w:val="auto"/>
              </w:rPr>
            </w:pPr>
            <w:r>
              <w:rPr>
                <w:rFonts w:ascii="Verdana" w:cs="Verdana" w:eastAsia="Verdana" w:hAnsi="Verdana"/>
                <w:sz w:val="14"/>
                <w:szCs w:val="14"/>
                <w:color w:val="auto"/>
              </w:rPr>
              <w:t>Amount</w:t>
            </w:r>
          </w:p>
        </w:tc>
        <w:tc>
          <w:tcPr>
            <w:tcW w:w="780" w:type="dxa"/>
            <w:vAlign w:val="bottom"/>
            <w:gridSpan w:val="2"/>
          </w:tcPr>
          <w:p>
            <w:pPr>
              <w:jc w:val="right"/>
              <w:ind w:right="101"/>
              <w:spacing w:after="0"/>
              <w:rPr>
                <w:sz w:val="20"/>
                <w:szCs w:val="20"/>
                <w:color w:val="auto"/>
              </w:rPr>
            </w:pPr>
            <w:r>
              <w:rPr>
                <w:rFonts w:ascii="Verdana" w:cs="Verdana" w:eastAsia="Verdana" w:hAnsi="Verdana"/>
                <w:sz w:val="14"/>
                <w:szCs w:val="14"/>
                <w:color w:val="auto"/>
              </w:rPr>
              <w:t>Percent</w:t>
            </w:r>
          </w:p>
        </w:tc>
        <w:tc>
          <w:tcPr>
            <w:tcW w:w="180" w:type="dxa"/>
            <w:vAlign w:val="bottom"/>
          </w:tcPr>
          <w:p>
            <w:pPr>
              <w:spacing w:after="0"/>
              <w:rPr>
                <w:sz w:val="16"/>
                <w:szCs w:val="16"/>
                <w:color w:val="auto"/>
              </w:rPr>
            </w:pPr>
          </w:p>
        </w:tc>
        <w:tc>
          <w:tcPr>
            <w:tcW w:w="900" w:type="dxa"/>
            <w:vAlign w:val="bottom"/>
          </w:tcPr>
          <w:p>
            <w:pPr>
              <w:jc w:val="right"/>
              <w:ind w:right="223"/>
              <w:spacing w:after="0"/>
              <w:rPr>
                <w:sz w:val="20"/>
                <w:szCs w:val="20"/>
                <w:color w:val="auto"/>
              </w:rPr>
            </w:pPr>
            <w:r>
              <w:rPr>
                <w:rFonts w:ascii="Verdana" w:cs="Verdana" w:eastAsia="Verdana" w:hAnsi="Verdana"/>
                <w:sz w:val="14"/>
                <w:szCs w:val="14"/>
                <w:color w:val="auto"/>
              </w:rPr>
              <w:t>Amount</w:t>
            </w:r>
          </w:p>
        </w:tc>
        <w:tc>
          <w:tcPr>
            <w:tcW w:w="720" w:type="dxa"/>
            <w:vAlign w:val="bottom"/>
            <w:gridSpan w:val="2"/>
          </w:tcPr>
          <w:p>
            <w:pPr>
              <w:jc w:val="right"/>
              <w:ind w:right="41"/>
              <w:spacing w:after="0"/>
              <w:rPr>
                <w:sz w:val="20"/>
                <w:szCs w:val="20"/>
                <w:color w:val="auto"/>
              </w:rPr>
            </w:pPr>
            <w:r>
              <w:rPr>
                <w:rFonts w:ascii="Verdana" w:cs="Verdana" w:eastAsia="Verdana" w:hAnsi="Verdana"/>
                <w:sz w:val="14"/>
                <w:szCs w:val="14"/>
                <w:color w:val="auto"/>
              </w:rPr>
              <w:t>Percent</w:t>
            </w:r>
          </w:p>
        </w:tc>
      </w:tr>
      <w:tr>
        <w:trPr>
          <w:trHeight w:val="238"/>
        </w:trPr>
        <w:tc>
          <w:tcPr>
            <w:tcW w:w="4040" w:type="dxa"/>
            <w:vAlign w:val="bottom"/>
          </w:tcPr>
          <w:p>
            <w:pPr>
              <w:ind w:left="40"/>
              <w:spacing w:after="0"/>
              <w:rPr>
                <w:sz w:val="20"/>
                <w:szCs w:val="20"/>
                <w:color w:val="auto"/>
              </w:rPr>
            </w:pPr>
            <w:r>
              <w:rPr>
                <w:rFonts w:ascii="Verdana" w:cs="Verdana" w:eastAsia="Verdana" w:hAnsi="Verdana"/>
                <w:sz w:val="16"/>
                <w:szCs w:val="16"/>
                <w:color w:val="auto"/>
              </w:rPr>
              <w:t>US federal statutory income tax rate</w:t>
            </w:r>
          </w:p>
        </w:tc>
        <w:tc>
          <w:tcPr>
            <w:tcW w:w="20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880" w:type="dxa"/>
            <w:vAlign w:val="bottom"/>
          </w:tcPr>
          <w:p>
            <w:pPr>
              <w:jc w:val="right"/>
              <w:ind w:right="63"/>
              <w:spacing w:after="0"/>
              <w:rPr>
                <w:sz w:val="20"/>
                <w:szCs w:val="20"/>
                <w:color w:val="auto"/>
              </w:rPr>
            </w:pPr>
            <w:r>
              <w:rPr>
                <w:rFonts w:ascii="Verdana" w:cs="Verdana" w:eastAsia="Verdana" w:hAnsi="Verdana"/>
                <w:sz w:val="16"/>
                <w:szCs w:val="16"/>
                <w:color w:val="214E93"/>
              </w:rPr>
              <w:t>217,558</w:t>
            </w:r>
          </w:p>
        </w:tc>
        <w:tc>
          <w:tcPr>
            <w:tcW w:w="500" w:type="dxa"/>
            <w:vAlign w:val="bottom"/>
          </w:tcPr>
          <w:p>
            <w:pPr>
              <w:jc w:val="right"/>
              <w:spacing w:after="0"/>
              <w:rPr>
                <w:sz w:val="20"/>
                <w:szCs w:val="20"/>
                <w:color w:val="auto"/>
              </w:rPr>
            </w:pPr>
            <w:r>
              <w:rPr>
                <w:rFonts w:ascii="Verdana" w:cs="Verdana" w:eastAsia="Verdana" w:hAnsi="Verdana"/>
                <w:sz w:val="16"/>
                <w:szCs w:val="16"/>
                <w:color w:val="214E93"/>
                <w:w w:val="94"/>
              </w:rPr>
              <w:t>21.00</w:t>
            </w:r>
          </w:p>
        </w:tc>
        <w:tc>
          <w:tcPr>
            <w:tcW w:w="24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240" w:type="dxa"/>
            <w:vAlign w:val="bottom"/>
          </w:tcPr>
          <w:p>
            <w:pPr>
              <w:jc w:val="right"/>
              <w:spacing w:after="0"/>
              <w:rPr>
                <w:sz w:val="20"/>
                <w:szCs w:val="20"/>
                <w:color w:val="auto"/>
              </w:rPr>
            </w:pPr>
            <w:r>
              <w:rPr>
                <w:rFonts w:ascii="Verdana" w:cs="Verdana" w:eastAsia="Verdana" w:hAnsi="Verdana"/>
                <w:sz w:val="16"/>
                <w:szCs w:val="16"/>
                <w:color w:val="auto"/>
              </w:rPr>
              <w:t>$</w:t>
            </w:r>
          </w:p>
        </w:tc>
        <w:tc>
          <w:tcPr>
            <w:tcW w:w="880" w:type="dxa"/>
            <w:vAlign w:val="bottom"/>
          </w:tcPr>
          <w:p>
            <w:pPr>
              <w:jc w:val="right"/>
              <w:ind w:right="63"/>
              <w:spacing w:after="0"/>
              <w:rPr>
                <w:sz w:val="20"/>
                <w:szCs w:val="20"/>
                <w:color w:val="auto"/>
              </w:rPr>
            </w:pPr>
            <w:r>
              <w:rPr>
                <w:rFonts w:ascii="Verdana" w:cs="Verdana" w:eastAsia="Verdana" w:hAnsi="Verdana"/>
                <w:sz w:val="16"/>
                <w:szCs w:val="16"/>
                <w:color w:val="auto"/>
              </w:rPr>
              <w:t>265,379</w:t>
            </w:r>
          </w:p>
        </w:tc>
        <w:tc>
          <w:tcPr>
            <w:tcW w:w="500" w:type="dxa"/>
            <w:vAlign w:val="bottom"/>
          </w:tcPr>
          <w:p>
            <w:pPr>
              <w:jc w:val="right"/>
              <w:spacing w:after="0"/>
              <w:rPr>
                <w:sz w:val="20"/>
                <w:szCs w:val="20"/>
                <w:color w:val="auto"/>
              </w:rPr>
            </w:pPr>
            <w:r>
              <w:rPr>
                <w:rFonts w:ascii="Verdana" w:cs="Verdana" w:eastAsia="Verdana" w:hAnsi="Verdana"/>
                <w:sz w:val="16"/>
                <w:szCs w:val="16"/>
                <w:color w:val="auto"/>
                <w:w w:val="94"/>
              </w:rPr>
              <w:t>21.00</w:t>
            </w:r>
          </w:p>
        </w:tc>
        <w:tc>
          <w:tcPr>
            <w:tcW w:w="280" w:type="dxa"/>
            <w:vAlign w:val="bottom"/>
          </w:tcPr>
          <w:p>
            <w:pPr>
              <w:jc w:val="right"/>
              <w:ind w:right="1"/>
              <w:spacing w:after="0"/>
              <w:rPr>
                <w:sz w:val="20"/>
                <w:szCs w:val="20"/>
                <w:color w:val="auto"/>
              </w:rPr>
            </w:pPr>
            <w:r>
              <w:rPr>
                <w:rFonts w:ascii="Verdana" w:cs="Verdana" w:eastAsia="Verdana" w:hAnsi="Verdana"/>
                <w:sz w:val="16"/>
                <w:szCs w:val="16"/>
                <w:color w:val="auto"/>
              </w:rPr>
              <w:t>%</w:t>
            </w:r>
          </w:p>
        </w:tc>
        <w:tc>
          <w:tcPr>
            <w:tcW w:w="180" w:type="dxa"/>
            <w:vAlign w:val="bottom"/>
          </w:tcPr>
          <w:p>
            <w:pPr>
              <w:jc w:val="right"/>
              <w:spacing w:after="0"/>
              <w:rPr>
                <w:sz w:val="20"/>
                <w:szCs w:val="20"/>
                <w:color w:val="auto"/>
              </w:rPr>
            </w:pPr>
            <w:r>
              <w:rPr>
                <w:rFonts w:ascii="Verdana" w:cs="Verdana" w:eastAsia="Verdana" w:hAnsi="Verdana"/>
                <w:sz w:val="16"/>
                <w:szCs w:val="16"/>
                <w:color w:val="auto"/>
              </w:rPr>
              <w:t>$</w:t>
            </w:r>
          </w:p>
        </w:tc>
        <w:tc>
          <w:tcPr>
            <w:tcW w:w="900" w:type="dxa"/>
            <w:vAlign w:val="bottom"/>
          </w:tcPr>
          <w:p>
            <w:pPr>
              <w:jc w:val="right"/>
              <w:ind w:right="63"/>
              <w:spacing w:after="0"/>
              <w:rPr>
                <w:sz w:val="20"/>
                <w:szCs w:val="20"/>
                <w:color w:val="auto"/>
              </w:rPr>
            </w:pPr>
            <w:r>
              <w:rPr>
                <w:rFonts w:ascii="Verdana" w:cs="Verdana" w:eastAsia="Verdana" w:hAnsi="Verdana"/>
                <w:sz w:val="16"/>
                <w:szCs w:val="16"/>
                <w:color w:val="auto"/>
              </w:rPr>
              <w:t>230,241</w:t>
            </w:r>
          </w:p>
        </w:tc>
        <w:tc>
          <w:tcPr>
            <w:tcW w:w="500" w:type="dxa"/>
            <w:vAlign w:val="bottom"/>
          </w:tcPr>
          <w:p>
            <w:pPr>
              <w:jc w:val="right"/>
              <w:spacing w:after="0"/>
              <w:rPr>
                <w:sz w:val="20"/>
                <w:szCs w:val="20"/>
                <w:color w:val="auto"/>
              </w:rPr>
            </w:pPr>
            <w:r>
              <w:rPr>
                <w:rFonts w:ascii="Verdana" w:cs="Verdana" w:eastAsia="Verdana" w:hAnsi="Verdana"/>
                <w:sz w:val="16"/>
                <w:szCs w:val="16"/>
                <w:color w:val="auto"/>
                <w:w w:val="94"/>
              </w:rPr>
              <w:t>21.00</w:t>
            </w:r>
          </w:p>
        </w:tc>
        <w:tc>
          <w:tcPr>
            <w:tcW w:w="220" w:type="dxa"/>
            <w:vAlign w:val="bottom"/>
          </w:tcPr>
          <w:p>
            <w:pPr>
              <w:jc w:val="right"/>
              <w:spacing w:after="0"/>
              <w:rPr>
                <w:sz w:val="20"/>
                <w:szCs w:val="20"/>
                <w:color w:val="auto"/>
              </w:rPr>
            </w:pPr>
            <w:r>
              <w:rPr>
                <w:rFonts w:ascii="Verdana" w:cs="Verdana" w:eastAsia="Verdana" w:hAnsi="Verdana"/>
                <w:sz w:val="16"/>
                <w:szCs w:val="16"/>
                <w:color w:val="auto"/>
              </w:rPr>
              <w:t>%</w:t>
            </w:r>
          </w:p>
        </w:tc>
      </w:tr>
      <w:tr>
        <w:trPr>
          <w:trHeight w:val="234"/>
        </w:trPr>
        <w:tc>
          <w:tcPr>
            <w:tcW w:w="4040" w:type="dxa"/>
            <w:vAlign w:val="bottom"/>
          </w:tcPr>
          <w:p>
            <w:pPr>
              <w:ind w:left="40"/>
              <w:spacing w:after="0"/>
              <w:rPr>
                <w:sz w:val="20"/>
                <w:szCs w:val="20"/>
                <w:color w:val="auto"/>
              </w:rPr>
            </w:pPr>
            <w:r>
              <w:rPr>
                <w:rFonts w:ascii="Verdana" w:cs="Verdana" w:eastAsia="Verdana" w:hAnsi="Verdana"/>
                <w:sz w:val="16"/>
                <w:szCs w:val="16"/>
                <w:color w:val="auto"/>
              </w:rPr>
              <w:t>Federal</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8"/>
        </w:trPr>
        <w:tc>
          <w:tcPr>
            <w:tcW w:w="4040" w:type="dxa"/>
            <w:vAlign w:val="bottom"/>
          </w:tcPr>
          <w:p>
            <w:pPr>
              <w:ind w:left="40"/>
              <w:spacing w:after="0"/>
              <w:rPr>
                <w:sz w:val="20"/>
                <w:szCs w:val="20"/>
                <w:color w:val="auto"/>
              </w:rPr>
            </w:pPr>
            <w:r>
              <w:rPr>
                <w:rFonts w:ascii="Verdana" w:cs="Verdana" w:eastAsia="Verdana" w:hAnsi="Verdana"/>
                <w:sz w:val="16"/>
                <w:szCs w:val="16"/>
                <w:color w:val="auto"/>
              </w:rPr>
              <w:t>Non-controlling interest in subsidiaries</w:t>
            </w:r>
          </w:p>
        </w:tc>
        <w:tc>
          <w:tcPr>
            <w:tcW w:w="200" w:type="dxa"/>
            <w:vAlign w:val="bottom"/>
          </w:tcPr>
          <w:p>
            <w:pPr>
              <w:spacing w:after="0"/>
              <w:rPr>
                <w:sz w:val="20"/>
                <w:szCs w:val="20"/>
                <w:color w:val="auto"/>
              </w:rPr>
            </w:pPr>
          </w:p>
        </w:tc>
        <w:tc>
          <w:tcPr>
            <w:tcW w:w="880" w:type="dxa"/>
            <w:vAlign w:val="bottom"/>
          </w:tcPr>
          <w:p>
            <w:pPr>
              <w:jc w:val="right"/>
              <w:ind w:right="3"/>
              <w:spacing w:after="0"/>
              <w:rPr>
                <w:sz w:val="20"/>
                <w:szCs w:val="20"/>
                <w:color w:val="auto"/>
              </w:rPr>
            </w:pPr>
            <w:r>
              <w:rPr>
                <w:rFonts w:ascii="Verdana" w:cs="Verdana" w:eastAsia="Verdana" w:hAnsi="Verdana"/>
                <w:sz w:val="16"/>
                <w:szCs w:val="16"/>
                <w:color w:val="214E93"/>
              </w:rPr>
              <w:t>(21,325)</w:t>
            </w:r>
          </w:p>
        </w:tc>
        <w:tc>
          <w:tcPr>
            <w:tcW w:w="740" w:type="dxa"/>
            <w:vAlign w:val="bottom"/>
            <w:gridSpan w:val="2"/>
          </w:tcPr>
          <w:p>
            <w:pPr>
              <w:jc w:val="right"/>
              <w:spacing w:after="0"/>
              <w:rPr>
                <w:sz w:val="20"/>
                <w:szCs w:val="20"/>
                <w:color w:val="auto"/>
              </w:rPr>
            </w:pPr>
            <w:r>
              <w:rPr>
                <w:rFonts w:ascii="Verdana" w:cs="Verdana" w:eastAsia="Verdana" w:hAnsi="Verdana"/>
                <w:sz w:val="16"/>
                <w:szCs w:val="16"/>
                <w:color w:val="214E93"/>
                <w:w w:val="99"/>
              </w:rPr>
              <w:t>(2.06)%</w:t>
            </w:r>
          </w:p>
        </w:tc>
        <w:tc>
          <w:tcPr>
            <w:tcW w:w="240" w:type="dxa"/>
            <w:vAlign w:val="bottom"/>
          </w:tcPr>
          <w:p>
            <w:pPr>
              <w:spacing w:after="0"/>
              <w:rPr>
                <w:sz w:val="20"/>
                <w:szCs w:val="20"/>
                <w:color w:val="auto"/>
              </w:rPr>
            </w:pPr>
          </w:p>
        </w:tc>
        <w:tc>
          <w:tcPr>
            <w:tcW w:w="880" w:type="dxa"/>
            <w:vAlign w:val="bottom"/>
          </w:tcPr>
          <w:p>
            <w:pPr>
              <w:jc w:val="right"/>
              <w:ind w:right="3"/>
              <w:spacing w:after="0"/>
              <w:rPr>
                <w:sz w:val="20"/>
                <w:szCs w:val="20"/>
                <w:color w:val="auto"/>
              </w:rPr>
            </w:pPr>
            <w:r>
              <w:rPr>
                <w:rFonts w:ascii="Verdana" w:cs="Verdana" w:eastAsia="Verdana" w:hAnsi="Verdana"/>
                <w:sz w:val="16"/>
                <w:szCs w:val="16"/>
                <w:color w:val="auto"/>
              </w:rPr>
              <w:t>(18,064)</w:t>
            </w:r>
          </w:p>
        </w:tc>
        <w:tc>
          <w:tcPr>
            <w:tcW w:w="780" w:type="dxa"/>
            <w:vAlign w:val="bottom"/>
            <w:gridSpan w:val="2"/>
          </w:tcPr>
          <w:p>
            <w:pPr>
              <w:jc w:val="right"/>
              <w:ind w:right="1"/>
              <w:spacing w:after="0"/>
              <w:rPr>
                <w:sz w:val="20"/>
                <w:szCs w:val="20"/>
                <w:color w:val="auto"/>
              </w:rPr>
            </w:pPr>
            <w:r>
              <w:rPr>
                <w:rFonts w:ascii="Verdana" w:cs="Verdana" w:eastAsia="Verdana" w:hAnsi="Verdana"/>
                <w:sz w:val="16"/>
                <w:szCs w:val="16"/>
                <w:color w:val="auto"/>
                <w:w w:val="99"/>
              </w:rPr>
              <w:t>(1.43)%</w:t>
            </w:r>
          </w:p>
        </w:tc>
        <w:tc>
          <w:tcPr>
            <w:tcW w:w="180" w:type="dxa"/>
            <w:vAlign w:val="bottom"/>
          </w:tcPr>
          <w:p>
            <w:pPr>
              <w:spacing w:after="0"/>
              <w:rPr>
                <w:sz w:val="20"/>
                <w:szCs w:val="20"/>
                <w:color w:val="auto"/>
              </w:rPr>
            </w:pPr>
          </w:p>
        </w:tc>
        <w:tc>
          <w:tcPr>
            <w:tcW w:w="900" w:type="dxa"/>
            <w:vAlign w:val="bottom"/>
          </w:tcPr>
          <w:p>
            <w:pPr>
              <w:jc w:val="right"/>
              <w:ind w:right="3"/>
              <w:spacing w:after="0"/>
              <w:rPr>
                <w:sz w:val="20"/>
                <w:szCs w:val="20"/>
                <w:color w:val="auto"/>
              </w:rPr>
            </w:pPr>
            <w:r>
              <w:rPr>
                <w:rFonts w:ascii="Verdana" w:cs="Verdana" w:eastAsia="Verdana" w:hAnsi="Verdana"/>
                <w:sz w:val="16"/>
                <w:szCs w:val="16"/>
                <w:color w:val="auto"/>
              </w:rPr>
              <w:t>(13,500)</w:t>
            </w:r>
          </w:p>
        </w:tc>
        <w:tc>
          <w:tcPr>
            <w:tcW w:w="720" w:type="dxa"/>
            <w:vAlign w:val="bottom"/>
            <w:gridSpan w:val="2"/>
          </w:tcPr>
          <w:p>
            <w:pPr>
              <w:jc w:val="right"/>
              <w:spacing w:after="0"/>
              <w:rPr>
                <w:sz w:val="20"/>
                <w:szCs w:val="20"/>
                <w:color w:val="auto"/>
              </w:rPr>
            </w:pPr>
            <w:r>
              <w:rPr>
                <w:rFonts w:ascii="Verdana" w:cs="Verdana" w:eastAsia="Verdana" w:hAnsi="Verdana"/>
                <w:sz w:val="16"/>
                <w:szCs w:val="16"/>
                <w:color w:val="auto"/>
                <w:w w:val="99"/>
              </w:rPr>
              <w:t>(1.23)%</w:t>
            </w:r>
          </w:p>
        </w:tc>
      </w:tr>
      <w:tr>
        <w:trPr>
          <w:trHeight w:val="236"/>
        </w:trPr>
        <w:tc>
          <w:tcPr>
            <w:tcW w:w="4040" w:type="dxa"/>
            <w:vAlign w:val="bottom"/>
          </w:tcPr>
          <w:p>
            <w:pPr>
              <w:ind w:left="40"/>
              <w:spacing w:after="0"/>
              <w:rPr>
                <w:sz w:val="20"/>
                <w:szCs w:val="20"/>
                <w:color w:val="auto"/>
              </w:rPr>
            </w:pPr>
            <w:r>
              <w:rPr>
                <w:rFonts w:ascii="Verdana" w:cs="Verdana" w:eastAsia="Verdana" w:hAnsi="Verdana"/>
                <w:sz w:val="16"/>
                <w:szCs w:val="16"/>
                <w:color w:val="auto"/>
              </w:rPr>
              <w:t>Research and experimental tax credits</w:t>
            </w:r>
          </w:p>
        </w:tc>
        <w:tc>
          <w:tcPr>
            <w:tcW w:w="200" w:type="dxa"/>
            <w:vAlign w:val="bottom"/>
          </w:tcPr>
          <w:p>
            <w:pPr>
              <w:spacing w:after="0"/>
              <w:rPr>
                <w:sz w:val="20"/>
                <w:szCs w:val="20"/>
                <w:color w:val="auto"/>
              </w:rPr>
            </w:pPr>
          </w:p>
        </w:tc>
        <w:tc>
          <w:tcPr>
            <w:tcW w:w="880" w:type="dxa"/>
            <w:vAlign w:val="bottom"/>
          </w:tcPr>
          <w:p>
            <w:pPr>
              <w:jc w:val="right"/>
              <w:ind w:right="3"/>
              <w:spacing w:after="0"/>
              <w:rPr>
                <w:sz w:val="20"/>
                <w:szCs w:val="20"/>
                <w:color w:val="auto"/>
              </w:rPr>
            </w:pPr>
            <w:r>
              <w:rPr>
                <w:rFonts w:ascii="Verdana" w:cs="Verdana" w:eastAsia="Verdana" w:hAnsi="Verdana"/>
                <w:sz w:val="16"/>
                <w:szCs w:val="16"/>
                <w:color w:val="214E93"/>
              </w:rPr>
              <w:t>(11,545)</w:t>
            </w:r>
          </w:p>
        </w:tc>
        <w:tc>
          <w:tcPr>
            <w:tcW w:w="740" w:type="dxa"/>
            <w:vAlign w:val="bottom"/>
            <w:gridSpan w:val="2"/>
          </w:tcPr>
          <w:p>
            <w:pPr>
              <w:jc w:val="right"/>
              <w:spacing w:after="0"/>
              <w:rPr>
                <w:sz w:val="20"/>
                <w:szCs w:val="20"/>
                <w:color w:val="auto"/>
              </w:rPr>
            </w:pPr>
            <w:r>
              <w:rPr>
                <w:rFonts w:ascii="Verdana" w:cs="Verdana" w:eastAsia="Verdana" w:hAnsi="Verdana"/>
                <w:sz w:val="16"/>
                <w:szCs w:val="16"/>
                <w:color w:val="214E93"/>
                <w:w w:val="99"/>
              </w:rPr>
              <w:t>(1.11)%</w:t>
            </w:r>
          </w:p>
        </w:tc>
        <w:tc>
          <w:tcPr>
            <w:tcW w:w="240" w:type="dxa"/>
            <w:vAlign w:val="bottom"/>
          </w:tcPr>
          <w:p>
            <w:pPr>
              <w:spacing w:after="0"/>
              <w:rPr>
                <w:sz w:val="20"/>
                <w:szCs w:val="20"/>
                <w:color w:val="auto"/>
              </w:rPr>
            </w:pPr>
          </w:p>
        </w:tc>
        <w:tc>
          <w:tcPr>
            <w:tcW w:w="880" w:type="dxa"/>
            <w:vAlign w:val="bottom"/>
          </w:tcPr>
          <w:p>
            <w:pPr>
              <w:jc w:val="right"/>
              <w:ind w:right="63"/>
              <w:spacing w:after="0"/>
              <w:rPr>
                <w:sz w:val="20"/>
                <w:szCs w:val="20"/>
                <w:color w:val="auto"/>
              </w:rPr>
            </w:pPr>
            <w:r>
              <w:rPr>
                <w:rFonts w:ascii="Verdana" w:cs="Verdana" w:eastAsia="Verdana" w:hAnsi="Verdana"/>
                <w:sz w:val="16"/>
                <w:szCs w:val="16"/>
                <w:color w:val="auto"/>
              </w:rPr>
              <w:t>1,504</w:t>
            </w:r>
          </w:p>
        </w:tc>
        <w:tc>
          <w:tcPr>
            <w:tcW w:w="500" w:type="dxa"/>
            <w:vAlign w:val="bottom"/>
          </w:tcPr>
          <w:p>
            <w:pPr>
              <w:jc w:val="right"/>
              <w:spacing w:after="0"/>
              <w:rPr>
                <w:sz w:val="20"/>
                <w:szCs w:val="20"/>
                <w:color w:val="auto"/>
              </w:rPr>
            </w:pPr>
            <w:r>
              <w:rPr>
                <w:rFonts w:ascii="Verdana" w:cs="Verdana" w:eastAsia="Verdana" w:hAnsi="Verdana"/>
                <w:sz w:val="16"/>
                <w:szCs w:val="16"/>
                <w:color w:val="auto"/>
              </w:rPr>
              <w:t>0.12</w:t>
            </w:r>
          </w:p>
        </w:tc>
        <w:tc>
          <w:tcPr>
            <w:tcW w:w="280" w:type="dxa"/>
            <w:vAlign w:val="bottom"/>
          </w:tcPr>
          <w:p>
            <w:pPr>
              <w:jc w:val="right"/>
              <w:ind w:right="1"/>
              <w:spacing w:after="0"/>
              <w:rPr>
                <w:sz w:val="20"/>
                <w:szCs w:val="20"/>
                <w:color w:val="auto"/>
              </w:rPr>
            </w:pPr>
            <w:r>
              <w:rPr>
                <w:rFonts w:ascii="Verdana" w:cs="Verdana" w:eastAsia="Verdana" w:hAnsi="Verdana"/>
                <w:sz w:val="16"/>
                <w:szCs w:val="16"/>
                <w:color w:val="auto"/>
              </w:rPr>
              <w:t>%</w:t>
            </w:r>
          </w:p>
        </w:tc>
        <w:tc>
          <w:tcPr>
            <w:tcW w:w="180" w:type="dxa"/>
            <w:vAlign w:val="bottom"/>
          </w:tcPr>
          <w:p>
            <w:pPr>
              <w:spacing w:after="0"/>
              <w:rPr>
                <w:sz w:val="20"/>
                <w:szCs w:val="20"/>
                <w:color w:val="auto"/>
              </w:rPr>
            </w:pPr>
          </w:p>
        </w:tc>
        <w:tc>
          <w:tcPr>
            <w:tcW w:w="900" w:type="dxa"/>
            <w:vAlign w:val="bottom"/>
          </w:tcPr>
          <w:p>
            <w:pPr>
              <w:jc w:val="right"/>
              <w:ind w:right="3"/>
              <w:spacing w:after="0"/>
              <w:rPr>
                <w:sz w:val="20"/>
                <w:szCs w:val="20"/>
                <w:color w:val="auto"/>
              </w:rPr>
            </w:pPr>
            <w:r>
              <w:rPr>
                <w:rFonts w:ascii="Verdana" w:cs="Verdana" w:eastAsia="Verdana" w:hAnsi="Verdana"/>
                <w:sz w:val="16"/>
                <w:szCs w:val="16"/>
                <w:color w:val="auto"/>
                <w:w w:val="98"/>
              </w:rPr>
              <w:t>(102,330)</w:t>
            </w:r>
          </w:p>
        </w:tc>
        <w:tc>
          <w:tcPr>
            <w:tcW w:w="720" w:type="dxa"/>
            <w:vAlign w:val="bottom"/>
            <w:gridSpan w:val="2"/>
          </w:tcPr>
          <w:p>
            <w:pPr>
              <w:jc w:val="right"/>
              <w:spacing w:after="0"/>
              <w:rPr>
                <w:sz w:val="20"/>
                <w:szCs w:val="20"/>
                <w:color w:val="auto"/>
              </w:rPr>
            </w:pPr>
            <w:r>
              <w:rPr>
                <w:rFonts w:ascii="Verdana" w:cs="Verdana" w:eastAsia="Verdana" w:hAnsi="Verdana"/>
                <w:sz w:val="16"/>
                <w:szCs w:val="16"/>
                <w:color w:val="auto"/>
                <w:w w:val="99"/>
              </w:rPr>
              <w:t>(9.33)%</w:t>
            </w:r>
          </w:p>
        </w:tc>
      </w:tr>
      <w:tr>
        <w:trPr>
          <w:trHeight w:val="236"/>
        </w:trPr>
        <w:tc>
          <w:tcPr>
            <w:tcW w:w="4040" w:type="dxa"/>
            <w:vAlign w:val="bottom"/>
          </w:tcPr>
          <w:p>
            <w:pPr>
              <w:ind w:left="40"/>
              <w:spacing w:after="0"/>
              <w:rPr>
                <w:sz w:val="20"/>
                <w:szCs w:val="20"/>
                <w:color w:val="auto"/>
              </w:rPr>
            </w:pPr>
            <w:r>
              <w:rPr>
                <w:rFonts w:ascii="Verdana" w:cs="Verdana" w:eastAsia="Verdana" w:hAnsi="Verdana"/>
                <w:sz w:val="16"/>
                <w:szCs w:val="16"/>
                <w:color w:val="auto"/>
              </w:rPr>
              <w:t>Other nontaxable and nondeductible items</w:t>
            </w:r>
          </w:p>
        </w:tc>
        <w:tc>
          <w:tcPr>
            <w:tcW w:w="200" w:type="dxa"/>
            <w:vAlign w:val="bottom"/>
          </w:tcPr>
          <w:p>
            <w:pPr>
              <w:spacing w:after="0"/>
              <w:rPr>
                <w:sz w:val="20"/>
                <w:szCs w:val="20"/>
                <w:color w:val="auto"/>
              </w:rPr>
            </w:pPr>
          </w:p>
        </w:tc>
        <w:tc>
          <w:tcPr>
            <w:tcW w:w="880" w:type="dxa"/>
            <w:vAlign w:val="bottom"/>
          </w:tcPr>
          <w:p>
            <w:pPr>
              <w:jc w:val="right"/>
              <w:ind w:right="63"/>
              <w:spacing w:after="0"/>
              <w:rPr>
                <w:sz w:val="20"/>
                <w:szCs w:val="20"/>
                <w:color w:val="auto"/>
              </w:rPr>
            </w:pPr>
            <w:r>
              <w:rPr>
                <w:rFonts w:ascii="Verdana" w:cs="Verdana" w:eastAsia="Verdana" w:hAnsi="Verdana"/>
                <w:sz w:val="16"/>
                <w:szCs w:val="16"/>
                <w:color w:val="214E93"/>
              </w:rPr>
              <w:t>5,922</w:t>
            </w:r>
          </w:p>
        </w:tc>
        <w:tc>
          <w:tcPr>
            <w:tcW w:w="500" w:type="dxa"/>
            <w:vAlign w:val="bottom"/>
          </w:tcPr>
          <w:p>
            <w:pPr>
              <w:jc w:val="right"/>
              <w:spacing w:after="0"/>
              <w:rPr>
                <w:sz w:val="20"/>
                <w:szCs w:val="20"/>
                <w:color w:val="auto"/>
              </w:rPr>
            </w:pPr>
            <w:r>
              <w:rPr>
                <w:rFonts w:ascii="Verdana" w:cs="Verdana" w:eastAsia="Verdana" w:hAnsi="Verdana"/>
                <w:sz w:val="16"/>
                <w:szCs w:val="16"/>
                <w:color w:val="214E93"/>
              </w:rPr>
              <w:t>0.57</w:t>
            </w:r>
          </w:p>
        </w:tc>
        <w:tc>
          <w:tcPr>
            <w:tcW w:w="24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240" w:type="dxa"/>
            <w:vAlign w:val="bottom"/>
          </w:tcPr>
          <w:p>
            <w:pPr>
              <w:spacing w:after="0"/>
              <w:rPr>
                <w:sz w:val="20"/>
                <w:szCs w:val="20"/>
                <w:color w:val="auto"/>
              </w:rPr>
            </w:pPr>
          </w:p>
        </w:tc>
        <w:tc>
          <w:tcPr>
            <w:tcW w:w="880" w:type="dxa"/>
            <w:vAlign w:val="bottom"/>
          </w:tcPr>
          <w:p>
            <w:pPr>
              <w:jc w:val="right"/>
              <w:ind w:right="3"/>
              <w:spacing w:after="0"/>
              <w:rPr>
                <w:sz w:val="20"/>
                <w:szCs w:val="20"/>
                <w:color w:val="auto"/>
              </w:rPr>
            </w:pPr>
            <w:r>
              <w:rPr>
                <w:rFonts w:ascii="Verdana" w:cs="Verdana" w:eastAsia="Verdana" w:hAnsi="Verdana"/>
                <w:sz w:val="16"/>
                <w:szCs w:val="16"/>
                <w:color w:val="auto"/>
              </w:rPr>
              <w:t>(3,931)</w:t>
            </w:r>
          </w:p>
        </w:tc>
        <w:tc>
          <w:tcPr>
            <w:tcW w:w="780" w:type="dxa"/>
            <w:vAlign w:val="bottom"/>
            <w:gridSpan w:val="2"/>
          </w:tcPr>
          <w:p>
            <w:pPr>
              <w:jc w:val="right"/>
              <w:ind w:right="1"/>
              <w:spacing w:after="0"/>
              <w:rPr>
                <w:sz w:val="20"/>
                <w:szCs w:val="20"/>
                <w:color w:val="auto"/>
              </w:rPr>
            </w:pPr>
            <w:r>
              <w:rPr>
                <w:rFonts w:ascii="Verdana" w:cs="Verdana" w:eastAsia="Verdana" w:hAnsi="Verdana"/>
                <w:sz w:val="16"/>
                <w:szCs w:val="16"/>
                <w:color w:val="auto"/>
                <w:w w:val="99"/>
              </w:rPr>
              <w:t>(0.31)%</w:t>
            </w:r>
          </w:p>
        </w:tc>
        <w:tc>
          <w:tcPr>
            <w:tcW w:w="180" w:type="dxa"/>
            <w:vAlign w:val="bottom"/>
          </w:tcPr>
          <w:p>
            <w:pPr>
              <w:spacing w:after="0"/>
              <w:rPr>
                <w:sz w:val="20"/>
                <w:szCs w:val="20"/>
                <w:color w:val="auto"/>
              </w:rPr>
            </w:pPr>
          </w:p>
        </w:tc>
        <w:tc>
          <w:tcPr>
            <w:tcW w:w="900" w:type="dxa"/>
            <w:vAlign w:val="bottom"/>
          </w:tcPr>
          <w:p>
            <w:pPr>
              <w:jc w:val="right"/>
              <w:ind w:right="63"/>
              <w:spacing w:after="0"/>
              <w:rPr>
                <w:sz w:val="20"/>
                <w:szCs w:val="20"/>
                <w:color w:val="auto"/>
              </w:rPr>
            </w:pPr>
            <w:r>
              <w:rPr>
                <w:rFonts w:ascii="Verdana" w:cs="Verdana" w:eastAsia="Verdana" w:hAnsi="Verdana"/>
                <w:sz w:val="16"/>
                <w:szCs w:val="16"/>
                <w:color w:val="auto"/>
              </w:rPr>
              <w:t>3,558</w:t>
            </w:r>
          </w:p>
        </w:tc>
        <w:tc>
          <w:tcPr>
            <w:tcW w:w="500" w:type="dxa"/>
            <w:vAlign w:val="bottom"/>
          </w:tcPr>
          <w:p>
            <w:pPr>
              <w:jc w:val="right"/>
              <w:spacing w:after="0"/>
              <w:rPr>
                <w:sz w:val="20"/>
                <w:szCs w:val="20"/>
                <w:color w:val="auto"/>
              </w:rPr>
            </w:pPr>
            <w:r>
              <w:rPr>
                <w:rFonts w:ascii="Verdana" w:cs="Verdana" w:eastAsia="Verdana" w:hAnsi="Verdana"/>
                <w:sz w:val="16"/>
                <w:szCs w:val="16"/>
                <w:color w:val="auto"/>
              </w:rPr>
              <w:t>0.32</w:t>
            </w:r>
          </w:p>
        </w:tc>
        <w:tc>
          <w:tcPr>
            <w:tcW w:w="220" w:type="dxa"/>
            <w:vAlign w:val="bottom"/>
          </w:tcPr>
          <w:p>
            <w:pPr>
              <w:jc w:val="right"/>
              <w:spacing w:after="0"/>
              <w:rPr>
                <w:sz w:val="20"/>
                <w:szCs w:val="20"/>
                <w:color w:val="auto"/>
              </w:rPr>
            </w:pPr>
            <w:r>
              <w:rPr>
                <w:rFonts w:ascii="Verdana" w:cs="Verdana" w:eastAsia="Verdana" w:hAnsi="Verdana"/>
                <w:sz w:val="16"/>
                <w:szCs w:val="16"/>
                <w:color w:val="auto"/>
              </w:rPr>
              <w:t>%</w:t>
            </w:r>
          </w:p>
        </w:tc>
      </w:tr>
      <w:tr>
        <w:trPr>
          <w:trHeight w:val="259"/>
        </w:trPr>
        <w:tc>
          <w:tcPr>
            <w:tcW w:w="4040" w:type="dxa"/>
            <w:vAlign w:val="bottom"/>
          </w:tcPr>
          <w:p>
            <w:pPr>
              <w:ind w:left="40"/>
              <w:spacing w:after="0"/>
              <w:rPr>
                <w:sz w:val="20"/>
                <w:szCs w:val="20"/>
                <w:color w:val="auto"/>
              </w:rPr>
            </w:pPr>
            <w:r>
              <w:rPr>
                <w:rFonts w:ascii="Verdana" w:cs="Verdana" w:eastAsia="Verdana" w:hAnsi="Verdana"/>
                <w:sz w:val="16"/>
                <w:szCs w:val="16"/>
                <w:color w:val="auto"/>
              </w:rPr>
              <w:t>State income tax (benefit) expense</w:t>
            </w:r>
            <w:r>
              <w:rPr>
                <w:rFonts w:ascii="Verdana" w:cs="Verdana" w:eastAsia="Verdana" w:hAnsi="Verdana"/>
                <w:sz w:val="20"/>
                <w:szCs w:val="20"/>
                <w:color w:val="auto"/>
                <w:vertAlign w:val="superscript"/>
              </w:rPr>
              <w:t>(1)</w:t>
            </w:r>
          </w:p>
        </w:tc>
        <w:tc>
          <w:tcPr>
            <w:tcW w:w="200" w:type="dxa"/>
            <w:vAlign w:val="bottom"/>
          </w:tcPr>
          <w:p>
            <w:pPr>
              <w:spacing w:after="0"/>
              <w:rPr>
                <w:sz w:val="22"/>
                <w:szCs w:val="22"/>
                <w:color w:val="auto"/>
              </w:rPr>
            </w:pPr>
          </w:p>
        </w:tc>
        <w:tc>
          <w:tcPr>
            <w:tcW w:w="880" w:type="dxa"/>
            <w:vAlign w:val="bottom"/>
          </w:tcPr>
          <w:p>
            <w:pPr>
              <w:jc w:val="right"/>
              <w:ind w:right="3"/>
              <w:spacing w:after="0"/>
              <w:rPr>
                <w:sz w:val="20"/>
                <w:szCs w:val="20"/>
                <w:color w:val="auto"/>
              </w:rPr>
            </w:pPr>
            <w:r>
              <w:rPr>
                <w:rFonts w:ascii="Verdana" w:cs="Verdana" w:eastAsia="Verdana" w:hAnsi="Verdana"/>
                <w:sz w:val="16"/>
                <w:szCs w:val="16"/>
                <w:color w:val="214E93"/>
              </w:rPr>
              <w:t>(21,398)</w:t>
            </w:r>
          </w:p>
        </w:tc>
        <w:tc>
          <w:tcPr>
            <w:tcW w:w="740" w:type="dxa"/>
            <w:vAlign w:val="bottom"/>
            <w:gridSpan w:val="2"/>
          </w:tcPr>
          <w:p>
            <w:pPr>
              <w:jc w:val="right"/>
              <w:spacing w:after="0"/>
              <w:rPr>
                <w:sz w:val="20"/>
                <w:szCs w:val="20"/>
                <w:color w:val="auto"/>
              </w:rPr>
            </w:pPr>
            <w:r>
              <w:rPr>
                <w:rFonts w:ascii="Verdana" w:cs="Verdana" w:eastAsia="Verdana" w:hAnsi="Verdana"/>
                <w:sz w:val="16"/>
                <w:szCs w:val="16"/>
                <w:color w:val="214E93"/>
                <w:w w:val="99"/>
              </w:rPr>
              <w:t>(2.06)%</w:t>
            </w:r>
          </w:p>
        </w:tc>
        <w:tc>
          <w:tcPr>
            <w:tcW w:w="240" w:type="dxa"/>
            <w:vAlign w:val="bottom"/>
          </w:tcPr>
          <w:p>
            <w:pPr>
              <w:spacing w:after="0"/>
              <w:rPr>
                <w:sz w:val="22"/>
                <w:szCs w:val="22"/>
                <w:color w:val="auto"/>
              </w:rPr>
            </w:pPr>
          </w:p>
        </w:tc>
        <w:tc>
          <w:tcPr>
            <w:tcW w:w="880" w:type="dxa"/>
            <w:vAlign w:val="bottom"/>
          </w:tcPr>
          <w:p>
            <w:pPr>
              <w:jc w:val="right"/>
              <w:ind w:right="63"/>
              <w:spacing w:after="0"/>
              <w:rPr>
                <w:sz w:val="20"/>
                <w:szCs w:val="20"/>
                <w:color w:val="auto"/>
              </w:rPr>
            </w:pPr>
            <w:r>
              <w:rPr>
                <w:rFonts w:ascii="Verdana" w:cs="Verdana" w:eastAsia="Verdana" w:hAnsi="Verdana"/>
                <w:sz w:val="16"/>
                <w:szCs w:val="16"/>
                <w:color w:val="auto"/>
              </w:rPr>
              <w:t>47,927</w:t>
            </w:r>
          </w:p>
        </w:tc>
        <w:tc>
          <w:tcPr>
            <w:tcW w:w="500" w:type="dxa"/>
            <w:vAlign w:val="bottom"/>
          </w:tcPr>
          <w:p>
            <w:pPr>
              <w:jc w:val="right"/>
              <w:spacing w:after="0"/>
              <w:rPr>
                <w:sz w:val="20"/>
                <w:szCs w:val="20"/>
                <w:color w:val="auto"/>
              </w:rPr>
            </w:pPr>
            <w:r>
              <w:rPr>
                <w:rFonts w:ascii="Verdana" w:cs="Verdana" w:eastAsia="Verdana" w:hAnsi="Verdana"/>
                <w:sz w:val="16"/>
                <w:szCs w:val="16"/>
                <w:color w:val="auto"/>
              </w:rPr>
              <w:t>3.79</w:t>
            </w:r>
          </w:p>
        </w:tc>
        <w:tc>
          <w:tcPr>
            <w:tcW w:w="280" w:type="dxa"/>
            <w:vAlign w:val="bottom"/>
          </w:tcPr>
          <w:p>
            <w:pPr>
              <w:jc w:val="right"/>
              <w:ind w:right="1"/>
              <w:spacing w:after="0"/>
              <w:rPr>
                <w:sz w:val="20"/>
                <w:szCs w:val="20"/>
                <w:color w:val="auto"/>
              </w:rPr>
            </w:pPr>
            <w:r>
              <w:rPr>
                <w:rFonts w:ascii="Verdana" w:cs="Verdana" w:eastAsia="Verdana" w:hAnsi="Verdana"/>
                <w:sz w:val="16"/>
                <w:szCs w:val="16"/>
                <w:color w:val="auto"/>
              </w:rPr>
              <w:t>%</w:t>
            </w:r>
          </w:p>
        </w:tc>
        <w:tc>
          <w:tcPr>
            <w:tcW w:w="180" w:type="dxa"/>
            <w:vAlign w:val="bottom"/>
          </w:tcPr>
          <w:p>
            <w:pPr>
              <w:spacing w:after="0"/>
              <w:rPr>
                <w:sz w:val="22"/>
                <w:szCs w:val="22"/>
                <w:color w:val="auto"/>
              </w:rPr>
            </w:pPr>
          </w:p>
        </w:tc>
        <w:tc>
          <w:tcPr>
            <w:tcW w:w="900" w:type="dxa"/>
            <w:vAlign w:val="bottom"/>
          </w:tcPr>
          <w:p>
            <w:pPr>
              <w:jc w:val="right"/>
              <w:ind w:right="63"/>
              <w:spacing w:after="0"/>
              <w:rPr>
                <w:sz w:val="20"/>
                <w:szCs w:val="20"/>
                <w:color w:val="auto"/>
              </w:rPr>
            </w:pPr>
            <w:r>
              <w:rPr>
                <w:rFonts w:ascii="Verdana" w:cs="Verdana" w:eastAsia="Verdana" w:hAnsi="Verdana"/>
                <w:sz w:val="16"/>
                <w:szCs w:val="16"/>
                <w:color w:val="auto"/>
              </w:rPr>
              <w:t>37,358</w:t>
            </w:r>
          </w:p>
        </w:tc>
        <w:tc>
          <w:tcPr>
            <w:tcW w:w="500" w:type="dxa"/>
            <w:vAlign w:val="bottom"/>
          </w:tcPr>
          <w:p>
            <w:pPr>
              <w:jc w:val="right"/>
              <w:spacing w:after="0"/>
              <w:rPr>
                <w:sz w:val="20"/>
                <w:szCs w:val="20"/>
                <w:color w:val="auto"/>
              </w:rPr>
            </w:pPr>
            <w:r>
              <w:rPr>
                <w:rFonts w:ascii="Verdana" w:cs="Verdana" w:eastAsia="Verdana" w:hAnsi="Verdana"/>
                <w:sz w:val="16"/>
                <w:szCs w:val="16"/>
                <w:color w:val="auto"/>
              </w:rPr>
              <w:t>3.41</w:t>
            </w:r>
          </w:p>
        </w:tc>
        <w:tc>
          <w:tcPr>
            <w:tcW w:w="220" w:type="dxa"/>
            <w:vAlign w:val="bottom"/>
          </w:tcPr>
          <w:p>
            <w:pPr>
              <w:jc w:val="right"/>
              <w:spacing w:after="0"/>
              <w:rPr>
                <w:sz w:val="20"/>
                <w:szCs w:val="20"/>
                <w:color w:val="auto"/>
              </w:rPr>
            </w:pPr>
            <w:r>
              <w:rPr>
                <w:rFonts w:ascii="Verdana" w:cs="Verdana" w:eastAsia="Verdana" w:hAnsi="Verdana"/>
                <w:sz w:val="16"/>
                <w:szCs w:val="16"/>
                <w:color w:val="auto"/>
              </w:rPr>
              <w:t>%</w:t>
            </w:r>
          </w:p>
        </w:tc>
      </w:tr>
      <w:tr>
        <w:trPr>
          <w:trHeight w:val="219"/>
        </w:trPr>
        <w:tc>
          <w:tcPr>
            <w:tcW w:w="404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Change in reserve on uncertain tax positions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3"/>
              <w:spacing w:after="0"/>
              <w:rPr>
                <w:sz w:val="20"/>
                <w:szCs w:val="20"/>
                <w:color w:val="auto"/>
              </w:rPr>
            </w:pPr>
            <w:r>
              <w:rPr>
                <w:rFonts w:ascii="Verdana" w:cs="Verdana" w:eastAsia="Verdana" w:hAnsi="Verdana"/>
                <w:sz w:val="16"/>
                <w:szCs w:val="16"/>
                <w:color w:val="214E93"/>
              </w:rPr>
              <w:t>3,463</w:t>
            </w:r>
          </w:p>
        </w:tc>
        <w:tc>
          <w:tcPr>
            <w:tcW w:w="5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214E93"/>
              </w:rPr>
              <w:t>0.33</w:t>
            </w:r>
          </w:p>
        </w:tc>
        <w:tc>
          <w:tcPr>
            <w:tcW w:w="2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214E93"/>
              </w:rPr>
              <w: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
              <w:spacing w:after="0"/>
              <w:rPr>
                <w:sz w:val="20"/>
                <w:szCs w:val="20"/>
                <w:color w:val="auto"/>
              </w:rPr>
            </w:pPr>
            <w:r>
              <w:rPr>
                <w:rFonts w:ascii="Verdana" w:cs="Verdana" w:eastAsia="Verdana" w:hAnsi="Verdana"/>
                <w:sz w:val="16"/>
                <w:szCs w:val="16"/>
                <w:color w:val="auto"/>
              </w:rPr>
              <w:t>(451)</w:t>
            </w:r>
          </w:p>
        </w:tc>
        <w:tc>
          <w:tcPr>
            <w:tcW w:w="780" w:type="dxa"/>
            <w:vAlign w:val="bottom"/>
            <w:tcBorders>
              <w:bottom w:val="single" w:sz="8" w:color="auto"/>
            </w:tcBorders>
            <w:gridSpan w:val="2"/>
          </w:tcPr>
          <w:p>
            <w:pPr>
              <w:jc w:val="right"/>
              <w:ind w:right="1"/>
              <w:spacing w:after="0"/>
              <w:rPr>
                <w:sz w:val="20"/>
                <w:szCs w:val="20"/>
                <w:color w:val="auto"/>
              </w:rPr>
            </w:pPr>
            <w:r>
              <w:rPr>
                <w:rFonts w:ascii="Verdana" w:cs="Verdana" w:eastAsia="Verdana" w:hAnsi="Verdana"/>
                <w:sz w:val="16"/>
                <w:szCs w:val="16"/>
                <w:color w:val="auto"/>
                <w:w w:val="99"/>
              </w:rPr>
              <w:t>(0.04)%</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63"/>
              <w:spacing w:after="0"/>
              <w:rPr>
                <w:sz w:val="20"/>
                <w:szCs w:val="20"/>
                <w:color w:val="auto"/>
              </w:rPr>
            </w:pPr>
            <w:r>
              <w:rPr>
                <w:rFonts w:ascii="Verdana" w:cs="Verdana" w:eastAsia="Verdana" w:hAnsi="Verdana"/>
                <w:sz w:val="16"/>
                <w:szCs w:val="16"/>
                <w:color w:val="auto"/>
              </w:rPr>
              <w:t>30,699</w:t>
            </w:r>
          </w:p>
        </w:tc>
        <w:tc>
          <w:tcPr>
            <w:tcW w:w="5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2.80</w:t>
            </w:r>
          </w:p>
        </w:tc>
        <w:tc>
          <w:tcPr>
            <w:tcW w:w="22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w:t>
            </w:r>
          </w:p>
        </w:tc>
      </w:tr>
      <w:tr>
        <w:trPr>
          <w:trHeight w:val="217"/>
        </w:trPr>
        <w:tc>
          <w:tcPr>
            <w:tcW w:w="4040" w:type="dxa"/>
            <w:vAlign w:val="bottom"/>
            <w:tcBorders>
              <w:bottom w:val="single" w:sz="8" w:color="214E93"/>
            </w:tcBorders>
          </w:tcPr>
          <w:p>
            <w:pPr>
              <w:ind w:left="40"/>
              <w:spacing w:after="0"/>
              <w:rPr>
                <w:sz w:val="20"/>
                <w:szCs w:val="20"/>
                <w:color w:val="auto"/>
              </w:rPr>
            </w:pPr>
            <w:r>
              <w:rPr>
                <w:rFonts w:ascii="Verdana" w:cs="Verdana" w:eastAsia="Verdana" w:hAnsi="Verdana"/>
                <w:sz w:val="16"/>
                <w:szCs w:val="16"/>
                <w:color w:val="auto"/>
              </w:rPr>
              <w:t>Total income tax provision</w:t>
            </w:r>
          </w:p>
        </w:tc>
        <w:tc>
          <w:tcPr>
            <w:tcW w:w="20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w:t>
            </w:r>
          </w:p>
        </w:tc>
        <w:tc>
          <w:tcPr>
            <w:tcW w:w="880" w:type="dxa"/>
            <w:vAlign w:val="bottom"/>
            <w:tcBorders>
              <w:bottom w:val="single" w:sz="8" w:color="214E93"/>
            </w:tcBorders>
          </w:tcPr>
          <w:p>
            <w:pPr>
              <w:jc w:val="right"/>
              <w:ind w:right="63"/>
              <w:spacing w:after="0"/>
              <w:rPr>
                <w:sz w:val="20"/>
                <w:szCs w:val="20"/>
                <w:color w:val="auto"/>
              </w:rPr>
            </w:pPr>
            <w:r>
              <w:rPr>
                <w:rFonts w:ascii="Verdana" w:cs="Verdana" w:eastAsia="Verdana" w:hAnsi="Verdana"/>
                <w:sz w:val="16"/>
                <w:szCs w:val="16"/>
                <w:color w:val="214E93"/>
              </w:rPr>
              <w:t>172,675</w:t>
            </w:r>
          </w:p>
        </w:tc>
        <w:tc>
          <w:tcPr>
            <w:tcW w:w="50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w w:val="94"/>
              </w:rPr>
              <w:t>16.67</w:t>
            </w:r>
          </w:p>
        </w:tc>
        <w:tc>
          <w:tcPr>
            <w:tcW w:w="24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w:t>
            </w:r>
          </w:p>
        </w:tc>
        <w:tc>
          <w:tcPr>
            <w:tcW w:w="24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w:t>
            </w:r>
          </w:p>
        </w:tc>
        <w:tc>
          <w:tcPr>
            <w:tcW w:w="880" w:type="dxa"/>
            <w:vAlign w:val="bottom"/>
            <w:tcBorders>
              <w:bottom w:val="single" w:sz="8" w:color="214E93"/>
            </w:tcBorders>
          </w:tcPr>
          <w:p>
            <w:pPr>
              <w:jc w:val="right"/>
              <w:ind w:right="63"/>
              <w:spacing w:after="0"/>
              <w:rPr>
                <w:sz w:val="20"/>
                <w:szCs w:val="20"/>
                <w:color w:val="auto"/>
              </w:rPr>
            </w:pPr>
            <w:r>
              <w:rPr>
                <w:rFonts w:ascii="Verdana" w:cs="Verdana" w:eastAsia="Verdana" w:hAnsi="Verdana"/>
                <w:sz w:val="16"/>
                <w:szCs w:val="16"/>
                <w:color w:val="auto"/>
              </w:rPr>
              <w:t>292,364</w:t>
            </w:r>
          </w:p>
        </w:tc>
        <w:tc>
          <w:tcPr>
            <w:tcW w:w="50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w w:val="94"/>
              </w:rPr>
              <w:t>23.13</w:t>
            </w:r>
          </w:p>
        </w:tc>
        <w:tc>
          <w:tcPr>
            <w:tcW w:w="280" w:type="dxa"/>
            <w:vAlign w:val="bottom"/>
            <w:tcBorders>
              <w:bottom w:val="single" w:sz="8" w:color="214E93"/>
            </w:tcBorders>
          </w:tcPr>
          <w:p>
            <w:pPr>
              <w:jc w:val="right"/>
              <w:ind w:right="1"/>
              <w:spacing w:after="0"/>
              <w:rPr>
                <w:sz w:val="20"/>
                <w:szCs w:val="20"/>
                <w:color w:val="auto"/>
              </w:rPr>
            </w:pPr>
            <w:r>
              <w:rPr>
                <w:rFonts w:ascii="Verdana" w:cs="Verdana" w:eastAsia="Verdana" w:hAnsi="Verdana"/>
                <w:sz w:val="16"/>
                <w:szCs w:val="16"/>
                <w:color w:val="auto"/>
              </w:rPr>
              <w:t>%</w:t>
            </w:r>
          </w:p>
        </w:tc>
        <w:tc>
          <w:tcPr>
            <w:tcW w:w="18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w:t>
            </w:r>
          </w:p>
        </w:tc>
        <w:tc>
          <w:tcPr>
            <w:tcW w:w="900" w:type="dxa"/>
            <w:vAlign w:val="bottom"/>
            <w:tcBorders>
              <w:bottom w:val="single" w:sz="8" w:color="214E93"/>
            </w:tcBorders>
          </w:tcPr>
          <w:p>
            <w:pPr>
              <w:jc w:val="right"/>
              <w:ind w:right="63"/>
              <w:spacing w:after="0"/>
              <w:rPr>
                <w:sz w:val="20"/>
                <w:szCs w:val="20"/>
                <w:color w:val="auto"/>
              </w:rPr>
            </w:pPr>
            <w:r>
              <w:rPr>
                <w:rFonts w:ascii="Verdana" w:cs="Verdana" w:eastAsia="Verdana" w:hAnsi="Verdana"/>
                <w:sz w:val="16"/>
                <w:szCs w:val="16"/>
                <w:color w:val="auto"/>
              </w:rPr>
              <w:t>186,026</w:t>
            </w:r>
          </w:p>
        </w:tc>
        <w:tc>
          <w:tcPr>
            <w:tcW w:w="50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w w:val="94"/>
              </w:rPr>
              <w:t>16.97</w:t>
            </w:r>
          </w:p>
        </w:tc>
        <w:tc>
          <w:tcPr>
            <w:tcW w:w="22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w:t>
            </w:r>
          </w:p>
        </w:tc>
      </w:tr>
    </w:tbl>
    <w:p>
      <w:pPr>
        <w:spacing w:after="0" w:line="20" w:lineRule="exact"/>
        <w:rPr>
          <w:sz w:val="20"/>
          <w:szCs w:val="20"/>
          <w:color w:val="auto"/>
        </w:rPr>
      </w:pPr>
    </w:p>
    <w:p>
      <w:pPr>
        <w:spacing w:after="0" w:line="106" w:lineRule="exact"/>
        <w:rPr>
          <w:sz w:val="20"/>
          <w:szCs w:val="20"/>
          <w:color w:val="auto"/>
        </w:rPr>
      </w:pPr>
    </w:p>
    <w:p>
      <w:pPr>
        <w:ind w:left="1400" w:hanging="357"/>
        <w:spacing w:after="0"/>
        <w:tabs>
          <w:tab w:leader="none" w:pos="1400" w:val="left"/>
        </w:tabs>
        <w:numPr>
          <w:ilvl w:val="0"/>
          <w:numId w:val="94"/>
        </w:numPr>
        <w:rPr>
          <w:rFonts w:ascii="Calibri" w:cs="Calibri" w:eastAsia="Calibri" w:hAnsi="Calibri"/>
          <w:sz w:val="14"/>
          <w:szCs w:val="14"/>
          <w:color w:val="auto"/>
        </w:rPr>
      </w:pPr>
      <w:r>
        <w:rPr>
          <w:rFonts w:ascii="Calibri" w:cs="Calibri" w:eastAsia="Calibri" w:hAnsi="Calibri"/>
          <w:sz w:val="14"/>
          <w:szCs w:val="14"/>
          <w:color w:val="auto"/>
        </w:rPr>
        <w:t>For the years ended December 31, 2025, 2024 and 2023, the state income tax (benefit) expense was primarily related to the State of New Mexico.</w:t>
      </w:r>
    </w:p>
    <w:p>
      <w:pPr>
        <w:spacing w:after="0" w:line="179" w:lineRule="exact"/>
        <w:rPr>
          <w:sz w:val="20"/>
          <w:szCs w:val="20"/>
          <w:color w:val="auto"/>
        </w:rPr>
      </w:pPr>
    </w:p>
    <w:p>
      <w:pPr>
        <w:ind w:left="1020"/>
        <w:spacing w:after="0"/>
        <w:rPr>
          <w:sz w:val="20"/>
          <w:szCs w:val="20"/>
          <w:color w:val="auto"/>
        </w:rPr>
      </w:pPr>
      <w:r>
        <w:rPr>
          <w:rFonts w:ascii="Calibri" w:cs="Calibri" w:eastAsia="Calibri" w:hAnsi="Calibri"/>
          <w:sz w:val="18"/>
          <w:szCs w:val="18"/>
          <w:color w:val="auto"/>
        </w:rPr>
        <w:t>The Company did not have any reconciling items related to changes in tax laws or rates enacted in the current period.</w:t>
      </w:r>
    </w:p>
    <w:p>
      <w:pPr>
        <w:spacing w:after="0" w:line="241" w:lineRule="exact"/>
        <w:rPr>
          <w:sz w:val="20"/>
          <w:szCs w:val="20"/>
          <w:color w:val="auto"/>
        </w:rPr>
      </w:pPr>
    </w:p>
    <w:p>
      <w:pPr>
        <w:ind w:left="780" w:right="260" w:firstLine="241"/>
        <w:spacing w:after="0" w:line="261" w:lineRule="auto"/>
        <w:rPr>
          <w:sz w:val="20"/>
          <w:szCs w:val="20"/>
          <w:color w:val="auto"/>
        </w:rPr>
      </w:pPr>
      <w:r>
        <w:rPr>
          <w:rFonts w:ascii="Calibri" w:cs="Calibri" w:eastAsia="Calibri" w:hAnsi="Calibri"/>
          <w:sz w:val="18"/>
          <w:szCs w:val="18"/>
          <w:color w:val="auto"/>
        </w:rPr>
        <w:t>The Company files a United States federal income tax return and several state tax returns, a number of which remain open for examination. The earliest tax year open for examination for the federal, the State of New Mexico and the State of Louisiana tax returns is 2022. The earliest tax year open for examination for the State of Texas tax return is 2021.</w:t>
      </w:r>
    </w:p>
    <w:p>
      <w:pPr>
        <w:spacing w:after="0" w:line="223" w:lineRule="exact"/>
        <w:rPr>
          <w:sz w:val="20"/>
          <w:szCs w:val="20"/>
          <w:color w:val="auto"/>
        </w:rPr>
      </w:pPr>
    </w:p>
    <w:p>
      <w:pPr>
        <w:ind w:left="780" w:right="40" w:firstLine="241"/>
        <w:spacing w:after="0" w:line="284" w:lineRule="auto"/>
        <w:rPr>
          <w:sz w:val="20"/>
          <w:szCs w:val="20"/>
          <w:color w:val="auto"/>
        </w:rPr>
      </w:pPr>
      <w:r>
        <w:rPr>
          <w:rFonts w:ascii="Calibri" w:cs="Calibri" w:eastAsia="Calibri" w:hAnsi="Calibri"/>
          <w:sz w:val="17"/>
          <w:szCs w:val="17"/>
          <w:color w:val="auto"/>
        </w:rPr>
        <w:t>As of December 31, 2025, 2024 and 2023, the Company had unrecognized tax benefits (“UTB”) of $37.8 million, $34.3 million and $35.3 million, respectively, as a result of research and experimental expenditures, which would reduce the Company’s effective tax rate in future periods if and when realized. As of December 31, 2025, 2024 and 2023, $31.5 million, $31.1 million and $27.0 million, respectively, of the Company’s UTBs were recorded as other long-term liabilities on the consolidated balance sheets.</w:t>
      </w:r>
    </w:p>
    <w:p>
      <w:pPr>
        <w:spacing w:after="0" w:line="188" w:lineRule="exact"/>
        <w:rPr>
          <w:sz w:val="20"/>
          <w:szCs w:val="20"/>
          <w:color w:val="auto"/>
        </w:rPr>
      </w:pPr>
    </w:p>
    <w:p>
      <w:pPr>
        <w:ind w:left="1020"/>
        <w:spacing w:after="0"/>
        <w:rPr>
          <w:sz w:val="20"/>
          <w:szCs w:val="20"/>
          <w:color w:val="auto"/>
        </w:rPr>
      </w:pPr>
      <w:r>
        <w:rPr>
          <w:rFonts w:ascii="Calibri" w:cs="Calibri" w:eastAsia="Calibri" w:hAnsi="Calibri"/>
          <w:sz w:val="18"/>
          <w:szCs w:val="18"/>
          <w:color w:val="auto"/>
        </w:rPr>
        <w:t>Reconciliations of UTBs for the years ended December 31, 2025, 2024 and 2023 are as follows (in thousands).</w:t>
      </w:r>
    </w:p>
    <w:p>
      <w:pPr>
        <w:spacing w:after="0" w:line="218" w:lineRule="exact"/>
        <w:rPr>
          <w:sz w:val="20"/>
          <w:szCs w:val="20"/>
          <w:color w:val="auto"/>
        </w:rPr>
      </w:pPr>
    </w:p>
    <w:tbl>
      <w:tblPr>
        <w:tblLayout w:type="fixed"/>
        <w:tblInd w:w="780" w:type="dxa"/>
        <w:tblCellMar>
          <w:top w:w="0" w:type="dxa"/>
          <w:left w:w="0" w:type="dxa"/>
          <w:bottom w:w="0" w:type="dxa"/>
          <w:right w:w="0" w:type="dxa"/>
        </w:tblCellMar>
      </w:tblPr>
      <w:tr>
        <w:trPr>
          <w:trHeight w:val="193"/>
        </w:trPr>
        <w:tc>
          <w:tcPr>
            <w:tcW w:w="5740" w:type="dxa"/>
            <w:vAlign w:val="bottom"/>
          </w:tcPr>
          <w:p>
            <w:pPr>
              <w:spacing w:after="0"/>
              <w:rPr>
                <w:sz w:val="16"/>
                <w:szCs w:val="16"/>
                <w:color w:val="auto"/>
              </w:rPr>
            </w:pPr>
          </w:p>
        </w:tc>
        <w:tc>
          <w:tcPr>
            <w:tcW w:w="300" w:type="dxa"/>
            <w:vAlign w:val="bottom"/>
            <w:tcBorders>
              <w:bottom w:val="single" w:sz="8" w:color="214E93"/>
            </w:tcBorders>
          </w:tcPr>
          <w:p>
            <w:pPr>
              <w:spacing w:after="0"/>
              <w:rPr>
                <w:sz w:val="16"/>
                <w:szCs w:val="16"/>
                <w:color w:val="auto"/>
              </w:rPr>
            </w:pPr>
          </w:p>
        </w:tc>
        <w:tc>
          <w:tcPr>
            <w:tcW w:w="2620" w:type="dxa"/>
            <w:vAlign w:val="bottom"/>
            <w:tcBorders>
              <w:bottom w:val="single" w:sz="8" w:color="214E93"/>
            </w:tcBorders>
            <w:gridSpan w:val="4"/>
          </w:tcPr>
          <w:p>
            <w:pPr>
              <w:jc w:val="right"/>
              <w:ind w:right="21"/>
              <w:spacing w:after="0"/>
              <w:rPr>
                <w:sz w:val="20"/>
                <w:szCs w:val="20"/>
                <w:color w:val="auto"/>
              </w:rPr>
            </w:pPr>
            <w:r>
              <w:rPr>
                <w:rFonts w:ascii="Verdana" w:cs="Verdana" w:eastAsia="Verdana" w:hAnsi="Verdana"/>
                <w:sz w:val="14"/>
                <w:szCs w:val="14"/>
                <w:color w:val="auto"/>
              </w:rPr>
              <w:t>Year Ended December 31,</w:t>
            </w:r>
          </w:p>
        </w:tc>
        <w:tc>
          <w:tcPr>
            <w:tcW w:w="900" w:type="dxa"/>
            <w:vAlign w:val="bottom"/>
            <w:tcBorders>
              <w:bottom w:val="single" w:sz="8" w:color="214E93"/>
            </w:tcBorders>
          </w:tcPr>
          <w:p>
            <w:pPr>
              <w:spacing w:after="0"/>
              <w:rPr>
                <w:sz w:val="16"/>
                <w:szCs w:val="16"/>
                <w:color w:val="auto"/>
              </w:rPr>
            </w:pPr>
          </w:p>
        </w:tc>
      </w:tr>
      <w:tr>
        <w:trPr>
          <w:trHeight w:val="216"/>
        </w:trPr>
        <w:tc>
          <w:tcPr>
            <w:tcW w:w="5740" w:type="dxa"/>
            <w:vAlign w:val="bottom"/>
            <w:tcBorders>
              <w:bottom w:val="single" w:sz="8" w:color="214E93"/>
            </w:tcBorders>
          </w:tcPr>
          <w:p>
            <w:pPr>
              <w:spacing w:after="0"/>
              <w:rPr>
                <w:sz w:val="18"/>
                <w:szCs w:val="18"/>
                <w:color w:val="auto"/>
              </w:rPr>
            </w:pPr>
          </w:p>
        </w:tc>
        <w:tc>
          <w:tcPr>
            <w:tcW w:w="300" w:type="dxa"/>
            <w:vAlign w:val="bottom"/>
            <w:tcBorders>
              <w:bottom w:val="single" w:sz="8" w:color="214E93"/>
            </w:tcBorders>
          </w:tcPr>
          <w:p>
            <w:pPr>
              <w:spacing w:after="0"/>
              <w:rPr>
                <w:sz w:val="18"/>
                <w:szCs w:val="18"/>
                <w:color w:val="auto"/>
              </w:rPr>
            </w:pPr>
          </w:p>
        </w:tc>
        <w:tc>
          <w:tcPr>
            <w:tcW w:w="940" w:type="dxa"/>
            <w:vAlign w:val="bottom"/>
            <w:tcBorders>
              <w:bottom w:val="single" w:sz="8" w:color="214E93"/>
            </w:tcBorders>
          </w:tcPr>
          <w:p>
            <w:pPr>
              <w:jc w:val="right"/>
              <w:ind w:right="385"/>
              <w:spacing w:after="0"/>
              <w:rPr>
                <w:sz w:val="20"/>
                <w:szCs w:val="20"/>
                <w:color w:val="auto"/>
              </w:rPr>
            </w:pPr>
            <w:r>
              <w:rPr>
                <w:rFonts w:ascii="Verdana" w:cs="Verdana" w:eastAsia="Verdana" w:hAnsi="Verdana"/>
                <w:sz w:val="14"/>
                <w:szCs w:val="14"/>
                <w:color w:val="214E93"/>
              </w:rPr>
              <w:t>2025</w:t>
            </w:r>
          </w:p>
        </w:tc>
        <w:tc>
          <w:tcPr>
            <w:tcW w:w="360" w:type="dxa"/>
            <w:vAlign w:val="bottom"/>
            <w:tcBorders>
              <w:bottom w:val="single" w:sz="8" w:color="214E93"/>
            </w:tcBorders>
          </w:tcPr>
          <w:p>
            <w:pPr>
              <w:spacing w:after="0"/>
              <w:rPr>
                <w:sz w:val="18"/>
                <w:szCs w:val="18"/>
                <w:color w:val="auto"/>
              </w:rPr>
            </w:pPr>
          </w:p>
        </w:tc>
        <w:tc>
          <w:tcPr>
            <w:tcW w:w="980" w:type="dxa"/>
            <w:vAlign w:val="bottom"/>
            <w:tcBorders>
              <w:bottom w:val="single" w:sz="8" w:color="214E93"/>
            </w:tcBorders>
          </w:tcPr>
          <w:p>
            <w:pPr>
              <w:jc w:val="right"/>
              <w:ind w:right="423"/>
              <w:spacing w:after="0"/>
              <w:rPr>
                <w:sz w:val="20"/>
                <w:szCs w:val="20"/>
                <w:color w:val="auto"/>
              </w:rPr>
            </w:pPr>
            <w:r>
              <w:rPr>
                <w:rFonts w:ascii="Verdana" w:cs="Verdana" w:eastAsia="Verdana" w:hAnsi="Verdana"/>
                <w:sz w:val="14"/>
                <w:szCs w:val="14"/>
                <w:color w:val="auto"/>
              </w:rPr>
              <w:t>2024</w:t>
            </w:r>
          </w:p>
        </w:tc>
        <w:tc>
          <w:tcPr>
            <w:tcW w:w="340" w:type="dxa"/>
            <w:vAlign w:val="bottom"/>
            <w:tcBorders>
              <w:bottom w:val="single" w:sz="8" w:color="214E93"/>
            </w:tcBorders>
          </w:tcPr>
          <w:p>
            <w:pPr>
              <w:spacing w:after="0"/>
              <w:rPr>
                <w:sz w:val="18"/>
                <w:szCs w:val="18"/>
                <w:color w:val="auto"/>
              </w:rPr>
            </w:pPr>
          </w:p>
        </w:tc>
        <w:tc>
          <w:tcPr>
            <w:tcW w:w="900" w:type="dxa"/>
            <w:vAlign w:val="bottom"/>
            <w:tcBorders>
              <w:bottom w:val="single" w:sz="8" w:color="214E93"/>
            </w:tcBorders>
          </w:tcPr>
          <w:p>
            <w:pPr>
              <w:jc w:val="right"/>
              <w:ind w:right="363"/>
              <w:spacing w:after="0"/>
              <w:rPr>
                <w:sz w:val="20"/>
                <w:szCs w:val="20"/>
                <w:color w:val="auto"/>
              </w:rPr>
            </w:pPr>
            <w:r>
              <w:rPr>
                <w:rFonts w:ascii="Verdana" w:cs="Verdana" w:eastAsia="Verdana" w:hAnsi="Verdana"/>
                <w:sz w:val="14"/>
                <w:szCs w:val="14"/>
                <w:color w:val="auto"/>
              </w:rPr>
              <w:t>2023</w:t>
            </w:r>
          </w:p>
        </w:tc>
      </w:tr>
      <w:tr>
        <w:trPr>
          <w:trHeight w:val="211"/>
        </w:trPr>
        <w:tc>
          <w:tcPr>
            <w:tcW w:w="5740" w:type="dxa"/>
            <w:vAlign w:val="bottom"/>
          </w:tcPr>
          <w:p>
            <w:pPr>
              <w:ind w:left="40"/>
              <w:spacing w:after="0"/>
              <w:rPr>
                <w:sz w:val="20"/>
                <w:szCs w:val="20"/>
                <w:color w:val="auto"/>
              </w:rPr>
            </w:pPr>
            <w:r>
              <w:rPr>
                <w:rFonts w:ascii="Verdana" w:cs="Verdana" w:eastAsia="Verdana" w:hAnsi="Verdana"/>
                <w:sz w:val="16"/>
                <w:szCs w:val="16"/>
                <w:color w:val="auto"/>
              </w:rPr>
              <w:t>Balance at beginning of period</w:t>
            </w:r>
          </w:p>
        </w:tc>
        <w:tc>
          <w:tcPr>
            <w:tcW w:w="300" w:type="dxa"/>
            <w:vAlign w:val="bottom"/>
          </w:tcPr>
          <w:p>
            <w:pPr>
              <w:jc w:val="right"/>
              <w:ind w:right="61"/>
              <w:spacing w:after="0"/>
              <w:rPr>
                <w:sz w:val="20"/>
                <w:szCs w:val="20"/>
                <w:color w:val="auto"/>
              </w:rPr>
            </w:pPr>
            <w:r>
              <w:rPr>
                <w:rFonts w:ascii="Verdana" w:cs="Verdana" w:eastAsia="Verdana" w:hAnsi="Verdana"/>
                <w:sz w:val="16"/>
                <w:szCs w:val="16"/>
                <w:color w:val="214E93"/>
              </w:rPr>
              <w:t>$</w:t>
            </w:r>
          </w:p>
        </w:tc>
        <w:tc>
          <w:tcPr>
            <w:tcW w:w="940" w:type="dxa"/>
            <w:vAlign w:val="bottom"/>
          </w:tcPr>
          <w:p>
            <w:pPr>
              <w:jc w:val="right"/>
              <w:ind w:right="25"/>
              <w:spacing w:after="0"/>
              <w:rPr>
                <w:sz w:val="20"/>
                <w:szCs w:val="20"/>
                <w:color w:val="auto"/>
              </w:rPr>
            </w:pPr>
            <w:r>
              <w:rPr>
                <w:rFonts w:ascii="Verdana" w:cs="Verdana" w:eastAsia="Verdana" w:hAnsi="Verdana"/>
                <w:sz w:val="16"/>
                <w:szCs w:val="16"/>
                <w:color w:val="214E93"/>
              </w:rPr>
              <w:t>34,335</w:t>
            </w:r>
          </w:p>
        </w:tc>
        <w:tc>
          <w:tcPr>
            <w:tcW w:w="360" w:type="dxa"/>
            <w:vAlign w:val="bottom"/>
          </w:tcPr>
          <w:p>
            <w:pPr>
              <w:jc w:val="right"/>
              <w:ind w:right="61"/>
              <w:spacing w:after="0"/>
              <w:rPr>
                <w:sz w:val="20"/>
                <w:szCs w:val="20"/>
                <w:color w:val="auto"/>
              </w:rPr>
            </w:pPr>
            <w:r>
              <w:rPr>
                <w:rFonts w:ascii="Verdana" w:cs="Verdana" w:eastAsia="Verdana" w:hAnsi="Verdana"/>
                <w:sz w:val="16"/>
                <w:szCs w:val="16"/>
                <w:color w:val="auto"/>
              </w:rPr>
              <w:t>$</w:t>
            </w:r>
          </w:p>
        </w:tc>
        <w:tc>
          <w:tcPr>
            <w:tcW w:w="980" w:type="dxa"/>
            <w:vAlign w:val="bottom"/>
          </w:tcPr>
          <w:p>
            <w:pPr>
              <w:jc w:val="right"/>
              <w:ind w:right="63"/>
              <w:spacing w:after="0"/>
              <w:rPr>
                <w:sz w:val="20"/>
                <w:szCs w:val="20"/>
                <w:color w:val="auto"/>
              </w:rPr>
            </w:pPr>
            <w:r>
              <w:rPr>
                <w:rFonts w:ascii="Verdana" w:cs="Verdana" w:eastAsia="Verdana" w:hAnsi="Verdana"/>
                <w:sz w:val="16"/>
                <w:szCs w:val="16"/>
                <w:color w:val="auto"/>
              </w:rPr>
              <w:t>35,336</w:t>
            </w:r>
          </w:p>
        </w:tc>
        <w:tc>
          <w:tcPr>
            <w:tcW w:w="340" w:type="dxa"/>
            <w:vAlign w:val="bottom"/>
          </w:tcPr>
          <w:p>
            <w:pPr>
              <w:jc w:val="right"/>
              <w:ind w:right="101"/>
              <w:spacing w:after="0"/>
              <w:rPr>
                <w:sz w:val="20"/>
                <w:szCs w:val="20"/>
                <w:color w:val="auto"/>
              </w:rPr>
            </w:pPr>
            <w:r>
              <w:rPr>
                <w:rFonts w:ascii="Verdana" w:cs="Verdana" w:eastAsia="Verdana" w:hAnsi="Verdana"/>
                <w:sz w:val="16"/>
                <w:szCs w:val="16"/>
                <w:color w:val="auto"/>
              </w:rPr>
              <w:t>$</w:t>
            </w:r>
          </w:p>
        </w:tc>
        <w:tc>
          <w:tcPr>
            <w:tcW w:w="900" w:type="dxa"/>
            <w:vAlign w:val="bottom"/>
          </w:tcPr>
          <w:p>
            <w:pPr>
              <w:jc w:val="right"/>
              <w:ind w:right="3"/>
              <w:spacing w:after="0"/>
              <w:rPr>
                <w:sz w:val="20"/>
                <w:szCs w:val="20"/>
                <w:color w:val="auto"/>
              </w:rPr>
            </w:pPr>
            <w:r>
              <w:rPr>
                <w:rFonts w:ascii="Verdana" w:cs="Verdana" w:eastAsia="Verdana" w:hAnsi="Verdana"/>
                <w:sz w:val="16"/>
                <w:szCs w:val="16"/>
                <w:color w:val="auto"/>
              </w:rPr>
              <w:t>—</w:t>
            </w:r>
          </w:p>
        </w:tc>
      </w:tr>
      <w:tr>
        <w:trPr>
          <w:trHeight w:val="235"/>
        </w:trPr>
        <w:tc>
          <w:tcPr>
            <w:tcW w:w="5740" w:type="dxa"/>
            <w:vAlign w:val="bottom"/>
          </w:tcPr>
          <w:p>
            <w:pPr>
              <w:ind w:left="40"/>
              <w:spacing w:after="0"/>
              <w:rPr>
                <w:sz w:val="20"/>
                <w:szCs w:val="20"/>
                <w:color w:val="auto"/>
              </w:rPr>
            </w:pPr>
            <w:r>
              <w:rPr>
                <w:rFonts w:ascii="Verdana" w:cs="Verdana" w:eastAsia="Verdana" w:hAnsi="Verdana"/>
                <w:sz w:val="16"/>
                <w:szCs w:val="16"/>
                <w:color w:val="auto"/>
              </w:rPr>
              <w:t>Additions for tax positions of current period</w:t>
            </w:r>
          </w:p>
        </w:tc>
        <w:tc>
          <w:tcPr>
            <w:tcW w:w="300" w:type="dxa"/>
            <w:vAlign w:val="bottom"/>
          </w:tcPr>
          <w:p>
            <w:pPr>
              <w:spacing w:after="0"/>
              <w:rPr>
                <w:sz w:val="20"/>
                <w:szCs w:val="20"/>
                <w:color w:val="auto"/>
              </w:rPr>
            </w:pPr>
          </w:p>
        </w:tc>
        <w:tc>
          <w:tcPr>
            <w:tcW w:w="940" w:type="dxa"/>
            <w:vAlign w:val="bottom"/>
          </w:tcPr>
          <w:p>
            <w:pPr>
              <w:jc w:val="right"/>
              <w:ind w:right="25"/>
              <w:spacing w:after="0"/>
              <w:rPr>
                <w:sz w:val="20"/>
                <w:szCs w:val="20"/>
                <w:color w:val="auto"/>
              </w:rPr>
            </w:pPr>
            <w:r>
              <w:rPr>
                <w:rFonts w:ascii="Verdana" w:cs="Verdana" w:eastAsia="Verdana" w:hAnsi="Verdana"/>
                <w:sz w:val="16"/>
                <w:szCs w:val="16"/>
                <w:color w:val="214E93"/>
              </w:rPr>
              <w:t>3,111</w:t>
            </w:r>
          </w:p>
        </w:tc>
        <w:tc>
          <w:tcPr>
            <w:tcW w:w="360" w:type="dxa"/>
            <w:vAlign w:val="bottom"/>
          </w:tcPr>
          <w:p>
            <w:pPr>
              <w:spacing w:after="0"/>
              <w:rPr>
                <w:sz w:val="20"/>
                <w:szCs w:val="20"/>
                <w:color w:val="auto"/>
              </w:rPr>
            </w:pPr>
          </w:p>
        </w:tc>
        <w:tc>
          <w:tcPr>
            <w:tcW w:w="980" w:type="dxa"/>
            <w:vAlign w:val="bottom"/>
          </w:tcPr>
          <w:p>
            <w:pPr>
              <w:jc w:val="right"/>
              <w:ind w:right="63"/>
              <w:spacing w:after="0"/>
              <w:rPr>
                <w:sz w:val="20"/>
                <w:szCs w:val="20"/>
                <w:color w:val="auto"/>
              </w:rPr>
            </w:pPr>
            <w:r>
              <w:rPr>
                <w:rFonts w:ascii="Verdana" w:cs="Verdana" w:eastAsia="Verdana" w:hAnsi="Verdana"/>
                <w:sz w:val="16"/>
                <w:szCs w:val="16"/>
                <w:color w:val="auto"/>
              </w:rPr>
              <w:t>2,745</w:t>
            </w:r>
          </w:p>
        </w:tc>
        <w:tc>
          <w:tcPr>
            <w:tcW w:w="340" w:type="dxa"/>
            <w:vAlign w:val="bottom"/>
          </w:tcPr>
          <w:p>
            <w:pPr>
              <w:spacing w:after="0"/>
              <w:rPr>
                <w:sz w:val="20"/>
                <w:szCs w:val="20"/>
                <w:color w:val="auto"/>
              </w:rPr>
            </w:pPr>
          </w:p>
        </w:tc>
        <w:tc>
          <w:tcPr>
            <w:tcW w:w="900" w:type="dxa"/>
            <w:vAlign w:val="bottom"/>
          </w:tcPr>
          <w:p>
            <w:pPr>
              <w:jc w:val="right"/>
              <w:ind w:right="3"/>
              <w:spacing w:after="0"/>
              <w:rPr>
                <w:sz w:val="20"/>
                <w:szCs w:val="20"/>
                <w:color w:val="auto"/>
              </w:rPr>
            </w:pPr>
            <w:r>
              <w:rPr>
                <w:rFonts w:ascii="Verdana" w:cs="Verdana" w:eastAsia="Verdana" w:hAnsi="Verdana"/>
                <w:sz w:val="16"/>
                <w:szCs w:val="16"/>
                <w:color w:val="auto"/>
              </w:rPr>
              <w:t>35,336</w:t>
            </w:r>
          </w:p>
        </w:tc>
      </w:tr>
      <w:tr>
        <w:trPr>
          <w:trHeight w:val="242"/>
        </w:trPr>
        <w:tc>
          <w:tcPr>
            <w:tcW w:w="574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Adjustment for tax positions of prior periods</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5"/>
              <w:spacing w:after="0"/>
              <w:rPr>
                <w:sz w:val="20"/>
                <w:szCs w:val="20"/>
                <w:color w:val="auto"/>
              </w:rPr>
            </w:pPr>
            <w:r>
              <w:rPr>
                <w:rFonts w:ascii="Verdana" w:cs="Verdana" w:eastAsia="Verdana" w:hAnsi="Verdana"/>
                <w:sz w:val="16"/>
                <w:szCs w:val="16"/>
                <w:color w:val="214E93"/>
              </w:rPr>
              <w:t>352</w:t>
            </w: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
              <w:spacing w:after="0"/>
              <w:rPr>
                <w:sz w:val="20"/>
                <w:szCs w:val="20"/>
                <w:color w:val="auto"/>
              </w:rPr>
            </w:pPr>
            <w:r>
              <w:rPr>
                <w:rFonts w:ascii="Verdana" w:cs="Verdana" w:eastAsia="Verdana" w:hAnsi="Verdana"/>
                <w:sz w:val="16"/>
                <w:szCs w:val="16"/>
                <w:color w:val="auto"/>
              </w:rPr>
              <w:t>(3,746)</w:t>
            </w: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
              <w:spacing w:after="0"/>
              <w:rPr>
                <w:sz w:val="20"/>
                <w:szCs w:val="20"/>
                <w:color w:val="auto"/>
              </w:rPr>
            </w:pPr>
            <w:r>
              <w:rPr>
                <w:rFonts w:ascii="Verdana" w:cs="Verdana" w:eastAsia="Verdana" w:hAnsi="Verdana"/>
                <w:sz w:val="16"/>
                <w:szCs w:val="16"/>
                <w:color w:val="auto"/>
              </w:rPr>
              <w:t>—</w:t>
            </w:r>
          </w:p>
        </w:tc>
      </w:tr>
      <w:tr>
        <w:trPr>
          <w:trHeight w:val="217"/>
        </w:trPr>
        <w:tc>
          <w:tcPr>
            <w:tcW w:w="5740" w:type="dxa"/>
            <w:vAlign w:val="bottom"/>
            <w:tcBorders>
              <w:bottom w:val="single" w:sz="8" w:color="214E93"/>
            </w:tcBorders>
          </w:tcPr>
          <w:p>
            <w:pPr>
              <w:ind w:left="40"/>
              <w:spacing w:after="0" w:line="216" w:lineRule="exact"/>
              <w:rPr>
                <w:sz w:val="20"/>
                <w:szCs w:val="20"/>
                <w:color w:val="auto"/>
              </w:rPr>
            </w:pPr>
            <w:r>
              <w:rPr>
                <w:rFonts w:ascii="Verdana" w:cs="Verdana" w:eastAsia="Verdana" w:hAnsi="Verdana"/>
                <w:sz w:val="16"/>
                <w:szCs w:val="16"/>
                <w:color w:val="auto"/>
              </w:rPr>
              <w:t>Balance at end of period</w:t>
            </w:r>
            <w:r>
              <w:rPr>
                <w:rFonts w:ascii="Verdana" w:cs="Verdana" w:eastAsia="Verdana" w:hAnsi="Verdana"/>
                <w:sz w:val="20"/>
                <w:szCs w:val="20"/>
                <w:color w:val="auto"/>
                <w:vertAlign w:val="superscript"/>
              </w:rPr>
              <w:t>(1)</w:t>
            </w:r>
          </w:p>
        </w:tc>
        <w:tc>
          <w:tcPr>
            <w:tcW w:w="300" w:type="dxa"/>
            <w:vAlign w:val="bottom"/>
            <w:tcBorders>
              <w:bottom w:val="single" w:sz="8" w:color="214E93"/>
            </w:tcBorders>
          </w:tcPr>
          <w:p>
            <w:pPr>
              <w:jc w:val="right"/>
              <w:ind w:right="61"/>
              <w:spacing w:after="0"/>
              <w:rPr>
                <w:sz w:val="20"/>
                <w:szCs w:val="20"/>
                <w:color w:val="auto"/>
              </w:rPr>
            </w:pPr>
            <w:r>
              <w:rPr>
                <w:rFonts w:ascii="Verdana" w:cs="Verdana" w:eastAsia="Verdana" w:hAnsi="Verdana"/>
                <w:sz w:val="16"/>
                <w:szCs w:val="16"/>
                <w:color w:val="214E93"/>
              </w:rPr>
              <w:t>$</w:t>
            </w:r>
          </w:p>
        </w:tc>
        <w:tc>
          <w:tcPr>
            <w:tcW w:w="940" w:type="dxa"/>
            <w:vAlign w:val="bottom"/>
            <w:tcBorders>
              <w:bottom w:val="single" w:sz="8" w:color="214E93"/>
            </w:tcBorders>
          </w:tcPr>
          <w:p>
            <w:pPr>
              <w:jc w:val="right"/>
              <w:ind w:right="25"/>
              <w:spacing w:after="0"/>
              <w:rPr>
                <w:sz w:val="20"/>
                <w:szCs w:val="20"/>
                <w:color w:val="auto"/>
              </w:rPr>
            </w:pPr>
            <w:r>
              <w:rPr>
                <w:rFonts w:ascii="Verdana" w:cs="Verdana" w:eastAsia="Verdana" w:hAnsi="Verdana"/>
                <w:sz w:val="16"/>
                <w:szCs w:val="16"/>
                <w:color w:val="214E93"/>
              </w:rPr>
              <w:t>37,798</w:t>
            </w:r>
          </w:p>
        </w:tc>
        <w:tc>
          <w:tcPr>
            <w:tcW w:w="360" w:type="dxa"/>
            <w:vAlign w:val="bottom"/>
            <w:tcBorders>
              <w:bottom w:val="single" w:sz="8" w:color="214E93"/>
            </w:tcBorders>
          </w:tcPr>
          <w:p>
            <w:pPr>
              <w:jc w:val="right"/>
              <w:ind w:right="61"/>
              <w:spacing w:after="0"/>
              <w:rPr>
                <w:sz w:val="20"/>
                <w:szCs w:val="20"/>
                <w:color w:val="auto"/>
              </w:rPr>
            </w:pPr>
            <w:r>
              <w:rPr>
                <w:rFonts w:ascii="Verdana" w:cs="Verdana" w:eastAsia="Verdana" w:hAnsi="Verdana"/>
                <w:sz w:val="16"/>
                <w:szCs w:val="16"/>
                <w:color w:val="auto"/>
              </w:rPr>
              <w:t>$</w:t>
            </w:r>
          </w:p>
        </w:tc>
        <w:tc>
          <w:tcPr>
            <w:tcW w:w="980" w:type="dxa"/>
            <w:vAlign w:val="bottom"/>
            <w:tcBorders>
              <w:bottom w:val="single" w:sz="8" w:color="214E93"/>
            </w:tcBorders>
          </w:tcPr>
          <w:p>
            <w:pPr>
              <w:jc w:val="right"/>
              <w:ind w:right="63"/>
              <w:spacing w:after="0"/>
              <w:rPr>
                <w:sz w:val="20"/>
                <w:szCs w:val="20"/>
                <w:color w:val="auto"/>
              </w:rPr>
            </w:pPr>
            <w:r>
              <w:rPr>
                <w:rFonts w:ascii="Verdana" w:cs="Verdana" w:eastAsia="Verdana" w:hAnsi="Verdana"/>
                <w:sz w:val="16"/>
                <w:szCs w:val="16"/>
                <w:color w:val="auto"/>
              </w:rPr>
              <w:t>34,335</w:t>
            </w:r>
          </w:p>
        </w:tc>
        <w:tc>
          <w:tcPr>
            <w:tcW w:w="340" w:type="dxa"/>
            <w:vAlign w:val="bottom"/>
            <w:tcBorders>
              <w:bottom w:val="single" w:sz="8" w:color="214E93"/>
            </w:tcBorders>
          </w:tcPr>
          <w:p>
            <w:pPr>
              <w:jc w:val="right"/>
              <w:ind w:right="101"/>
              <w:spacing w:after="0"/>
              <w:rPr>
                <w:sz w:val="20"/>
                <w:szCs w:val="20"/>
                <w:color w:val="auto"/>
              </w:rPr>
            </w:pPr>
            <w:r>
              <w:rPr>
                <w:rFonts w:ascii="Verdana" w:cs="Verdana" w:eastAsia="Verdana" w:hAnsi="Verdana"/>
                <w:sz w:val="16"/>
                <w:szCs w:val="16"/>
                <w:color w:val="auto"/>
              </w:rPr>
              <w:t>$</w:t>
            </w:r>
          </w:p>
        </w:tc>
        <w:tc>
          <w:tcPr>
            <w:tcW w:w="900" w:type="dxa"/>
            <w:vAlign w:val="bottom"/>
            <w:tcBorders>
              <w:bottom w:val="single" w:sz="8" w:color="214E93"/>
            </w:tcBorders>
          </w:tcPr>
          <w:p>
            <w:pPr>
              <w:jc w:val="right"/>
              <w:ind w:right="3"/>
              <w:spacing w:after="0"/>
              <w:rPr>
                <w:sz w:val="20"/>
                <w:szCs w:val="20"/>
                <w:color w:val="auto"/>
              </w:rPr>
            </w:pPr>
            <w:r>
              <w:rPr>
                <w:rFonts w:ascii="Verdana" w:cs="Verdana" w:eastAsia="Verdana" w:hAnsi="Verdana"/>
                <w:sz w:val="16"/>
                <w:szCs w:val="16"/>
                <w:color w:val="auto"/>
              </w:rPr>
              <w:t>35,336</w:t>
            </w:r>
          </w:p>
        </w:tc>
      </w:tr>
    </w:tbl>
    <w:p>
      <w:pPr>
        <w:spacing w:after="0" w:line="20" w:lineRule="exact"/>
        <w:rPr>
          <w:sz w:val="20"/>
          <w:szCs w:val="20"/>
          <w:color w:val="auto"/>
        </w:rPr>
      </w:pPr>
    </w:p>
    <w:p>
      <w:pPr>
        <w:spacing w:after="0" w:line="119" w:lineRule="exact"/>
        <w:rPr>
          <w:sz w:val="20"/>
          <w:szCs w:val="20"/>
          <w:color w:val="auto"/>
        </w:rPr>
      </w:pPr>
    </w:p>
    <w:p>
      <w:pPr>
        <w:ind w:left="1400" w:right="120" w:hanging="357"/>
        <w:spacing w:after="0" w:line="228" w:lineRule="auto"/>
        <w:tabs>
          <w:tab w:leader="none" w:pos="1400" w:val="left"/>
        </w:tabs>
        <w:numPr>
          <w:ilvl w:val="0"/>
          <w:numId w:val="95"/>
        </w:numPr>
        <w:rPr>
          <w:rFonts w:ascii="Calibri" w:cs="Calibri" w:eastAsia="Calibri" w:hAnsi="Calibri"/>
          <w:sz w:val="14"/>
          <w:szCs w:val="14"/>
          <w:color w:val="auto"/>
        </w:rPr>
      </w:pPr>
      <w:r>
        <w:rPr>
          <w:rFonts w:ascii="Calibri" w:cs="Calibri" w:eastAsia="Calibri" w:hAnsi="Calibri"/>
          <w:sz w:val="14"/>
          <w:szCs w:val="14"/>
          <w:color w:val="auto"/>
        </w:rPr>
        <w:t>At December 31, 2025, 2024 and 2023, the UTBs related to U.S. federal taxes were $33.7 million, $30.2 million and $30.7 million, respectively. At each of December 31, 2025 and 2024, the UTBs related to state of Texas taxes were $4.1 million. At December 31, 2023, the UTBs related to state of Texas taxes were $4.6 million.</w:t>
      </w:r>
    </w:p>
    <w:p>
      <w:pPr>
        <w:spacing w:after="0" w:line="197" w:lineRule="exact"/>
        <w:rPr>
          <w:sz w:val="20"/>
          <w:szCs w:val="20"/>
          <w:color w:val="auto"/>
        </w:rPr>
      </w:pPr>
    </w:p>
    <w:p>
      <w:pPr>
        <w:ind w:left="780" w:right="220" w:firstLine="241"/>
        <w:spacing w:after="0" w:line="252" w:lineRule="auto"/>
        <w:rPr>
          <w:sz w:val="20"/>
          <w:szCs w:val="20"/>
          <w:color w:val="auto"/>
        </w:rPr>
      </w:pPr>
      <w:r>
        <w:rPr>
          <w:rFonts w:ascii="Calibri" w:cs="Calibri" w:eastAsia="Calibri" w:hAnsi="Calibri"/>
          <w:sz w:val="18"/>
          <w:szCs w:val="18"/>
          <w:color w:val="auto"/>
        </w:rPr>
        <w:t>The Company’s cash paid for income taxes, net of refunds received during the years ended December 31, 2025, 2024 and 2023 are as follows (in thousands).</w:t>
      </w:r>
    </w:p>
    <w:p>
      <w:pPr>
        <w:spacing w:after="0" w:line="89" w:lineRule="exact"/>
        <w:rPr>
          <w:sz w:val="20"/>
          <w:szCs w:val="20"/>
          <w:color w:val="auto"/>
        </w:rPr>
      </w:pPr>
    </w:p>
    <w:tbl>
      <w:tblPr>
        <w:tblLayout w:type="fixed"/>
        <w:tblInd w:w="680" w:type="dxa"/>
        <w:tblCellMar>
          <w:top w:w="0" w:type="dxa"/>
          <w:left w:w="0" w:type="dxa"/>
          <w:bottom w:w="0" w:type="dxa"/>
          <w:right w:w="0" w:type="dxa"/>
        </w:tblCellMar>
      </w:tblPr>
      <w:tr>
        <w:trPr>
          <w:trHeight w:val="193"/>
        </w:trPr>
        <w:tc>
          <w:tcPr>
            <w:tcW w:w="5840" w:type="dxa"/>
            <w:vAlign w:val="bottom"/>
          </w:tcPr>
          <w:p>
            <w:pPr>
              <w:spacing w:after="0"/>
              <w:rPr>
                <w:sz w:val="16"/>
                <w:szCs w:val="16"/>
                <w:color w:val="auto"/>
              </w:rPr>
            </w:pPr>
          </w:p>
        </w:tc>
        <w:tc>
          <w:tcPr>
            <w:tcW w:w="300" w:type="dxa"/>
            <w:vAlign w:val="bottom"/>
            <w:tcBorders>
              <w:bottom w:val="single" w:sz="8" w:color="214E93"/>
            </w:tcBorders>
          </w:tcPr>
          <w:p>
            <w:pPr>
              <w:spacing w:after="0"/>
              <w:rPr>
                <w:sz w:val="16"/>
                <w:szCs w:val="16"/>
                <w:color w:val="auto"/>
              </w:rPr>
            </w:pPr>
          </w:p>
        </w:tc>
        <w:tc>
          <w:tcPr>
            <w:tcW w:w="2620" w:type="dxa"/>
            <w:vAlign w:val="bottom"/>
            <w:tcBorders>
              <w:bottom w:val="single" w:sz="8" w:color="214E93"/>
            </w:tcBorders>
            <w:gridSpan w:val="4"/>
          </w:tcPr>
          <w:p>
            <w:pPr>
              <w:jc w:val="right"/>
              <w:ind w:right="21"/>
              <w:spacing w:after="0"/>
              <w:rPr>
                <w:sz w:val="20"/>
                <w:szCs w:val="20"/>
                <w:color w:val="auto"/>
              </w:rPr>
            </w:pPr>
            <w:r>
              <w:rPr>
                <w:rFonts w:ascii="Verdana" w:cs="Verdana" w:eastAsia="Verdana" w:hAnsi="Verdana"/>
                <w:sz w:val="14"/>
                <w:szCs w:val="14"/>
                <w:color w:val="auto"/>
              </w:rPr>
              <w:t>Year Ended December 31,</w:t>
            </w:r>
          </w:p>
        </w:tc>
        <w:tc>
          <w:tcPr>
            <w:tcW w:w="900" w:type="dxa"/>
            <w:vAlign w:val="bottom"/>
            <w:tcBorders>
              <w:bottom w:val="single" w:sz="8" w:color="214E93"/>
            </w:tcBorders>
          </w:tcPr>
          <w:p>
            <w:pPr>
              <w:spacing w:after="0"/>
              <w:rPr>
                <w:sz w:val="16"/>
                <w:szCs w:val="16"/>
                <w:color w:val="auto"/>
              </w:rPr>
            </w:pPr>
          </w:p>
        </w:tc>
      </w:tr>
      <w:tr>
        <w:trPr>
          <w:trHeight w:val="216"/>
        </w:trPr>
        <w:tc>
          <w:tcPr>
            <w:tcW w:w="5840" w:type="dxa"/>
            <w:vAlign w:val="bottom"/>
            <w:tcBorders>
              <w:bottom w:val="single" w:sz="8" w:color="214E93"/>
            </w:tcBorders>
          </w:tcPr>
          <w:p>
            <w:pPr>
              <w:spacing w:after="0"/>
              <w:rPr>
                <w:sz w:val="18"/>
                <w:szCs w:val="18"/>
                <w:color w:val="auto"/>
              </w:rPr>
            </w:pPr>
          </w:p>
        </w:tc>
        <w:tc>
          <w:tcPr>
            <w:tcW w:w="300" w:type="dxa"/>
            <w:vAlign w:val="bottom"/>
            <w:tcBorders>
              <w:bottom w:val="single" w:sz="8" w:color="214E93"/>
            </w:tcBorders>
          </w:tcPr>
          <w:p>
            <w:pPr>
              <w:spacing w:after="0"/>
              <w:rPr>
                <w:sz w:val="18"/>
                <w:szCs w:val="18"/>
                <w:color w:val="auto"/>
              </w:rPr>
            </w:pPr>
          </w:p>
        </w:tc>
        <w:tc>
          <w:tcPr>
            <w:tcW w:w="940" w:type="dxa"/>
            <w:vAlign w:val="bottom"/>
            <w:tcBorders>
              <w:bottom w:val="single" w:sz="8" w:color="214E93"/>
            </w:tcBorders>
          </w:tcPr>
          <w:p>
            <w:pPr>
              <w:jc w:val="right"/>
              <w:ind w:right="385"/>
              <w:spacing w:after="0"/>
              <w:rPr>
                <w:sz w:val="20"/>
                <w:szCs w:val="20"/>
                <w:color w:val="auto"/>
              </w:rPr>
            </w:pPr>
            <w:r>
              <w:rPr>
                <w:rFonts w:ascii="Verdana" w:cs="Verdana" w:eastAsia="Verdana" w:hAnsi="Verdana"/>
                <w:sz w:val="14"/>
                <w:szCs w:val="14"/>
                <w:color w:val="214E93"/>
              </w:rPr>
              <w:t>2025</w:t>
            </w:r>
          </w:p>
        </w:tc>
        <w:tc>
          <w:tcPr>
            <w:tcW w:w="360" w:type="dxa"/>
            <w:vAlign w:val="bottom"/>
            <w:tcBorders>
              <w:bottom w:val="single" w:sz="8" w:color="214E93"/>
            </w:tcBorders>
          </w:tcPr>
          <w:p>
            <w:pPr>
              <w:spacing w:after="0"/>
              <w:rPr>
                <w:sz w:val="18"/>
                <w:szCs w:val="18"/>
                <w:color w:val="auto"/>
              </w:rPr>
            </w:pPr>
          </w:p>
        </w:tc>
        <w:tc>
          <w:tcPr>
            <w:tcW w:w="940" w:type="dxa"/>
            <w:vAlign w:val="bottom"/>
            <w:tcBorders>
              <w:bottom w:val="single" w:sz="8" w:color="214E93"/>
            </w:tcBorders>
          </w:tcPr>
          <w:p>
            <w:pPr>
              <w:jc w:val="right"/>
              <w:ind w:right="383"/>
              <w:spacing w:after="0"/>
              <w:rPr>
                <w:sz w:val="20"/>
                <w:szCs w:val="20"/>
                <w:color w:val="auto"/>
              </w:rPr>
            </w:pPr>
            <w:r>
              <w:rPr>
                <w:rFonts w:ascii="Verdana" w:cs="Verdana" w:eastAsia="Verdana" w:hAnsi="Verdana"/>
                <w:sz w:val="14"/>
                <w:szCs w:val="14"/>
                <w:color w:val="auto"/>
              </w:rPr>
              <w:t>2024</w:t>
            </w:r>
          </w:p>
        </w:tc>
        <w:tc>
          <w:tcPr>
            <w:tcW w:w="380" w:type="dxa"/>
            <w:vAlign w:val="bottom"/>
            <w:tcBorders>
              <w:bottom w:val="single" w:sz="8" w:color="214E93"/>
            </w:tcBorders>
          </w:tcPr>
          <w:p>
            <w:pPr>
              <w:spacing w:after="0"/>
              <w:rPr>
                <w:sz w:val="18"/>
                <w:szCs w:val="18"/>
                <w:color w:val="auto"/>
              </w:rPr>
            </w:pPr>
          </w:p>
        </w:tc>
        <w:tc>
          <w:tcPr>
            <w:tcW w:w="900" w:type="dxa"/>
            <w:vAlign w:val="bottom"/>
            <w:tcBorders>
              <w:bottom w:val="single" w:sz="8" w:color="214E93"/>
            </w:tcBorders>
          </w:tcPr>
          <w:p>
            <w:pPr>
              <w:jc w:val="right"/>
              <w:ind w:right="363"/>
              <w:spacing w:after="0"/>
              <w:rPr>
                <w:sz w:val="20"/>
                <w:szCs w:val="20"/>
                <w:color w:val="auto"/>
              </w:rPr>
            </w:pPr>
            <w:r>
              <w:rPr>
                <w:rFonts w:ascii="Verdana" w:cs="Verdana" w:eastAsia="Verdana" w:hAnsi="Verdana"/>
                <w:sz w:val="14"/>
                <w:szCs w:val="14"/>
                <w:color w:val="auto"/>
              </w:rPr>
              <w:t>2023</w:t>
            </w:r>
          </w:p>
        </w:tc>
      </w:tr>
      <w:tr>
        <w:trPr>
          <w:trHeight w:val="211"/>
        </w:trPr>
        <w:tc>
          <w:tcPr>
            <w:tcW w:w="5840" w:type="dxa"/>
            <w:vAlign w:val="bottom"/>
          </w:tcPr>
          <w:p>
            <w:pPr>
              <w:ind w:left="60"/>
              <w:spacing w:after="0"/>
              <w:rPr>
                <w:sz w:val="20"/>
                <w:szCs w:val="20"/>
                <w:color w:val="auto"/>
              </w:rPr>
            </w:pPr>
            <w:r>
              <w:rPr>
                <w:rFonts w:ascii="Verdana" w:cs="Verdana" w:eastAsia="Verdana" w:hAnsi="Verdana"/>
                <w:sz w:val="16"/>
                <w:szCs w:val="16"/>
                <w:color w:val="auto"/>
              </w:rPr>
              <w:t>Federal</w:t>
            </w:r>
          </w:p>
        </w:tc>
        <w:tc>
          <w:tcPr>
            <w:tcW w:w="300" w:type="dxa"/>
            <w:vAlign w:val="bottom"/>
          </w:tcPr>
          <w:p>
            <w:pPr>
              <w:jc w:val="right"/>
              <w:ind w:right="61"/>
              <w:spacing w:after="0"/>
              <w:rPr>
                <w:sz w:val="20"/>
                <w:szCs w:val="20"/>
                <w:color w:val="auto"/>
              </w:rPr>
            </w:pPr>
            <w:r>
              <w:rPr>
                <w:rFonts w:ascii="Verdana" w:cs="Verdana" w:eastAsia="Verdana" w:hAnsi="Verdana"/>
                <w:sz w:val="16"/>
                <w:szCs w:val="16"/>
                <w:color w:val="214E93"/>
              </w:rPr>
              <w:t>$</w:t>
            </w:r>
          </w:p>
        </w:tc>
        <w:tc>
          <w:tcPr>
            <w:tcW w:w="940" w:type="dxa"/>
            <w:vAlign w:val="bottom"/>
          </w:tcPr>
          <w:p>
            <w:pPr>
              <w:jc w:val="right"/>
              <w:ind w:right="25"/>
              <w:spacing w:after="0"/>
              <w:rPr>
                <w:sz w:val="20"/>
                <w:szCs w:val="20"/>
                <w:color w:val="auto"/>
              </w:rPr>
            </w:pPr>
            <w:r>
              <w:rPr>
                <w:rFonts w:ascii="Verdana" w:cs="Verdana" w:eastAsia="Verdana" w:hAnsi="Verdana"/>
                <w:sz w:val="16"/>
                <w:szCs w:val="16"/>
                <w:color w:val="214E93"/>
              </w:rPr>
              <w:t>43,000</w:t>
            </w:r>
          </w:p>
        </w:tc>
        <w:tc>
          <w:tcPr>
            <w:tcW w:w="360" w:type="dxa"/>
            <w:vAlign w:val="bottom"/>
          </w:tcPr>
          <w:p>
            <w:pPr>
              <w:jc w:val="right"/>
              <w:ind w:right="61"/>
              <w:spacing w:after="0"/>
              <w:rPr>
                <w:sz w:val="20"/>
                <w:szCs w:val="20"/>
                <w:color w:val="auto"/>
              </w:rPr>
            </w:pPr>
            <w:r>
              <w:rPr>
                <w:rFonts w:ascii="Verdana" w:cs="Verdana" w:eastAsia="Verdana" w:hAnsi="Verdana"/>
                <w:sz w:val="16"/>
                <w:szCs w:val="16"/>
                <w:color w:val="auto"/>
              </w:rPr>
              <w:t>$</w:t>
            </w:r>
          </w:p>
        </w:tc>
        <w:tc>
          <w:tcPr>
            <w:tcW w:w="940" w:type="dxa"/>
            <w:vAlign w:val="bottom"/>
          </w:tcPr>
          <w:p>
            <w:pPr>
              <w:jc w:val="right"/>
              <w:ind w:right="23"/>
              <w:spacing w:after="0"/>
              <w:rPr>
                <w:sz w:val="20"/>
                <w:szCs w:val="20"/>
                <w:color w:val="auto"/>
              </w:rPr>
            </w:pPr>
            <w:r>
              <w:rPr>
                <w:rFonts w:ascii="Verdana" w:cs="Verdana" w:eastAsia="Verdana" w:hAnsi="Verdana"/>
                <w:sz w:val="16"/>
                <w:szCs w:val="16"/>
                <w:color w:val="auto"/>
              </w:rPr>
              <w:t>22,622</w:t>
            </w:r>
          </w:p>
        </w:tc>
        <w:tc>
          <w:tcPr>
            <w:tcW w:w="380" w:type="dxa"/>
            <w:vAlign w:val="bottom"/>
          </w:tcPr>
          <w:p>
            <w:pPr>
              <w:jc w:val="right"/>
              <w:ind w:right="101"/>
              <w:spacing w:after="0"/>
              <w:rPr>
                <w:sz w:val="20"/>
                <w:szCs w:val="20"/>
                <w:color w:val="auto"/>
              </w:rPr>
            </w:pPr>
            <w:r>
              <w:rPr>
                <w:rFonts w:ascii="Verdana" w:cs="Verdana" w:eastAsia="Verdana" w:hAnsi="Verdana"/>
                <w:sz w:val="16"/>
                <w:szCs w:val="16"/>
                <w:color w:val="auto"/>
              </w:rPr>
              <w:t>$</w:t>
            </w:r>
          </w:p>
        </w:tc>
        <w:tc>
          <w:tcPr>
            <w:tcW w:w="900" w:type="dxa"/>
            <w:vAlign w:val="bottom"/>
          </w:tcPr>
          <w:p>
            <w:pPr>
              <w:jc w:val="right"/>
              <w:spacing w:after="0"/>
              <w:rPr>
                <w:sz w:val="20"/>
                <w:szCs w:val="20"/>
                <w:color w:val="auto"/>
              </w:rPr>
            </w:pPr>
            <w:r>
              <w:rPr>
                <w:rFonts w:ascii="Verdana" w:cs="Verdana" w:eastAsia="Verdana" w:hAnsi="Verdana"/>
                <w:sz w:val="16"/>
                <w:szCs w:val="16"/>
                <w:color w:val="auto"/>
              </w:rPr>
              <w:t>(8,864)</w:t>
            </w:r>
          </w:p>
        </w:tc>
      </w:tr>
      <w:tr>
        <w:trPr>
          <w:trHeight w:val="235"/>
        </w:trPr>
        <w:tc>
          <w:tcPr>
            <w:tcW w:w="5840" w:type="dxa"/>
            <w:vAlign w:val="bottom"/>
          </w:tcPr>
          <w:p>
            <w:pPr>
              <w:ind w:left="60"/>
              <w:spacing w:after="0"/>
              <w:rPr>
                <w:sz w:val="20"/>
                <w:szCs w:val="20"/>
                <w:color w:val="auto"/>
              </w:rPr>
            </w:pPr>
            <w:r>
              <w:rPr>
                <w:rFonts w:ascii="Verdana" w:cs="Verdana" w:eastAsia="Verdana" w:hAnsi="Verdana"/>
                <w:sz w:val="16"/>
                <w:szCs w:val="16"/>
                <w:color w:val="auto"/>
              </w:rPr>
              <w:t>State</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6"/>
        </w:trPr>
        <w:tc>
          <w:tcPr>
            <w:tcW w:w="5840" w:type="dxa"/>
            <w:vAlign w:val="bottom"/>
          </w:tcPr>
          <w:p>
            <w:pPr>
              <w:ind w:left="60"/>
              <w:spacing w:after="0"/>
              <w:rPr>
                <w:sz w:val="20"/>
                <w:szCs w:val="20"/>
                <w:color w:val="auto"/>
              </w:rPr>
            </w:pPr>
            <w:r>
              <w:rPr>
                <w:rFonts w:ascii="Verdana" w:cs="Verdana" w:eastAsia="Verdana" w:hAnsi="Verdana"/>
                <w:sz w:val="16"/>
                <w:szCs w:val="16"/>
                <w:color w:val="auto"/>
              </w:rPr>
              <w:t>New Mexico</w:t>
            </w:r>
          </w:p>
        </w:tc>
        <w:tc>
          <w:tcPr>
            <w:tcW w:w="300" w:type="dxa"/>
            <w:vAlign w:val="bottom"/>
          </w:tcPr>
          <w:p>
            <w:pPr>
              <w:spacing w:after="0"/>
              <w:rPr>
                <w:sz w:val="20"/>
                <w:szCs w:val="20"/>
                <w:color w:val="auto"/>
              </w:rPr>
            </w:pPr>
          </w:p>
        </w:tc>
        <w:tc>
          <w:tcPr>
            <w:tcW w:w="940" w:type="dxa"/>
            <w:vAlign w:val="bottom"/>
          </w:tcPr>
          <w:p>
            <w:pPr>
              <w:jc w:val="right"/>
              <w:ind w:right="25"/>
              <w:spacing w:after="0"/>
              <w:rPr>
                <w:sz w:val="20"/>
                <w:szCs w:val="20"/>
                <w:color w:val="auto"/>
              </w:rPr>
            </w:pPr>
            <w:r>
              <w:rPr>
                <w:rFonts w:ascii="Verdana" w:cs="Verdana" w:eastAsia="Verdana" w:hAnsi="Verdana"/>
                <w:sz w:val="16"/>
                <w:szCs w:val="16"/>
                <w:color w:val="214E93"/>
              </w:rPr>
              <w:t>7,500</w:t>
            </w:r>
          </w:p>
        </w:tc>
        <w:tc>
          <w:tcPr>
            <w:tcW w:w="360" w:type="dxa"/>
            <w:vAlign w:val="bottom"/>
          </w:tcPr>
          <w:p>
            <w:pPr>
              <w:spacing w:after="0"/>
              <w:rPr>
                <w:sz w:val="20"/>
                <w:szCs w:val="20"/>
                <w:color w:val="auto"/>
              </w:rPr>
            </w:pPr>
          </w:p>
        </w:tc>
        <w:tc>
          <w:tcPr>
            <w:tcW w:w="940" w:type="dxa"/>
            <w:vAlign w:val="bottom"/>
          </w:tcPr>
          <w:p>
            <w:pPr>
              <w:jc w:val="right"/>
              <w:ind w:right="23"/>
              <w:spacing w:after="0"/>
              <w:rPr>
                <w:sz w:val="20"/>
                <w:szCs w:val="20"/>
                <w:color w:val="auto"/>
              </w:rPr>
            </w:pPr>
            <w:r>
              <w:rPr>
                <w:rFonts w:ascii="Verdana" w:cs="Verdana" w:eastAsia="Verdana" w:hAnsi="Verdana"/>
                <w:sz w:val="16"/>
                <w:szCs w:val="16"/>
                <w:color w:val="auto"/>
              </w:rPr>
              <w:t>7,200</w:t>
            </w:r>
          </w:p>
        </w:tc>
        <w:tc>
          <w:tcPr>
            <w:tcW w:w="380" w:type="dxa"/>
            <w:vAlign w:val="bottom"/>
          </w:tcPr>
          <w:p>
            <w:pPr>
              <w:spacing w:after="0"/>
              <w:rPr>
                <w:sz w:val="20"/>
                <w:szCs w:val="20"/>
                <w:color w:val="auto"/>
              </w:rPr>
            </w:pPr>
          </w:p>
        </w:tc>
        <w:tc>
          <w:tcPr>
            <w:tcW w:w="900" w:type="dxa"/>
            <w:vAlign w:val="bottom"/>
          </w:tcPr>
          <w:p>
            <w:pPr>
              <w:jc w:val="right"/>
              <w:ind w:right="3"/>
              <w:spacing w:after="0"/>
              <w:rPr>
                <w:sz w:val="20"/>
                <w:szCs w:val="20"/>
                <w:color w:val="auto"/>
              </w:rPr>
            </w:pPr>
            <w:r>
              <w:rPr>
                <w:rFonts w:ascii="Verdana" w:cs="Verdana" w:eastAsia="Verdana" w:hAnsi="Verdana"/>
                <w:sz w:val="16"/>
                <w:szCs w:val="16"/>
                <w:color w:val="auto"/>
              </w:rPr>
              <w:t>13,284</w:t>
            </w:r>
          </w:p>
        </w:tc>
      </w:tr>
      <w:tr>
        <w:trPr>
          <w:trHeight w:val="242"/>
        </w:trPr>
        <w:tc>
          <w:tcPr>
            <w:tcW w:w="5840" w:type="dxa"/>
            <w:vAlign w:val="bottom"/>
            <w:tcBorders>
              <w:bottom w:val="single" w:sz="8" w:color="auto"/>
            </w:tcBorders>
          </w:tcPr>
          <w:p>
            <w:pPr>
              <w:ind w:left="60"/>
              <w:spacing w:after="0"/>
              <w:rPr>
                <w:sz w:val="20"/>
                <w:szCs w:val="20"/>
                <w:color w:val="auto"/>
              </w:rPr>
            </w:pPr>
            <w:r>
              <w:rPr>
                <w:rFonts w:ascii="Verdana" w:cs="Verdana" w:eastAsia="Verdana" w:hAnsi="Verdana"/>
                <w:sz w:val="16"/>
                <w:szCs w:val="16"/>
                <w:color w:val="auto"/>
              </w:rPr>
              <w:t>Other</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5"/>
              <w:spacing w:after="0"/>
              <w:rPr>
                <w:sz w:val="20"/>
                <w:szCs w:val="20"/>
                <w:color w:val="auto"/>
              </w:rPr>
            </w:pPr>
            <w:r>
              <w:rPr>
                <w:rFonts w:ascii="Verdana" w:cs="Verdana" w:eastAsia="Verdana" w:hAnsi="Verdana"/>
                <w:sz w:val="16"/>
                <w:szCs w:val="16"/>
                <w:color w:val="214E93"/>
              </w:rPr>
              <w:t>—</w:t>
            </w:r>
          </w:p>
        </w:tc>
        <w:tc>
          <w:tcPr>
            <w:tcW w:w="3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3"/>
              <w:spacing w:after="0"/>
              <w:rPr>
                <w:sz w:val="20"/>
                <w:szCs w:val="20"/>
                <w:color w:val="auto"/>
              </w:rPr>
            </w:pPr>
            <w:r>
              <w:rPr>
                <w:rFonts w:ascii="Verdana" w:cs="Verdana" w:eastAsia="Verdana" w:hAnsi="Verdana"/>
                <w:sz w:val="16"/>
                <w:szCs w:val="16"/>
                <w:color w:val="auto"/>
              </w:rPr>
              <w:t>182</w:t>
            </w: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
              <w:spacing w:after="0"/>
              <w:rPr>
                <w:sz w:val="20"/>
                <w:szCs w:val="20"/>
                <w:color w:val="auto"/>
              </w:rPr>
            </w:pPr>
            <w:r>
              <w:rPr>
                <w:rFonts w:ascii="Verdana" w:cs="Verdana" w:eastAsia="Verdana" w:hAnsi="Verdana"/>
                <w:sz w:val="16"/>
                <w:szCs w:val="16"/>
                <w:color w:val="auto"/>
              </w:rPr>
              <w:t>177</w:t>
            </w:r>
          </w:p>
        </w:tc>
      </w:tr>
      <w:tr>
        <w:trPr>
          <w:trHeight w:val="217"/>
        </w:trPr>
        <w:tc>
          <w:tcPr>
            <w:tcW w:w="5840" w:type="dxa"/>
            <w:vAlign w:val="bottom"/>
            <w:tcBorders>
              <w:bottom w:val="single" w:sz="8" w:color="214E93"/>
            </w:tcBorders>
          </w:tcPr>
          <w:p>
            <w:pPr>
              <w:ind w:left="180"/>
              <w:spacing w:after="0"/>
              <w:rPr>
                <w:sz w:val="20"/>
                <w:szCs w:val="20"/>
                <w:color w:val="auto"/>
              </w:rPr>
            </w:pPr>
            <w:r>
              <w:rPr>
                <w:rFonts w:ascii="Verdana" w:cs="Verdana" w:eastAsia="Verdana" w:hAnsi="Verdana"/>
                <w:sz w:val="16"/>
                <w:szCs w:val="16"/>
                <w:color w:val="auto"/>
              </w:rPr>
              <w:t>Total cash paid for income taxes, net of refunds received</w:t>
            </w:r>
          </w:p>
        </w:tc>
        <w:tc>
          <w:tcPr>
            <w:tcW w:w="300" w:type="dxa"/>
            <w:vAlign w:val="bottom"/>
            <w:tcBorders>
              <w:bottom w:val="single" w:sz="8" w:color="214E93"/>
            </w:tcBorders>
          </w:tcPr>
          <w:p>
            <w:pPr>
              <w:jc w:val="right"/>
              <w:ind w:right="61"/>
              <w:spacing w:after="0"/>
              <w:rPr>
                <w:sz w:val="20"/>
                <w:szCs w:val="20"/>
                <w:color w:val="auto"/>
              </w:rPr>
            </w:pPr>
            <w:r>
              <w:rPr>
                <w:rFonts w:ascii="Verdana" w:cs="Verdana" w:eastAsia="Verdana" w:hAnsi="Verdana"/>
                <w:sz w:val="16"/>
                <w:szCs w:val="16"/>
                <w:color w:val="214E93"/>
              </w:rPr>
              <w:t>$</w:t>
            </w:r>
          </w:p>
        </w:tc>
        <w:tc>
          <w:tcPr>
            <w:tcW w:w="940" w:type="dxa"/>
            <w:vAlign w:val="bottom"/>
            <w:tcBorders>
              <w:bottom w:val="single" w:sz="8" w:color="214E93"/>
            </w:tcBorders>
          </w:tcPr>
          <w:p>
            <w:pPr>
              <w:jc w:val="right"/>
              <w:ind w:right="25"/>
              <w:spacing w:after="0"/>
              <w:rPr>
                <w:sz w:val="20"/>
                <w:szCs w:val="20"/>
                <w:color w:val="auto"/>
              </w:rPr>
            </w:pPr>
            <w:r>
              <w:rPr>
                <w:rFonts w:ascii="Verdana" w:cs="Verdana" w:eastAsia="Verdana" w:hAnsi="Verdana"/>
                <w:sz w:val="16"/>
                <w:szCs w:val="16"/>
                <w:color w:val="214E93"/>
              </w:rPr>
              <w:t>50,500</w:t>
            </w:r>
          </w:p>
        </w:tc>
        <w:tc>
          <w:tcPr>
            <w:tcW w:w="360" w:type="dxa"/>
            <w:vAlign w:val="bottom"/>
            <w:tcBorders>
              <w:bottom w:val="single" w:sz="8" w:color="214E93"/>
            </w:tcBorders>
          </w:tcPr>
          <w:p>
            <w:pPr>
              <w:jc w:val="right"/>
              <w:ind w:right="61"/>
              <w:spacing w:after="0"/>
              <w:rPr>
                <w:sz w:val="20"/>
                <w:szCs w:val="20"/>
                <w:color w:val="auto"/>
              </w:rPr>
            </w:pPr>
            <w:r>
              <w:rPr>
                <w:rFonts w:ascii="Verdana" w:cs="Verdana" w:eastAsia="Verdana" w:hAnsi="Verdana"/>
                <w:sz w:val="16"/>
                <w:szCs w:val="16"/>
                <w:color w:val="auto"/>
              </w:rPr>
              <w:t>$</w:t>
            </w:r>
          </w:p>
        </w:tc>
        <w:tc>
          <w:tcPr>
            <w:tcW w:w="940" w:type="dxa"/>
            <w:vAlign w:val="bottom"/>
            <w:tcBorders>
              <w:bottom w:val="single" w:sz="8" w:color="214E93"/>
            </w:tcBorders>
          </w:tcPr>
          <w:p>
            <w:pPr>
              <w:jc w:val="right"/>
              <w:ind w:right="23"/>
              <w:spacing w:after="0"/>
              <w:rPr>
                <w:sz w:val="20"/>
                <w:szCs w:val="20"/>
                <w:color w:val="auto"/>
              </w:rPr>
            </w:pPr>
            <w:r>
              <w:rPr>
                <w:rFonts w:ascii="Verdana" w:cs="Verdana" w:eastAsia="Verdana" w:hAnsi="Verdana"/>
                <w:sz w:val="16"/>
                <w:szCs w:val="16"/>
                <w:color w:val="auto"/>
              </w:rPr>
              <w:t>30,004</w:t>
            </w:r>
          </w:p>
        </w:tc>
        <w:tc>
          <w:tcPr>
            <w:tcW w:w="380" w:type="dxa"/>
            <w:vAlign w:val="bottom"/>
            <w:tcBorders>
              <w:bottom w:val="single" w:sz="8" w:color="214E93"/>
            </w:tcBorders>
          </w:tcPr>
          <w:p>
            <w:pPr>
              <w:jc w:val="right"/>
              <w:ind w:right="101"/>
              <w:spacing w:after="0"/>
              <w:rPr>
                <w:sz w:val="20"/>
                <w:szCs w:val="20"/>
                <w:color w:val="auto"/>
              </w:rPr>
            </w:pPr>
            <w:r>
              <w:rPr>
                <w:rFonts w:ascii="Verdana" w:cs="Verdana" w:eastAsia="Verdana" w:hAnsi="Verdana"/>
                <w:sz w:val="16"/>
                <w:szCs w:val="16"/>
                <w:color w:val="auto"/>
              </w:rPr>
              <w:t>$</w:t>
            </w:r>
          </w:p>
        </w:tc>
        <w:tc>
          <w:tcPr>
            <w:tcW w:w="900" w:type="dxa"/>
            <w:vAlign w:val="bottom"/>
            <w:tcBorders>
              <w:bottom w:val="single" w:sz="8" w:color="214E93"/>
            </w:tcBorders>
          </w:tcPr>
          <w:p>
            <w:pPr>
              <w:jc w:val="right"/>
              <w:ind w:right="3"/>
              <w:spacing w:after="0"/>
              <w:rPr>
                <w:sz w:val="20"/>
                <w:szCs w:val="20"/>
                <w:color w:val="auto"/>
              </w:rPr>
            </w:pPr>
            <w:r>
              <w:rPr>
                <w:rFonts w:ascii="Verdana" w:cs="Verdana" w:eastAsia="Verdana" w:hAnsi="Verdana"/>
                <w:sz w:val="16"/>
                <w:szCs w:val="16"/>
                <w:color w:val="auto"/>
              </w:rPr>
              <w:t>4,597</w:t>
            </w:r>
          </w:p>
        </w:tc>
      </w:tr>
    </w:tbl>
    <w:p>
      <w:pPr>
        <w:spacing w:after="0" w:line="20" w:lineRule="exact"/>
        <w:rPr>
          <w:sz w:val="20"/>
          <w:szCs w:val="20"/>
          <w:color w:val="auto"/>
        </w:rPr>
      </w:pPr>
    </w:p>
    <w:p>
      <w:pPr>
        <w:sectPr>
          <w:pgSz w:w="11880" w:h="15480" w:orient="portrait"/>
          <w:cols w:equalWidth="0" w:num="1">
            <w:col w:w="10340"/>
          </w:cols>
          <w:pgMar w:left="38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00"/>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0340"/>
          </w:cols>
          <w:pgMar w:left="380" w:top="498" w:right="1160" w:bottom="0" w:gutter="0" w:footer="0" w:header="0"/>
          <w:type w:val="continuous"/>
        </w:sectPr>
      </w:pPr>
    </w:p>
    <w:bookmarkStart w:id="162" w:name="page163"/>
    <w:bookmarkEnd w:id="162"/>
    <w:tbl>
      <w:tblPr>
        <w:tblLayout w:type="fixed"/>
        <w:tblInd w:w="7880" w:type="dxa"/>
        <w:tblCellMar>
          <w:top w:w="0" w:type="dxa"/>
          <w:left w:w="0" w:type="dxa"/>
          <w:bottom w:w="0" w:type="dxa"/>
          <w:right w:w="0" w:type="dxa"/>
        </w:tblCellMar>
      </w:tblPr>
      <w:tr>
        <w:trPr>
          <w:trHeight w:val="220"/>
        </w:trPr>
        <w:tc>
          <w:tcPr>
            <w:tcW w:w="188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580" w:type="dxa"/>
            <w:vAlign w:val="bottom"/>
          </w:tcPr>
          <w:p>
            <w:pPr>
              <w:ind w:left="260"/>
              <w:spacing w:after="0"/>
              <w:rPr>
                <w:sz w:val="20"/>
                <w:szCs w:val="20"/>
                <w:color w:val="auto"/>
              </w:rPr>
            </w:pPr>
            <w:r>
              <w:rPr>
                <w:rFonts w:ascii="Calibri" w:cs="Calibri" w:eastAsia="Calibri" w:hAnsi="Calibri"/>
                <w:sz w:val="18"/>
                <w:szCs w:val="18"/>
                <w:color w:val="auto"/>
                <w:w w:val="93"/>
              </w:rPr>
              <w:t>F-32</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321" name="Shape 3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21" o:spid="_x0000_s13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322" name="Shape 3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22" o:spid="_x0000_s13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Verdana" w:cs="Verdana" w:eastAsia="Verdana" w:hAnsi="Verdana"/>
          <w:sz w:val="20"/>
          <w:szCs w:val="20"/>
          <w:color w:val="214E93"/>
        </w:rPr>
        <w:t>NOTE 9 — STOCK-BASED COMPENSATION</w:t>
      </w:r>
    </w:p>
    <w:p>
      <w:pPr>
        <w:spacing w:after="0" w:line="209" w:lineRule="exact"/>
        <w:rPr>
          <w:sz w:val="20"/>
          <w:szCs w:val="20"/>
          <w:color w:val="auto"/>
        </w:rPr>
      </w:pPr>
    </w:p>
    <w:p>
      <w:pPr>
        <w:ind w:right="820" w:firstLine="241"/>
        <w:spacing w:after="0" w:line="267" w:lineRule="auto"/>
        <w:rPr>
          <w:sz w:val="20"/>
          <w:szCs w:val="20"/>
          <w:color w:val="auto"/>
        </w:rPr>
      </w:pPr>
      <w:r>
        <w:rPr>
          <w:rFonts w:ascii="Calibri" w:cs="Calibri" w:eastAsia="Calibri" w:hAnsi="Calibri"/>
          <w:sz w:val="18"/>
          <w:szCs w:val="18"/>
          <w:color w:val="auto"/>
        </w:rPr>
        <w:t>In 2019, the Board adopted and shareholders approved the 2019 Incentive Plan. In 2022, the Board adopted and shareholders approved the first amendment to the 2019 Incentive Plan authorizing an additional 3,725,000 shares of common stock for issuance to employees, directors, contractors or advisors of the Company. As of December 31, 2025, the 2019 Incentive Plan provided for a maximum of 2,902,512 shares of common stock in the aggregate that may be issued pursuant to grants of options, restricted stock, stock appreciation rights, restricted stock units or other performance award grants. The persons eligible to receive awards under the 2019 Incentive Plan include employees, directors, contractors or advisors of the Company. The primary purpose of the 2019 Incentive Plan is to attract and retain key employees, directors, contractors or advisors of the Company.</w:t>
      </w:r>
    </w:p>
    <w:p>
      <w:pPr>
        <w:spacing w:after="0" w:line="220" w:lineRule="exact"/>
        <w:rPr>
          <w:sz w:val="20"/>
          <w:szCs w:val="20"/>
          <w:color w:val="auto"/>
        </w:rPr>
      </w:pPr>
    </w:p>
    <w:p>
      <w:pPr>
        <w:ind w:right="840" w:firstLine="241"/>
        <w:spacing w:after="0" w:line="264" w:lineRule="auto"/>
        <w:rPr>
          <w:sz w:val="20"/>
          <w:szCs w:val="20"/>
          <w:color w:val="auto"/>
        </w:rPr>
      </w:pPr>
      <w:r>
        <w:rPr>
          <w:rFonts w:ascii="Calibri" w:cs="Calibri" w:eastAsia="Calibri" w:hAnsi="Calibri"/>
          <w:sz w:val="18"/>
          <w:szCs w:val="18"/>
          <w:color w:val="auto"/>
        </w:rPr>
        <w:t>The 2019 Incentive Plan is administered by the independent members of the Board, who, upon recommendation of the Strategic Planning and Compensation Committee of the Board, determine the number of options, restricted shares or other awards to be granted, the effective dates, the terms of the grants and the vesting periods. The Company typically uses newly issued shares of common stock to satisfy option exercises or restricted share grants.</w:t>
      </w:r>
    </w:p>
    <w:p>
      <w:pPr>
        <w:spacing w:after="0" w:line="221" w:lineRule="exact"/>
        <w:rPr>
          <w:sz w:val="20"/>
          <w:szCs w:val="20"/>
          <w:color w:val="auto"/>
        </w:rPr>
      </w:pPr>
    </w:p>
    <w:p>
      <w:pPr>
        <w:jc w:val="both"/>
        <w:ind w:right="900" w:firstLine="241"/>
        <w:spacing w:after="0" w:line="261" w:lineRule="auto"/>
        <w:rPr>
          <w:sz w:val="20"/>
          <w:szCs w:val="20"/>
          <w:color w:val="auto"/>
        </w:rPr>
      </w:pPr>
      <w:r>
        <w:rPr>
          <w:rFonts w:ascii="Calibri" w:cs="Calibri" w:eastAsia="Calibri" w:hAnsi="Calibri"/>
          <w:sz w:val="18"/>
          <w:szCs w:val="18"/>
          <w:color w:val="auto"/>
        </w:rPr>
        <w:t>During the years ended December 31, 2025, 2024 and 2023, the Company granted both equity-based and liability-based awards under the 2019 Incentive Plan. The fair value of equity-based awards is fixed at the grant date, while the fair value of liability-based awards is remeasured at each reporting period.</w:t>
      </w:r>
    </w:p>
    <w:p>
      <w:pPr>
        <w:spacing w:after="0" w:line="209"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Employee Stock Purchase Plan (“ESPP”)</w:t>
      </w:r>
    </w:p>
    <w:p>
      <w:pPr>
        <w:spacing w:after="0" w:line="208" w:lineRule="exact"/>
        <w:rPr>
          <w:sz w:val="20"/>
          <w:szCs w:val="20"/>
          <w:color w:val="auto"/>
        </w:rPr>
      </w:pPr>
    </w:p>
    <w:p>
      <w:pPr>
        <w:ind w:right="860" w:firstLine="241"/>
        <w:spacing w:after="0" w:line="264" w:lineRule="auto"/>
        <w:rPr>
          <w:sz w:val="20"/>
          <w:szCs w:val="20"/>
          <w:color w:val="auto"/>
        </w:rPr>
      </w:pPr>
      <w:r>
        <w:rPr>
          <w:rFonts w:ascii="Calibri" w:cs="Calibri" w:eastAsia="Calibri" w:hAnsi="Calibri"/>
          <w:sz w:val="18"/>
          <w:szCs w:val="18"/>
          <w:color w:val="auto"/>
        </w:rPr>
        <w:t>In 2022, the Board adopted and shareholders approved an ESPP, which authorizes a maximum of 4.0 million shares of common stock to be purchased. The purpose of the ESPP is to encourage and enable the Company’s eligible employees to acquire an interest in the Company through the ownership of common stock. At December 31, 2025, the Company had 3,833,110 remaining shares available for issuance under the ESPP.</w:t>
      </w:r>
    </w:p>
    <w:p>
      <w:pPr>
        <w:spacing w:after="0" w:line="207"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Restricted Stock, Restricted Stock Units and Common Stock</w:t>
      </w:r>
    </w:p>
    <w:p>
      <w:pPr>
        <w:spacing w:after="0" w:line="208" w:lineRule="exact"/>
        <w:rPr>
          <w:sz w:val="20"/>
          <w:szCs w:val="20"/>
          <w:color w:val="auto"/>
        </w:rPr>
      </w:pPr>
    </w:p>
    <w:p>
      <w:pPr>
        <w:ind w:right="780" w:firstLine="241"/>
        <w:spacing w:after="0" w:line="268" w:lineRule="auto"/>
        <w:rPr>
          <w:sz w:val="20"/>
          <w:szCs w:val="20"/>
          <w:color w:val="auto"/>
        </w:rPr>
      </w:pPr>
      <w:r>
        <w:rPr>
          <w:rFonts w:ascii="Calibri" w:cs="Calibri" w:eastAsia="Calibri" w:hAnsi="Calibri"/>
          <w:sz w:val="18"/>
          <w:szCs w:val="18"/>
          <w:color w:val="auto"/>
        </w:rPr>
        <w:t>The Company has granted stock, restricted stock and restricted stock unit awards to employees, consultants, outside directors and advisors of the Company under the 2019 Incentive Plan. The stock and restricted stock are issued upon grant, with the restrictions, if any, being removed upon vesting. The equity-based restricted stock units are issued upon vesting, unless the recipient makes an election to defer issuance for a set term after vesting. Liability-based restricted stock units are settled in cash upon vesting. Restricted stock and restricted stock units granted in 2025, 2024 and 2023 were service-based awards, which will settle in cash or equity, and vest over a one-year to three-year period. Performance-based restricted stock units granted in 2025 and 2024 vest in an amount between zero and 200% of the target units granted based on the Company’s relative total shareholder return over the three-year periods ending December 31, 2027 and 2026, respectively, as compared to a designated peer group, and will be settled in equity.</w:t>
      </w:r>
    </w:p>
    <w:p>
      <w:pPr>
        <w:spacing w:after="0" w:line="205"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Equity-Based</w:t>
      </w:r>
    </w:p>
    <w:p>
      <w:pPr>
        <w:spacing w:after="0" w:line="208" w:lineRule="exact"/>
        <w:rPr>
          <w:sz w:val="20"/>
          <w:szCs w:val="20"/>
          <w:color w:val="auto"/>
        </w:rPr>
      </w:pPr>
    </w:p>
    <w:p>
      <w:pPr>
        <w:ind w:right="1240" w:firstLine="241"/>
        <w:spacing w:after="0" w:line="252" w:lineRule="auto"/>
        <w:rPr>
          <w:sz w:val="20"/>
          <w:szCs w:val="20"/>
          <w:color w:val="auto"/>
        </w:rPr>
      </w:pPr>
      <w:r>
        <w:rPr>
          <w:rFonts w:ascii="Calibri" w:cs="Calibri" w:eastAsia="Calibri" w:hAnsi="Calibri"/>
          <w:sz w:val="18"/>
          <w:szCs w:val="18"/>
          <w:color w:val="auto"/>
        </w:rPr>
        <w:t>A summary of the non-vested equity-based restricted stock and restricted stock units as of December 31, 2025 is presented below (in thousands, except fair value).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20" w:type="dxa"/>
            <w:vAlign w:val="bottom"/>
          </w:tcPr>
          <w:p>
            <w:pPr>
              <w:spacing w:after="0"/>
              <w:rPr>
                <w:sz w:val="16"/>
                <w:szCs w:val="16"/>
                <w:color w:val="auto"/>
              </w:rPr>
            </w:pPr>
          </w:p>
        </w:tc>
        <w:tc>
          <w:tcPr>
            <w:tcW w:w="2060" w:type="dxa"/>
            <w:vAlign w:val="bottom"/>
            <w:tcBorders>
              <w:bottom w:val="single" w:sz="8" w:color="214E93"/>
            </w:tcBorders>
            <w:gridSpan w:val="3"/>
          </w:tcPr>
          <w:p>
            <w:pPr>
              <w:jc w:val="right"/>
              <w:ind w:right="386"/>
              <w:spacing w:after="0"/>
              <w:rPr>
                <w:sz w:val="20"/>
                <w:szCs w:val="20"/>
                <w:color w:val="auto"/>
              </w:rPr>
            </w:pPr>
            <w:r>
              <w:rPr>
                <w:rFonts w:ascii="Verdana" w:cs="Verdana" w:eastAsia="Verdana" w:hAnsi="Verdana"/>
                <w:sz w:val="14"/>
                <w:szCs w:val="14"/>
                <w:color w:val="auto"/>
              </w:rPr>
              <w:t>Restricted Stock</w:t>
            </w:r>
          </w:p>
        </w:tc>
        <w:tc>
          <w:tcPr>
            <w:tcW w:w="60" w:type="dxa"/>
            <w:vAlign w:val="bottom"/>
          </w:tcPr>
          <w:p>
            <w:pPr>
              <w:spacing w:after="0"/>
              <w:rPr>
                <w:sz w:val="16"/>
                <w:szCs w:val="16"/>
                <w:color w:val="auto"/>
              </w:rPr>
            </w:pPr>
          </w:p>
        </w:tc>
        <w:tc>
          <w:tcPr>
            <w:tcW w:w="1000" w:type="dxa"/>
            <w:vAlign w:val="bottom"/>
            <w:tcBorders>
              <w:bottom w:val="single" w:sz="8" w:color="214E93"/>
            </w:tcBorders>
          </w:tcPr>
          <w:p>
            <w:pPr>
              <w:spacing w:after="0"/>
              <w:rPr>
                <w:sz w:val="16"/>
                <w:szCs w:val="16"/>
                <w:color w:val="auto"/>
              </w:rPr>
            </w:pPr>
          </w:p>
        </w:tc>
        <w:tc>
          <w:tcPr>
            <w:tcW w:w="220" w:type="dxa"/>
            <w:vAlign w:val="bottom"/>
            <w:tcBorders>
              <w:bottom w:val="single" w:sz="8" w:color="214E93"/>
            </w:tcBorders>
          </w:tcPr>
          <w:p>
            <w:pPr>
              <w:spacing w:after="0"/>
              <w:rPr>
                <w:sz w:val="16"/>
                <w:szCs w:val="16"/>
                <w:color w:val="auto"/>
              </w:rPr>
            </w:pPr>
          </w:p>
        </w:tc>
        <w:tc>
          <w:tcPr>
            <w:tcW w:w="1900" w:type="dxa"/>
            <w:vAlign w:val="bottom"/>
            <w:tcBorders>
              <w:bottom w:val="single" w:sz="8" w:color="214E93"/>
            </w:tcBorders>
            <w:gridSpan w:val="3"/>
          </w:tcPr>
          <w:p>
            <w:pPr>
              <w:jc w:val="right"/>
              <w:ind w:right="186"/>
              <w:spacing w:after="0"/>
              <w:rPr>
                <w:sz w:val="20"/>
                <w:szCs w:val="20"/>
                <w:color w:val="auto"/>
              </w:rPr>
            </w:pPr>
            <w:r>
              <w:rPr>
                <w:rFonts w:ascii="Verdana" w:cs="Verdana" w:eastAsia="Verdana" w:hAnsi="Verdana"/>
                <w:sz w:val="14"/>
                <w:szCs w:val="14"/>
                <w:color w:val="auto"/>
              </w:rPr>
              <w:t>Restricted Stock Units</w:t>
            </w:r>
          </w:p>
        </w:tc>
        <w:tc>
          <w:tcPr>
            <w:tcW w:w="240" w:type="dxa"/>
            <w:vAlign w:val="bottom"/>
            <w:tcBorders>
              <w:bottom w:val="single" w:sz="8" w:color="214E93"/>
            </w:tcBorders>
          </w:tcPr>
          <w:p>
            <w:pPr>
              <w:spacing w:after="0"/>
              <w:rPr>
                <w:sz w:val="16"/>
                <w:szCs w:val="16"/>
                <w:color w:val="auto"/>
              </w:rPr>
            </w:pPr>
          </w:p>
        </w:tc>
        <w:tc>
          <w:tcPr>
            <w:tcW w:w="820" w:type="dxa"/>
            <w:vAlign w:val="bottom"/>
            <w:tcBorders>
              <w:bottom w:val="single" w:sz="8" w:color="214E93"/>
            </w:tcBorders>
          </w:tcPr>
          <w:p>
            <w:pPr>
              <w:spacing w:after="0"/>
              <w:rPr>
                <w:sz w:val="16"/>
                <w:szCs w:val="16"/>
                <w:color w:val="auto"/>
              </w:rPr>
            </w:pPr>
          </w:p>
        </w:tc>
      </w:tr>
      <w:tr>
        <w:trPr>
          <w:trHeight w:val="201"/>
        </w:trPr>
        <w:tc>
          <w:tcPr>
            <w:tcW w:w="2920" w:type="dxa"/>
            <w:vAlign w:val="bottom"/>
          </w:tcPr>
          <w:p>
            <w:pPr>
              <w:spacing w:after="0"/>
              <w:rPr>
                <w:sz w:val="17"/>
                <w:szCs w:val="17"/>
                <w:color w:val="auto"/>
              </w:rPr>
            </w:pPr>
          </w:p>
        </w:tc>
        <w:tc>
          <w:tcPr>
            <w:tcW w:w="2060" w:type="dxa"/>
            <w:vAlign w:val="bottom"/>
            <w:tcBorders>
              <w:bottom w:val="single" w:sz="8" w:color="214E93"/>
            </w:tcBorders>
            <w:gridSpan w:val="3"/>
          </w:tcPr>
          <w:p>
            <w:pPr>
              <w:jc w:val="right"/>
              <w:ind w:right="466"/>
              <w:spacing w:after="0"/>
              <w:rPr>
                <w:sz w:val="20"/>
                <w:szCs w:val="20"/>
                <w:color w:val="auto"/>
              </w:rPr>
            </w:pPr>
            <w:r>
              <w:rPr>
                <w:rFonts w:ascii="Verdana" w:cs="Verdana" w:eastAsia="Verdana" w:hAnsi="Verdana"/>
                <w:sz w:val="14"/>
                <w:szCs w:val="14"/>
                <w:color w:val="auto"/>
              </w:rPr>
              <w:t>Service Based</w:t>
            </w:r>
          </w:p>
        </w:tc>
        <w:tc>
          <w:tcPr>
            <w:tcW w:w="60" w:type="dxa"/>
            <w:vAlign w:val="bottom"/>
          </w:tcPr>
          <w:p>
            <w:pPr>
              <w:spacing w:after="0"/>
              <w:rPr>
                <w:sz w:val="17"/>
                <w:szCs w:val="17"/>
                <w:color w:val="auto"/>
              </w:rPr>
            </w:pPr>
          </w:p>
        </w:tc>
        <w:tc>
          <w:tcPr>
            <w:tcW w:w="2060" w:type="dxa"/>
            <w:vAlign w:val="bottom"/>
            <w:tcBorders>
              <w:bottom w:val="single" w:sz="8" w:color="214E93"/>
            </w:tcBorders>
            <w:gridSpan w:val="3"/>
          </w:tcPr>
          <w:p>
            <w:pPr>
              <w:jc w:val="right"/>
              <w:ind w:right="466"/>
              <w:spacing w:after="0"/>
              <w:rPr>
                <w:sz w:val="20"/>
                <w:szCs w:val="20"/>
                <w:color w:val="auto"/>
              </w:rPr>
            </w:pPr>
            <w:r>
              <w:rPr>
                <w:rFonts w:ascii="Verdana" w:cs="Verdana" w:eastAsia="Verdana" w:hAnsi="Verdana"/>
                <w:sz w:val="14"/>
                <w:szCs w:val="14"/>
                <w:color w:val="auto"/>
              </w:rPr>
              <w:t>Service Based</w:t>
            </w:r>
          </w:p>
        </w:tc>
        <w:tc>
          <w:tcPr>
            <w:tcW w:w="80" w:type="dxa"/>
            <w:vAlign w:val="bottom"/>
          </w:tcPr>
          <w:p>
            <w:pPr>
              <w:spacing w:after="0"/>
              <w:rPr>
                <w:sz w:val="17"/>
                <w:szCs w:val="17"/>
                <w:color w:val="auto"/>
              </w:rPr>
            </w:pPr>
          </w:p>
        </w:tc>
        <w:tc>
          <w:tcPr>
            <w:tcW w:w="2040" w:type="dxa"/>
            <w:vAlign w:val="bottom"/>
            <w:tcBorders>
              <w:bottom w:val="single" w:sz="8" w:color="214E93"/>
            </w:tcBorders>
            <w:gridSpan w:val="3"/>
          </w:tcPr>
          <w:p>
            <w:pPr>
              <w:jc w:val="right"/>
              <w:ind w:right="286"/>
              <w:spacing w:after="0"/>
              <w:rPr>
                <w:sz w:val="20"/>
                <w:szCs w:val="20"/>
                <w:color w:val="auto"/>
              </w:rPr>
            </w:pPr>
            <w:r>
              <w:rPr>
                <w:rFonts w:ascii="Verdana" w:cs="Verdana" w:eastAsia="Verdana" w:hAnsi="Verdana"/>
                <w:sz w:val="14"/>
                <w:szCs w:val="14"/>
                <w:color w:val="auto"/>
              </w:rPr>
              <w:t>Performance Based</w:t>
            </w:r>
          </w:p>
        </w:tc>
      </w:tr>
      <w:tr>
        <w:trPr>
          <w:trHeight w:val="180"/>
        </w:trPr>
        <w:tc>
          <w:tcPr>
            <w:tcW w:w="2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center"/>
              <w:ind w:right="86"/>
              <w:spacing w:after="0"/>
              <w:rPr>
                <w:sz w:val="20"/>
                <w:szCs w:val="20"/>
                <w:color w:val="auto"/>
              </w:rPr>
            </w:pPr>
            <w:r>
              <w:rPr>
                <w:rFonts w:ascii="Verdana" w:cs="Verdana" w:eastAsia="Verdana" w:hAnsi="Verdana"/>
                <w:sz w:val="14"/>
                <w:szCs w:val="14"/>
                <w:color w:val="auto"/>
                <w:w w:val="96"/>
              </w:rPr>
              <w:t>Weighted</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center"/>
              <w:ind w:right="86"/>
              <w:spacing w:after="0"/>
              <w:rPr>
                <w:sz w:val="20"/>
                <w:szCs w:val="20"/>
                <w:color w:val="auto"/>
              </w:rPr>
            </w:pPr>
            <w:r>
              <w:rPr>
                <w:rFonts w:ascii="Verdana" w:cs="Verdana" w:eastAsia="Verdana" w:hAnsi="Verdana"/>
                <w:sz w:val="14"/>
                <w:szCs w:val="14"/>
                <w:color w:val="auto"/>
                <w:w w:val="96"/>
              </w:rPr>
              <w:t>Weighted</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center"/>
              <w:ind w:right="86"/>
              <w:spacing w:after="0"/>
              <w:rPr>
                <w:sz w:val="20"/>
                <w:szCs w:val="20"/>
                <w:color w:val="auto"/>
              </w:rPr>
            </w:pPr>
            <w:r>
              <w:rPr>
                <w:rFonts w:ascii="Verdana" w:cs="Verdana" w:eastAsia="Verdana" w:hAnsi="Verdana"/>
                <w:sz w:val="14"/>
                <w:szCs w:val="14"/>
                <w:color w:val="auto"/>
                <w:w w:val="99"/>
              </w:rPr>
              <w:t>Weighted</w:t>
            </w:r>
          </w:p>
        </w:tc>
      </w:tr>
      <w:tr>
        <w:trPr>
          <w:trHeight w:val="165"/>
        </w:trPr>
        <w:tc>
          <w:tcPr>
            <w:tcW w:w="2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center"/>
              <w:ind w:right="86"/>
              <w:spacing w:after="0" w:line="166" w:lineRule="exact"/>
              <w:rPr>
                <w:sz w:val="20"/>
                <w:szCs w:val="20"/>
                <w:color w:val="auto"/>
              </w:rPr>
            </w:pPr>
            <w:r>
              <w:rPr>
                <w:rFonts w:ascii="Verdana" w:cs="Verdana" w:eastAsia="Verdana" w:hAnsi="Verdana"/>
                <w:sz w:val="14"/>
                <w:szCs w:val="14"/>
                <w:color w:val="auto"/>
                <w:w w:val="98"/>
              </w:rPr>
              <w:t>average</w:t>
            </w: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ind w:right="86"/>
              <w:spacing w:after="0" w:line="166" w:lineRule="exact"/>
              <w:rPr>
                <w:sz w:val="20"/>
                <w:szCs w:val="20"/>
                <w:color w:val="auto"/>
              </w:rPr>
            </w:pPr>
            <w:r>
              <w:rPr>
                <w:rFonts w:ascii="Verdana" w:cs="Verdana" w:eastAsia="Verdana" w:hAnsi="Verdana"/>
                <w:sz w:val="14"/>
                <w:szCs w:val="14"/>
                <w:color w:val="auto"/>
                <w:w w:val="98"/>
              </w:rPr>
              <w:t>average</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center"/>
              <w:ind w:right="86"/>
              <w:spacing w:after="0" w:line="166" w:lineRule="exact"/>
              <w:rPr>
                <w:sz w:val="20"/>
                <w:szCs w:val="20"/>
                <w:color w:val="auto"/>
              </w:rPr>
            </w:pPr>
            <w:r>
              <w:rPr>
                <w:rFonts w:ascii="Verdana" w:cs="Verdana" w:eastAsia="Verdana" w:hAnsi="Verdana"/>
                <w:sz w:val="14"/>
                <w:szCs w:val="14"/>
                <w:color w:val="auto"/>
                <w:w w:val="95"/>
              </w:rPr>
              <w:t>average</w:t>
            </w:r>
          </w:p>
        </w:tc>
      </w:tr>
      <w:tr>
        <w:trPr>
          <w:trHeight w:val="165"/>
        </w:trPr>
        <w:tc>
          <w:tcPr>
            <w:tcW w:w="2920" w:type="dxa"/>
            <w:vAlign w:val="bottom"/>
          </w:tcPr>
          <w:p>
            <w:pPr>
              <w:ind w:left="320"/>
              <w:spacing w:after="0" w:line="166" w:lineRule="exact"/>
              <w:rPr>
                <w:sz w:val="20"/>
                <w:szCs w:val="20"/>
                <w:color w:val="auto"/>
              </w:rPr>
            </w:pPr>
            <w:r>
              <w:rPr>
                <w:rFonts w:ascii="Verdana" w:cs="Verdana" w:eastAsia="Verdana" w:hAnsi="Verdana"/>
                <w:sz w:val="14"/>
                <w:szCs w:val="14"/>
                <w:color w:val="auto"/>
              </w:rPr>
              <w:t>Non-vested restricted stock and</w:t>
            </w: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center"/>
              <w:ind w:right="86"/>
              <w:spacing w:after="0" w:line="166" w:lineRule="exact"/>
              <w:rPr>
                <w:sz w:val="20"/>
                <w:szCs w:val="20"/>
                <w:color w:val="auto"/>
              </w:rPr>
            </w:pPr>
            <w:r>
              <w:rPr>
                <w:rFonts w:ascii="Verdana" w:cs="Verdana" w:eastAsia="Verdana" w:hAnsi="Verdana"/>
                <w:sz w:val="14"/>
                <w:szCs w:val="14"/>
                <w:color w:val="auto"/>
              </w:rPr>
              <w:t>fair</w:t>
            </w: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ind w:right="86"/>
              <w:spacing w:after="0" w:line="166" w:lineRule="exact"/>
              <w:rPr>
                <w:sz w:val="20"/>
                <w:szCs w:val="20"/>
                <w:color w:val="auto"/>
              </w:rPr>
            </w:pPr>
            <w:r>
              <w:rPr>
                <w:rFonts w:ascii="Verdana" w:cs="Verdana" w:eastAsia="Verdana" w:hAnsi="Verdana"/>
                <w:sz w:val="14"/>
                <w:szCs w:val="14"/>
                <w:color w:val="auto"/>
              </w:rPr>
              <w:t>fair</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center"/>
              <w:ind w:right="86"/>
              <w:spacing w:after="0" w:line="166" w:lineRule="exact"/>
              <w:rPr>
                <w:sz w:val="20"/>
                <w:szCs w:val="20"/>
                <w:color w:val="auto"/>
              </w:rPr>
            </w:pPr>
            <w:r>
              <w:rPr>
                <w:rFonts w:ascii="Verdana" w:cs="Verdana" w:eastAsia="Verdana" w:hAnsi="Verdana"/>
                <w:sz w:val="14"/>
                <w:szCs w:val="14"/>
                <w:color w:val="auto"/>
                <w:w w:val="94"/>
              </w:rPr>
              <w:t>fair</w:t>
            </w:r>
          </w:p>
        </w:tc>
      </w:tr>
      <w:tr>
        <w:trPr>
          <w:trHeight w:val="193"/>
        </w:trPr>
        <w:tc>
          <w:tcPr>
            <w:tcW w:w="2920" w:type="dxa"/>
            <w:vAlign w:val="bottom"/>
            <w:tcBorders>
              <w:bottom w:val="single" w:sz="8" w:color="214E93"/>
            </w:tcBorders>
          </w:tcPr>
          <w:p>
            <w:pPr>
              <w:ind w:left="700"/>
              <w:spacing w:after="0"/>
              <w:rPr>
                <w:sz w:val="20"/>
                <w:szCs w:val="20"/>
                <w:color w:val="auto"/>
              </w:rPr>
            </w:pPr>
            <w:r>
              <w:rPr>
                <w:rFonts w:ascii="Verdana" w:cs="Verdana" w:eastAsia="Verdana" w:hAnsi="Verdana"/>
                <w:sz w:val="14"/>
                <w:szCs w:val="14"/>
                <w:color w:val="auto"/>
              </w:rPr>
              <w:t>restricted stock units</w:t>
            </w:r>
          </w:p>
        </w:tc>
        <w:tc>
          <w:tcPr>
            <w:tcW w:w="980" w:type="dxa"/>
            <w:vAlign w:val="bottom"/>
            <w:tcBorders>
              <w:bottom w:val="single" w:sz="8" w:color="214E93"/>
            </w:tcBorders>
          </w:tcPr>
          <w:p>
            <w:pPr>
              <w:jc w:val="right"/>
              <w:ind w:right="165"/>
              <w:spacing w:after="0"/>
              <w:rPr>
                <w:sz w:val="20"/>
                <w:szCs w:val="20"/>
                <w:color w:val="auto"/>
              </w:rPr>
            </w:pPr>
            <w:r>
              <w:rPr>
                <w:rFonts w:ascii="Verdana" w:cs="Verdana" w:eastAsia="Verdana" w:hAnsi="Verdana"/>
                <w:sz w:val="14"/>
                <w:szCs w:val="14"/>
                <w:color w:val="auto"/>
              </w:rPr>
              <w:t>Shares</w:t>
            </w:r>
          </w:p>
        </w:tc>
        <w:tc>
          <w:tcPr>
            <w:tcW w:w="240" w:type="dxa"/>
            <w:vAlign w:val="bottom"/>
            <w:tcBorders>
              <w:bottom w:val="single" w:sz="8" w:color="214E93"/>
            </w:tcBorders>
          </w:tcPr>
          <w:p>
            <w:pPr>
              <w:spacing w:after="0"/>
              <w:rPr>
                <w:sz w:val="16"/>
                <w:szCs w:val="16"/>
                <w:color w:val="auto"/>
              </w:rPr>
            </w:pPr>
          </w:p>
        </w:tc>
        <w:tc>
          <w:tcPr>
            <w:tcW w:w="840" w:type="dxa"/>
            <w:vAlign w:val="bottom"/>
            <w:tcBorders>
              <w:bottom w:val="single" w:sz="8" w:color="214E93"/>
            </w:tcBorders>
          </w:tcPr>
          <w:p>
            <w:pPr>
              <w:jc w:val="center"/>
              <w:ind w:right="86"/>
              <w:spacing w:after="0"/>
              <w:rPr>
                <w:sz w:val="20"/>
                <w:szCs w:val="20"/>
                <w:color w:val="auto"/>
              </w:rPr>
            </w:pPr>
            <w:r>
              <w:rPr>
                <w:rFonts w:ascii="Verdana" w:cs="Verdana" w:eastAsia="Verdana" w:hAnsi="Verdana"/>
                <w:sz w:val="14"/>
                <w:szCs w:val="14"/>
                <w:color w:val="auto"/>
                <w:w w:val="95"/>
              </w:rPr>
              <w:t>value</w:t>
            </w:r>
          </w:p>
        </w:tc>
        <w:tc>
          <w:tcPr>
            <w:tcW w:w="60" w:type="dxa"/>
            <w:vAlign w:val="bottom"/>
            <w:tcBorders>
              <w:bottom w:val="single" w:sz="8" w:color="214E93"/>
            </w:tcBorders>
          </w:tcPr>
          <w:p>
            <w:pPr>
              <w:spacing w:after="0"/>
              <w:rPr>
                <w:sz w:val="16"/>
                <w:szCs w:val="16"/>
                <w:color w:val="auto"/>
              </w:rPr>
            </w:pPr>
          </w:p>
        </w:tc>
        <w:tc>
          <w:tcPr>
            <w:tcW w:w="1000" w:type="dxa"/>
            <w:vAlign w:val="bottom"/>
            <w:tcBorders>
              <w:bottom w:val="single" w:sz="8" w:color="214E93"/>
            </w:tcBorders>
          </w:tcPr>
          <w:p>
            <w:pPr>
              <w:jc w:val="right"/>
              <w:ind w:right="186"/>
              <w:spacing w:after="0"/>
              <w:rPr>
                <w:sz w:val="20"/>
                <w:szCs w:val="20"/>
                <w:color w:val="auto"/>
              </w:rPr>
            </w:pPr>
            <w:r>
              <w:rPr>
                <w:rFonts w:ascii="Verdana" w:cs="Verdana" w:eastAsia="Verdana" w:hAnsi="Verdana"/>
                <w:sz w:val="14"/>
                <w:szCs w:val="14"/>
                <w:color w:val="auto"/>
              </w:rPr>
              <w:t>Shares</w:t>
            </w:r>
          </w:p>
        </w:tc>
        <w:tc>
          <w:tcPr>
            <w:tcW w:w="220" w:type="dxa"/>
            <w:vAlign w:val="bottom"/>
            <w:tcBorders>
              <w:bottom w:val="single" w:sz="8" w:color="214E93"/>
            </w:tcBorders>
          </w:tcPr>
          <w:p>
            <w:pPr>
              <w:spacing w:after="0"/>
              <w:rPr>
                <w:sz w:val="16"/>
                <w:szCs w:val="16"/>
                <w:color w:val="auto"/>
              </w:rPr>
            </w:pPr>
          </w:p>
        </w:tc>
        <w:tc>
          <w:tcPr>
            <w:tcW w:w="840" w:type="dxa"/>
            <w:vAlign w:val="bottom"/>
            <w:tcBorders>
              <w:bottom w:val="single" w:sz="8" w:color="214E93"/>
            </w:tcBorders>
          </w:tcPr>
          <w:p>
            <w:pPr>
              <w:jc w:val="center"/>
              <w:ind w:right="86"/>
              <w:spacing w:after="0"/>
              <w:rPr>
                <w:sz w:val="20"/>
                <w:szCs w:val="20"/>
                <w:color w:val="auto"/>
              </w:rPr>
            </w:pPr>
            <w:r>
              <w:rPr>
                <w:rFonts w:ascii="Verdana" w:cs="Verdana" w:eastAsia="Verdana" w:hAnsi="Verdana"/>
                <w:sz w:val="14"/>
                <w:szCs w:val="14"/>
                <w:color w:val="auto"/>
                <w:w w:val="95"/>
              </w:rPr>
              <w:t>value</w:t>
            </w:r>
          </w:p>
        </w:tc>
        <w:tc>
          <w:tcPr>
            <w:tcW w:w="80" w:type="dxa"/>
            <w:vAlign w:val="bottom"/>
            <w:tcBorders>
              <w:bottom w:val="single" w:sz="8" w:color="214E93"/>
            </w:tcBorders>
          </w:tcPr>
          <w:p>
            <w:pPr>
              <w:spacing w:after="0"/>
              <w:rPr>
                <w:sz w:val="16"/>
                <w:szCs w:val="16"/>
                <w:color w:val="auto"/>
              </w:rPr>
            </w:pPr>
          </w:p>
        </w:tc>
        <w:tc>
          <w:tcPr>
            <w:tcW w:w="980" w:type="dxa"/>
            <w:vAlign w:val="bottom"/>
            <w:tcBorders>
              <w:bottom w:val="single" w:sz="8" w:color="214E93"/>
            </w:tcBorders>
          </w:tcPr>
          <w:p>
            <w:pPr>
              <w:jc w:val="right"/>
              <w:ind w:right="186"/>
              <w:spacing w:after="0"/>
              <w:rPr>
                <w:sz w:val="20"/>
                <w:szCs w:val="20"/>
                <w:color w:val="auto"/>
              </w:rPr>
            </w:pPr>
            <w:r>
              <w:rPr>
                <w:rFonts w:ascii="Verdana" w:cs="Verdana" w:eastAsia="Verdana" w:hAnsi="Verdana"/>
                <w:sz w:val="14"/>
                <w:szCs w:val="14"/>
                <w:color w:val="auto"/>
              </w:rPr>
              <w:t>Shares</w:t>
            </w:r>
          </w:p>
        </w:tc>
        <w:tc>
          <w:tcPr>
            <w:tcW w:w="240" w:type="dxa"/>
            <w:vAlign w:val="bottom"/>
            <w:tcBorders>
              <w:bottom w:val="single" w:sz="8" w:color="214E93"/>
            </w:tcBorders>
          </w:tcPr>
          <w:p>
            <w:pPr>
              <w:spacing w:after="0"/>
              <w:rPr>
                <w:sz w:val="16"/>
                <w:szCs w:val="16"/>
                <w:color w:val="auto"/>
              </w:rPr>
            </w:pPr>
          </w:p>
        </w:tc>
        <w:tc>
          <w:tcPr>
            <w:tcW w:w="820" w:type="dxa"/>
            <w:vAlign w:val="bottom"/>
            <w:tcBorders>
              <w:bottom w:val="single" w:sz="8" w:color="214E93"/>
            </w:tcBorders>
          </w:tcPr>
          <w:p>
            <w:pPr>
              <w:jc w:val="center"/>
              <w:ind w:right="86"/>
              <w:spacing w:after="0"/>
              <w:rPr>
                <w:sz w:val="20"/>
                <w:szCs w:val="20"/>
                <w:color w:val="auto"/>
              </w:rPr>
            </w:pPr>
            <w:r>
              <w:rPr>
                <w:rFonts w:ascii="Verdana" w:cs="Verdana" w:eastAsia="Verdana" w:hAnsi="Verdana"/>
                <w:sz w:val="14"/>
                <w:szCs w:val="14"/>
                <w:color w:val="auto"/>
              </w:rPr>
              <w:t>value</w:t>
            </w:r>
          </w:p>
        </w:tc>
      </w:tr>
      <w:tr>
        <w:trPr>
          <w:trHeight w:val="211"/>
        </w:trPr>
        <w:tc>
          <w:tcPr>
            <w:tcW w:w="2920" w:type="dxa"/>
            <w:vAlign w:val="bottom"/>
          </w:tcPr>
          <w:p>
            <w:pPr>
              <w:ind w:left="40"/>
              <w:spacing w:after="0"/>
              <w:rPr>
                <w:sz w:val="20"/>
                <w:szCs w:val="20"/>
                <w:color w:val="auto"/>
              </w:rPr>
            </w:pPr>
            <w:r>
              <w:rPr>
                <w:rFonts w:ascii="Verdana" w:cs="Verdana" w:eastAsia="Verdana" w:hAnsi="Verdana"/>
                <w:sz w:val="16"/>
                <w:szCs w:val="16"/>
                <w:color w:val="auto"/>
              </w:rPr>
              <w:t>Non-vested at December 31, 2024</w:t>
            </w:r>
          </w:p>
        </w:tc>
        <w:tc>
          <w:tcPr>
            <w:tcW w:w="980" w:type="dxa"/>
            <w:vAlign w:val="bottom"/>
          </w:tcPr>
          <w:p>
            <w:pPr>
              <w:jc w:val="right"/>
              <w:ind w:right="5"/>
              <w:spacing w:after="0"/>
              <w:rPr>
                <w:sz w:val="20"/>
                <w:szCs w:val="20"/>
                <w:color w:val="auto"/>
              </w:rPr>
            </w:pPr>
            <w:r>
              <w:rPr>
                <w:rFonts w:ascii="Verdana" w:cs="Verdana" w:eastAsia="Verdana" w:hAnsi="Verdana"/>
                <w:sz w:val="16"/>
                <w:szCs w:val="16"/>
                <w:color w:val="auto"/>
              </w:rPr>
              <w:t>701</w:t>
            </w:r>
          </w:p>
        </w:tc>
        <w:tc>
          <w:tcPr>
            <w:tcW w:w="240" w:type="dxa"/>
            <w:vAlign w:val="bottom"/>
          </w:tcPr>
          <w:p>
            <w:pPr>
              <w:jc w:val="right"/>
              <w:spacing w:after="0"/>
              <w:rPr>
                <w:sz w:val="20"/>
                <w:szCs w:val="20"/>
                <w:color w:val="auto"/>
              </w:rPr>
            </w:pPr>
            <w:r>
              <w:rPr>
                <w:rFonts w:ascii="Verdana" w:cs="Verdana" w:eastAsia="Verdana" w:hAnsi="Verdana"/>
                <w:sz w:val="16"/>
                <w:szCs w:val="16"/>
                <w:color w:val="auto"/>
              </w:rPr>
              <w:t>$</w:t>
            </w:r>
          </w:p>
        </w:tc>
        <w:tc>
          <w:tcPr>
            <w:tcW w:w="840" w:type="dxa"/>
            <w:vAlign w:val="bottom"/>
          </w:tcPr>
          <w:p>
            <w:pPr>
              <w:jc w:val="right"/>
              <w:ind w:right="26"/>
              <w:spacing w:after="0"/>
              <w:rPr>
                <w:sz w:val="20"/>
                <w:szCs w:val="20"/>
                <w:color w:val="auto"/>
              </w:rPr>
            </w:pPr>
            <w:r>
              <w:rPr>
                <w:rFonts w:ascii="Verdana" w:cs="Verdana" w:eastAsia="Verdana" w:hAnsi="Verdana"/>
                <w:sz w:val="16"/>
                <w:szCs w:val="16"/>
                <w:color w:val="auto"/>
              </w:rPr>
              <w:t>51.26</w:t>
            </w:r>
          </w:p>
        </w:tc>
        <w:tc>
          <w:tcPr>
            <w:tcW w:w="1060" w:type="dxa"/>
            <w:vAlign w:val="bottom"/>
            <w:gridSpan w:val="2"/>
          </w:tcPr>
          <w:p>
            <w:pPr>
              <w:jc w:val="right"/>
              <w:ind w:right="26"/>
              <w:spacing w:after="0"/>
              <w:rPr>
                <w:sz w:val="20"/>
                <w:szCs w:val="20"/>
                <w:color w:val="auto"/>
              </w:rPr>
            </w:pPr>
            <w:r>
              <w:rPr>
                <w:rFonts w:ascii="Verdana" w:cs="Verdana" w:eastAsia="Verdana" w:hAnsi="Verdana"/>
                <w:sz w:val="16"/>
                <w:szCs w:val="16"/>
                <w:color w:val="auto"/>
              </w:rPr>
              <w:t>23</w:t>
            </w:r>
          </w:p>
        </w:tc>
        <w:tc>
          <w:tcPr>
            <w:tcW w:w="220" w:type="dxa"/>
            <w:vAlign w:val="bottom"/>
          </w:tcPr>
          <w:p>
            <w:pPr>
              <w:jc w:val="right"/>
              <w:spacing w:after="0"/>
              <w:rPr>
                <w:sz w:val="20"/>
                <w:szCs w:val="20"/>
                <w:color w:val="auto"/>
              </w:rPr>
            </w:pPr>
            <w:r>
              <w:rPr>
                <w:rFonts w:ascii="Verdana" w:cs="Verdana" w:eastAsia="Verdana" w:hAnsi="Verdana"/>
                <w:sz w:val="16"/>
                <w:szCs w:val="16"/>
                <w:color w:val="auto"/>
              </w:rPr>
              <w:t>$</w:t>
            </w:r>
          </w:p>
        </w:tc>
        <w:tc>
          <w:tcPr>
            <w:tcW w:w="840" w:type="dxa"/>
            <w:vAlign w:val="bottom"/>
          </w:tcPr>
          <w:p>
            <w:pPr>
              <w:jc w:val="right"/>
              <w:ind w:right="6"/>
              <w:spacing w:after="0"/>
              <w:rPr>
                <w:sz w:val="20"/>
                <w:szCs w:val="20"/>
                <w:color w:val="auto"/>
              </w:rPr>
            </w:pPr>
            <w:r>
              <w:rPr>
                <w:rFonts w:ascii="Verdana" w:cs="Verdana" w:eastAsia="Verdana" w:hAnsi="Verdana"/>
                <w:sz w:val="16"/>
                <w:szCs w:val="16"/>
                <w:color w:val="auto"/>
              </w:rPr>
              <w:t>59.21</w:t>
            </w:r>
          </w:p>
        </w:tc>
        <w:tc>
          <w:tcPr>
            <w:tcW w:w="1060" w:type="dxa"/>
            <w:vAlign w:val="bottom"/>
            <w:gridSpan w:val="2"/>
          </w:tcPr>
          <w:p>
            <w:pPr>
              <w:jc w:val="right"/>
              <w:ind w:right="6"/>
              <w:spacing w:after="0"/>
              <w:rPr>
                <w:sz w:val="20"/>
                <w:szCs w:val="20"/>
                <w:color w:val="auto"/>
              </w:rPr>
            </w:pPr>
            <w:r>
              <w:rPr>
                <w:rFonts w:ascii="Verdana" w:cs="Verdana" w:eastAsia="Verdana" w:hAnsi="Verdana"/>
                <w:sz w:val="16"/>
                <w:szCs w:val="16"/>
                <w:color w:val="auto"/>
              </w:rPr>
              <w:t>501</w:t>
            </w:r>
          </w:p>
        </w:tc>
        <w:tc>
          <w:tcPr>
            <w:tcW w:w="240" w:type="dxa"/>
            <w:vAlign w:val="bottom"/>
          </w:tcPr>
          <w:p>
            <w:pPr>
              <w:jc w:val="right"/>
              <w:spacing w:after="0"/>
              <w:rPr>
                <w:sz w:val="20"/>
                <w:szCs w:val="20"/>
                <w:color w:val="auto"/>
              </w:rPr>
            </w:pPr>
            <w:r>
              <w:rPr>
                <w:rFonts w:ascii="Verdana" w:cs="Verdana" w:eastAsia="Verdana" w:hAnsi="Verdana"/>
                <w:sz w:val="16"/>
                <w:szCs w:val="16"/>
                <w:color w:val="auto"/>
              </w:rPr>
              <w:t>$</w:t>
            </w:r>
          </w:p>
        </w:tc>
        <w:tc>
          <w:tcPr>
            <w:tcW w:w="820" w:type="dxa"/>
            <w:vAlign w:val="bottom"/>
          </w:tcPr>
          <w:p>
            <w:pPr>
              <w:jc w:val="right"/>
              <w:ind w:right="6"/>
              <w:spacing w:after="0"/>
              <w:rPr>
                <w:sz w:val="20"/>
                <w:szCs w:val="20"/>
                <w:color w:val="auto"/>
              </w:rPr>
            </w:pPr>
            <w:r>
              <w:rPr>
                <w:rFonts w:ascii="Verdana" w:cs="Verdana" w:eastAsia="Verdana" w:hAnsi="Verdana"/>
                <w:sz w:val="16"/>
                <w:szCs w:val="16"/>
                <w:color w:val="auto"/>
              </w:rPr>
              <w:t>70.65</w:t>
            </w:r>
          </w:p>
        </w:tc>
      </w:tr>
      <w:tr>
        <w:trPr>
          <w:trHeight w:val="235"/>
        </w:trPr>
        <w:tc>
          <w:tcPr>
            <w:tcW w:w="2920" w:type="dxa"/>
            <w:vAlign w:val="bottom"/>
          </w:tcPr>
          <w:p>
            <w:pPr>
              <w:ind w:left="40"/>
              <w:spacing w:after="0"/>
              <w:rPr>
                <w:sz w:val="20"/>
                <w:szCs w:val="20"/>
                <w:color w:val="auto"/>
              </w:rPr>
            </w:pPr>
            <w:r>
              <w:rPr>
                <w:rFonts w:ascii="Verdana" w:cs="Verdana" w:eastAsia="Verdana" w:hAnsi="Verdana"/>
                <w:sz w:val="16"/>
                <w:szCs w:val="16"/>
                <w:color w:val="auto"/>
              </w:rPr>
              <w:t>Granted</w:t>
            </w:r>
          </w:p>
        </w:tc>
        <w:tc>
          <w:tcPr>
            <w:tcW w:w="980" w:type="dxa"/>
            <w:vAlign w:val="bottom"/>
          </w:tcPr>
          <w:p>
            <w:pPr>
              <w:jc w:val="right"/>
              <w:ind w:right="5"/>
              <w:spacing w:after="0"/>
              <w:rPr>
                <w:sz w:val="20"/>
                <w:szCs w:val="20"/>
                <w:color w:val="auto"/>
              </w:rPr>
            </w:pPr>
            <w:r>
              <w:rPr>
                <w:rFonts w:ascii="Verdana" w:cs="Verdana" w:eastAsia="Verdana" w:hAnsi="Verdana"/>
                <w:sz w:val="16"/>
                <w:szCs w:val="16"/>
                <w:color w:val="214E93"/>
              </w:rPr>
              <w:t>380</w:t>
            </w:r>
          </w:p>
        </w:tc>
        <w:tc>
          <w:tcPr>
            <w:tcW w:w="24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840" w:type="dxa"/>
            <w:vAlign w:val="bottom"/>
          </w:tcPr>
          <w:p>
            <w:pPr>
              <w:jc w:val="right"/>
              <w:ind w:right="26"/>
              <w:spacing w:after="0"/>
              <w:rPr>
                <w:sz w:val="20"/>
                <w:szCs w:val="20"/>
                <w:color w:val="auto"/>
              </w:rPr>
            </w:pPr>
            <w:r>
              <w:rPr>
                <w:rFonts w:ascii="Verdana" w:cs="Verdana" w:eastAsia="Verdana" w:hAnsi="Verdana"/>
                <w:sz w:val="16"/>
                <w:szCs w:val="16"/>
                <w:color w:val="214E93"/>
              </w:rPr>
              <w:t>51.58</w:t>
            </w:r>
          </w:p>
        </w:tc>
        <w:tc>
          <w:tcPr>
            <w:tcW w:w="1060" w:type="dxa"/>
            <w:vAlign w:val="bottom"/>
            <w:gridSpan w:val="2"/>
          </w:tcPr>
          <w:p>
            <w:pPr>
              <w:jc w:val="right"/>
              <w:ind w:right="26"/>
              <w:spacing w:after="0"/>
              <w:rPr>
                <w:sz w:val="20"/>
                <w:szCs w:val="20"/>
                <w:color w:val="auto"/>
              </w:rPr>
            </w:pPr>
            <w:r>
              <w:rPr>
                <w:rFonts w:ascii="Verdana" w:cs="Verdana" w:eastAsia="Verdana" w:hAnsi="Verdana"/>
                <w:sz w:val="16"/>
                <w:szCs w:val="16"/>
                <w:color w:val="214E93"/>
              </w:rPr>
              <w:t>38</w:t>
            </w:r>
          </w:p>
        </w:tc>
        <w:tc>
          <w:tcPr>
            <w:tcW w:w="22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840" w:type="dxa"/>
            <w:vAlign w:val="bottom"/>
          </w:tcPr>
          <w:p>
            <w:pPr>
              <w:jc w:val="right"/>
              <w:ind w:right="6"/>
              <w:spacing w:after="0"/>
              <w:rPr>
                <w:sz w:val="20"/>
                <w:szCs w:val="20"/>
                <w:color w:val="auto"/>
              </w:rPr>
            </w:pPr>
            <w:r>
              <w:rPr>
                <w:rFonts w:ascii="Verdana" w:cs="Verdana" w:eastAsia="Verdana" w:hAnsi="Verdana"/>
                <w:sz w:val="16"/>
                <w:szCs w:val="16"/>
                <w:color w:val="214E93"/>
              </w:rPr>
              <w:t>49.42</w:t>
            </w:r>
          </w:p>
        </w:tc>
        <w:tc>
          <w:tcPr>
            <w:tcW w:w="1060" w:type="dxa"/>
            <w:vAlign w:val="bottom"/>
            <w:gridSpan w:val="2"/>
          </w:tcPr>
          <w:p>
            <w:pPr>
              <w:jc w:val="right"/>
              <w:ind w:right="6"/>
              <w:spacing w:after="0"/>
              <w:rPr>
                <w:sz w:val="20"/>
                <w:szCs w:val="20"/>
                <w:color w:val="auto"/>
              </w:rPr>
            </w:pPr>
            <w:r>
              <w:rPr>
                <w:rFonts w:ascii="Verdana" w:cs="Verdana" w:eastAsia="Verdana" w:hAnsi="Verdana"/>
                <w:sz w:val="16"/>
                <w:szCs w:val="16"/>
                <w:color w:val="214E93"/>
              </w:rPr>
              <w:t>363</w:t>
            </w:r>
          </w:p>
        </w:tc>
        <w:tc>
          <w:tcPr>
            <w:tcW w:w="24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820" w:type="dxa"/>
            <w:vAlign w:val="bottom"/>
          </w:tcPr>
          <w:p>
            <w:pPr>
              <w:jc w:val="right"/>
              <w:ind w:right="6"/>
              <w:spacing w:after="0"/>
              <w:rPr>
                <w:sz w:val="20"/>
                <w:szCs w:val="20"/>
                <w:color w:val="auto"/>
              </w:rPr>
            </w:pPr>
            <w:r>
              <w:rPr>
                <w:rFonts w:ascii="Verdana" w:cs="Verdana" w:eastAsia="Verdana" w:hAnsi="Verdana"/>
                <w:sz w:val="16"/>
                <w:szCs w:val="16"/>
                <w:color w:val="214E93"/>
              </w:rPr>
              <w:t>62.41</w:t>
            </w:r>
          </w:p>
        </w:tc>
      </w:tr>
      <w:tr>
        <w:trPr>
          <w:trHeight w:val="259"/>
        </w:trPr>
        <w:tc>
          <w:tcPr>
            <w:tcW w:w="2920" w:type="dxa"/>
            <w:vAlign w:val="bottom"/>
          </w:tcPr>
          <w:p>
            <w:pPr>
              <w:ind w:left="40"/>
              <w:spacing w:after="0"/>
              <w:rPr>
                <w:sz w:val="20"/>
                <w:szCs w:val="20"/>
                <w:color w:val="auto"/>
              </w:rPr>
            </w:pPr>
            <w:r>
              <w:rPr>
                <w:rFonts w:ascii="Verdana" w:cs="Verdana" w:eastAsia="Verdana" w:hAnsi="Verdana"/>
                <w:sz w:val="16"/>
                <w:szCs w:val="16"/>
                <w:color w:val="auto"/>
              </w:rPr>
              <w:t>Vested</w:t>
            </w:r>
            <w:r>
              <w:rPr>
                <w:rFonts w:ascii="Verdana" w:cs="Verdana" w:eastAsia="Verdana" w:hAnsi="Verdana"/>
                <w:sz w:val="20"/>
                <w:szCs w:val="20"/>
                <w:color w:val="auto"/>
                <w:vertAlign w:val="superscript"/>
              </w:rPr>
              <w:t>(1)</w:t>
            </w:r>
          </w:p>
        </w:tc>
        <w:tc>
          <w:tcPr>
            <w:tcW w:w="980" w:type="dxa"/>
            <w:vAlign w:val="bottom"/>
          </w:tcPr>
          <w:p>
            <w:pPr>
              <w:jc w:val="right"/>
              <w:spacing w:after="0"/>
              <w:rPr>
                <w:sz w:val="20"/>
                <w:szCs w:val="20"/>
                <w:color w:val="auto"/>
              </w:rPr>
            </w:pPr>
            <w:r>
              <w:rPr>
                <w:rFonts w:ascii="Verdana" w:cs="Verdana" w:eastAsia="Verdana" w:hAnsi="Verdana"/>
                <w:sz w:val="16"/>
                <w:szCs w:val="16"/>
                <w:color w:val="214E93"/>
              </w:rPr>
              <w:t>(196)</w:t>
            </w:r>
          </w:p>
        </w:tc>
        <w:tc>
          <w:tcPr>
            <w:tcW w:w="24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840" w:type="dxa"/>
            <w:vAlign w:val="bottom"/>
          </w:tcPr>
          <w:p>
            <w:pPr>
              <w:jc w:val="right"/>
              <w:ind w:right="26"/>
              <w:spacing w:after="0"/>
              <w:rPr>
                <w:sz w:val="20"/>
                <w:szCs w:val="20"/>
                <w:color w:val="auto"/>
              </w:rPr>
            </w:pPr>
            <w:r>
              <w:rPr>
                <w:rFonts w:ascii="Verdana" w:cs="Verdana" w:eastAsia="Verdana" w:hAnsi="Verdana"/>
                <w:sz w:val="16"/>
                <w:szCs w:val="16"/>
                <w:color w:val="214E93"/>
              </w:rPr>
              <w:t>51.30</w:t>
            </w:r>
          </w:p>
        </w:tc>
        <w:tc>
          <w:tcPr>
            <w:tcW w:w="1060" w:type="dxa"/>
            <w:vAlign w:val="bottom"/>
            <w:gridSpan w:val="2"/>
          </w:tcPr>
          <w:p>
            <w:pPr>
              <w:jc w:val="right"/>
              <w:spacing w:after="0"/>
              <w:rPr>
                <w:sz w:val="20"/>
                <w:szCs w:val="20"/>
                <w:color w:val="auto"/>
              </w:rPr>
            </w:pPr>
            <w:r>
              <w:rPr>
                <w:rFonts w:ascii="Verdana" w:cs="Verdana" w:eastAsia="Verdana" w:hAnsi="Verdana"/>
                <w:sz w:val="16"/>
                <w:szCs w:val="16"/>
                <w:color w:val="214E93"/>
              </w:rPr>
              <w:t>(24)</w:t>
            </w:r>
          </w:p>
        </w:tc>
        <w:tc>
          <w:tcPr>
            <w:tcW w:w="22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840" w:type="dxa"/>
            <w:vAlign w:val="bottom"/>
          </w:tcPr>
          <w:p>
            <w:pPr>
              <w:jc w:val="right"/>
              <w:ind w:right="6"/>
              <w:spacing w:after="0"/>
              <w:rPr>
                <w:sz w:val="20"/>
                <w:szCs w:val="20"/>
                <w:color w:val="auto"/>
              </w:rPr>
            </w:pPr>
            <w:r>
              <w:rPr>
                <w:rFonts w:ascii="Verdana" w:cs="Verdana" w:eastAsia="Verdana" w:hAnsi="Verdana"/>
                <w:sz w:val="16"/>
                <w:szCs w:val="16"/>
                <w:color w:val="214E93"/>
              </w:rPr>
              <w:t>59.31</w:t>
            </w:r>
          </w:p>
        </w:tc>
        <w:tc>
          <w:tcPr>
            <w:tcW w:w="1060" w:type="dxa"/>
            <w:vAlign w:val="bottom"/>
            <w:gridSpan w:val="2"/>
          </w:tcPr>
          <w:p>
            <w:pPr>
              <w:jc w:val="right"/>
              <w:spacing w:after="0"/>
              <w:rPr>
                <w:sz w:val="20"/>
                <w:szCs w:val="20"/>
                <w:color w:val="auto"/>
              </w:rPr>
            </w:pPr>
            <w:r>
              <w:rPr>
                <w:rFonts w:ascii="Verdana" w:cs="Verdana" w:eastAsia="Verdana" w:hAnsi="Verdana"/>
                <w:sz w:val="16"/>
                <w:szCs w:val="16"/>
                <w:color w:val="214E93"/>
              </w:rPr>
              <w:t>(179)</w:t>
            </w:r>
          </w:p>
        </w:tc>
        <w:tc>
          <w:tcPr>
            <w:tcW w:w="24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820" w:type="dxa"/>
            <w:vAlign w:val="bottom"/>
          </w:tcPr>
          <w:p>
            <w:pPr>
              <w:jc w:val="right"/>
              <w:ind w:right="6"/>
              <w:spacing w:after="0"/>
              <w:rPr>
                <w:sz w:val="20"/>
                <w:szCs w:val="20"/>
                <w:color w:val="auto"/>
              </w:rPr>
            </w:pPr>
            <w:r>
              <w:rPr>
                <w:rFonts w:ascii="Verdana" w:cs="Verdana" w:eastAsia="Verdana" w:hAnsi="Verdana"/>
                <w:sz w:val="16"/>
                <w:szCs w:val="16"/>
                <w:color w:val="214E93"/>
              </w:rPr>
              <w:t>65.49</w:t>
            </w:r>
          </w:p>
        </w:tc>
      </w:tr>
      <w:tr>
        <w:trPr>
          <w:trHeight w:val="215"/>
        </w:trPr>
        <w:tc>
          <w:tcPr>
            <w:tcW w:w="2920" w:type="dxa"/>
            <w:vAlign w:val="bottom"/>
          </w:tcPr>
          <w:p>
            <w:pPr>
              <w:ind w:left="40"/>
              <w:spacing w:after="0"/>
              <w:rPr>
                <w:sz w:val="20"/>
                <w:szCs w:val="20"/>
                <w:color w:val="auto"/>
              </w:rPr>
            </w:pPr>
            <w:r>
              <w:rPr>
                <w:rFonts w:ascii="Verdana" w:cs="Verdana" w:eastAsia="Verdana" w:hAnsi="Verdana"/>
                <w:sz w:val="16"/>
                <w:szCs w:val="16"/>
                <w:color w:val="auto"/>
              </w:rPr>
              <w:t>Forfeited</w:t>
            </w: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214E93"/>
              </w:rPr>
              <w:t>(55)</w:t>
            </w:r>
          </w:p>
        </w:tc>
        <w:tc>
          <w:tcPr>
            <w:tcW w:w="24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840" w:type="dxa"/>
            <w:vAlign w:val="bottom"/>
          </w:tcPr>
          <w:p>
            <w:pPr>
              <w:jc w:val="right"/>
              <w:ind w:right="26"/>
              <w:spacing w:after="0"/>
              <w:rPr>
                <w:sz w:val="20"/>
                <w:szCs w:val="20"/>
                <w:color w:val="auto"/>
              </w:rPr>
            </w:pPr>
            <w:r>
              <w:rPr>
                <w:rFonts w:ascii="Verdana" w:cs="Verdana" w:eastAsia="Verdana" w:hAnsi="Verdana"/>
                <w:sz w:val="16"/>
                <w:szCs w:val="16"/>
                <w:color w:val="214E93"/>
              </w:rPr>
              <w:t>50.88</w:t>
            </w:r>
          </w:p>
        </w:tc>
        <w:tc>
          <w:tcPr>
            <w:tcW w:w="60" w:type="dxa"/>
            <w:vAlign w:val="bottom"/>
          </w:tcPr>
          <w:p>
            <w:pPr>
              <w:spacing w:after="0"/>
              <w:rPr>
                <w:sz w:val="18"/>
                <w:szCs w:val="18"/>
                <w:color w:val="auto"/>
              </w:rPr>
            </w:pPr>
          </w:p>
        </w:tc>
        <w:tc>
          <w:tcPr>
            <w:tcW w:w="1000" w:type="dxa"/>
            <w:vAlign w:val="bottom"/>
            <w:tcBorders>
              <w:bottom w:val="single" w:sz="8" w:color="auto"/>
            </w:tcBorders>
          </w:tcPr>
          <w:p>
            <w:pPr>
              <w:jc w:val="right"/>
              <w:ind w:right="26"/>
              <w:spacing w:after="0"/>
              <w:rPr>
                <w:sz w:val="20"/>
                <w:szCs w:val="20"/>
                <w:color w:val="auto"/>
              </w:rPr>
            </w:pPr>
            <w:r>
              <w:rPr>
                <w:rFonts w:ascii="Verdana" w:cs="Verdana" w:eastAsia="Verdana" w:hAnsi="Verdana"/>
                <w:sz w:val="16"/>
                <w:szCs w:val="16"/>
                <w:color w:val="214E93"/>
              </w:rPr>
              <w:t>—</w:t>
            </w:r>
          </w:p>
        </w:tc>
        <w:tc>
          <w:tcPr>
            <w:tcW w:w="22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840" w:type="dxa"/>
            <w:vAlign w:val="bottom"/>
          </w:tcPr>
          <w:p>
            <w:pPr>
              <w:jc w:val="right"/>
              <w:ind w:right="6"/>
              <w:spacing w:after="0"/>
              <w:rPr>
                <w:sz w:val="20"/>
                <w:szCs w:val="20"/>
                <w:color w:val="auto"/>
              </w:rPr>
            </w:pPr>
            <w:r>
              <w:rPr>
                <w:rFonts w:ascii="Verdana" w:cs="Verdana" w:eastAsia="Verdana" w:hAnsi="Verdana"/>
                <w:sz w:val="16"/>
                <w:szCs w:val="16"/>
                <w:color w:val="214E93"/>
              </w:rPr>
              <w:t>—</w:t>
            </w:r>
          </w:p>
        </w:tc>
        <w:tc>
          <w:tcPr>
            <w:tcW w:w="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214E93"/>
              </w:rPr>
              <w:t>(55)</w:t>
            </w:r>
          </w:p>
        </w:tc>
        <w:tc>
          <w:tcPr>
            <w:tcW w:w="24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820" w:type="dxa"/>
            <w:vAlign w:val="bottom"/>
          </w:tcPr>
          <w:p>
            <w:pPr>
              <w:jc w:val="right"/>
              <w:ind w:right="6"/>
              <w:spacing w:after="0"/>
              <w:rPr>
                <w:sz w:val="20"/>
                <w:szCs w:val="20"/>
                <w:color w:val="auto"/>
              </w:rPr>
            </w:pPr>
            <w:r>
              <w:rPr>
                <w:rFonts w:ascii="Verdana" w:cs="Verdana" w:eastAsia="Verdana" w:hAnsi="Verdana"/>
                <w:sz w:val="16"/>
                <w:szCs w:val="16"/>
                <w:color w:val="214E93"/>
              </w:rPr>
              <w:t>66.32</w:t>
            </w:r>
          </w:p>
        </w:tc>
      </w:tr>
      <w:tr>
        <w:trPr>
          <w:trHeight w:val="221"/>
        </w:trPr>
        <w:tc>
          <w:tcPr>
            <w:tcW w:w="2920" w:type="dxa"/>
            <w:vAlign w:val="bottom"/>
          </w:tcPr>
          <w:p>
            <w:pPr>
              <w:ind w:left="40"/>
              <w:spacing w:after="0"/>
              <w:rPr>
                <w:sz w:val="20"/>
                <w:szCs w:val="20"/>
                <w:color w:val="auto"/>
              </w:rPr>
            </w:pPr>
            <w:r>
              <w:rPr>
                <w:rFonts w:ascii="Verdana" w:cs="Verdana" w:eastAsia="Verdana" w:hAnsi="Verdana"/>
                <w:sz w:val="16"/>
                <w:szCs w:val="16"/>
                <w:color w:val="auto"/>
              </w:rPr>
              <w:t>Non-vested at December 31, 2025</w:t>
            </w:r>
          </w:p>
        </w:tc>
        <w:tc>
          <w:tcPr>
            <w:tcW w:w="980" w:type="dxa"/>
            <w:vAlign w:val="bottom"/>
            <w:tcBorders>
              <w:bottom w:val="single" w:sz="8" w:color="214E93"/>
            </w:tcBorders>
          </w:tcPr>
          <w:p>
            <w:pPr>
              <w:jc w:val="right"/>
              <w:ind w:right="5"/>
              <w:spacing w:after="0"/>
              <w:rPr>
                <w:sz w:val="20"/>
                <w:szCs w:val="20"/>
                <w:color w:val="auto"/>
              </w:rPr>
            </w:pPr>
            <w:r>
              <w:rPr>
                <w:rFonts w:ascii="Verdana" w:cs="Verdana" w:eastAsia="Verdana" w:hAnsi="Verdana"/>
                <w:sz w:val="16"/>
                <w:szCs w:val="16"/>
                <w:color w:val="214E93"/>
              </w:rPr>
              <w:t>830</w:t>
            </w:r>
          </w:p>
        </w:tc>
        <w:tc>
          <w:tcPr>
            <w:tcW w:w="24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840" w:type="dxa"/>
            <w:vAlign w:val="bottom"/>
          </w:tcPr>
          <w:p>
            <w:pPr>
              <w:jc w:val="right"/>
              <w:ind w:right="26"/>
              <w:spacing w:after="0"/>
              <w:rPr>
                <w:sz w:val="20"/>
                <w:szCs w:val="20"/>
                <w:color w:val="auto"/>
              </w:rPr>
            </w:pPr>
            <w:r>
              <w:rPr>
                <w:rFonts w:ascii="Verdana" w:cs="Verdana" w:eastAsia="Verdana" w:hAnsi="Verdana"/>
                <w:sz w:val="16"/>
                <w:szCs w:val="16"/>
                <w:color w:val="214E93"/>
              </w:rPr>
              <w:t>51.42</w:t>
            </w:r>
          </w:p>
        </w:tc>
        <w:tc>
          <w:tcPr>
            <w:tcW w:w="60" w:type="dxa"/>
            <w:vAlign w:val="bottom"/>
          </w:tcPr>
          <w:p>
            <w:pPr>
              <w:spacing w:after="0"/>
              <w:rPr>
                <w:sz w:val="19"/>
                <w:szCs w:val="19"/>
                <w:color w:val="auto"/>
              </w:rPr>
            </w:pPr>
          </w:p>
        </w:tc>
        <w:tc>
          <w:tcPr>
            <w:tcW w:w="1000" w:type="dxa"/>
            <w:vAlign w:val="bottom"/>
            <w:tcBorders>
              <w:bottom w:val="single" w:sz="8" w:color="214E93"/>
            </w:tcBorders>
          </w:tcPr>
          <w:p>
            <w:pPr>
              <w:jc w:val="right"/>
              <w:ind w:right="26"/>
              <w:spacing w:after="0"/>
              <w:rPr>
                <w:sz w:val="20"/>
                <w:szCs w:val="20"/>
                <w:color w:val="auto"/>
              </w:rPr>
            </w:pPr>
            <w:r>
              <w:rPr>
                <w:rFonts w:ascii="Verdana" w:cs="Verdana" w:eastAsia="Verdana" w:hAnsi="Verdana"/>
                <w:sz w:val="16"/>
                <w:szCs w:val="16"/>
                <w:color w:val="214E93"/>
              </w:rPr>
              <w:t>37</w:t>
            </w:r>
          </w:p>
        </w:tc>
        <w:tc>
          <w:tcPr>
            <w:tcW w:w="22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840" w:type="dxa"/>
            <w:vAlign w:val="bottom"/>
          </w:tcPr>
          <w:p>
            <w:pPr>
              <w:jc w:val="right"/>
              <w:ind w:right="6"/>
              <w:spacing w:after="0"/>
              <w:rPr>
                <w:sz w:val="20"/>
                <w:szCs w:val="20"/>
                <w:color w:val="auto"/>
              </w:rPr>
            </w:pPr>
            <w:r>
              <w:rPr>
                <w:rFonts w:ascii="Verdana" w:cs="Verdana" w:eastAsia="Verdana" w:hAnsi="Verdana"/>
                <w:sz w:val="16"/>
                <w:szCs w:val="16"/>
                <w:color w:val="214E93"/>
              </w:rPr>
              <w:t>49.02</w:t>
            </w:r>
          </w:p>
        </w:tc>
        <w:tc>
          <w:tcPr>
            <w:tcW w:w="80" w:type="dxa"/>
            <w:vAlign w:val="bottom"/>
          </w:tcPr>
          <w:p>
            <w:pPr>
              <w:spacing w:after="0"/>
              <w:rPr>
                <w:sz w:val="19"/>
                <w:szCs w:val="19"/>
                <w:color w:val="auto"/>
              </w:rPr>
            </w:pPr>
          </w:p>
        </w:tc>
        <w:tc>
          <w:tcPr>
            <w:tcW w:w="980" w:type="dxa"/>
            <w:vAlign w:val="bottom"/>
            <w:tcBorders>
              <w:bottom w:val="single" w:sz="8" w:color="214E93"/>
            </w:tcBorders>
          </w:tcPr>
          <w:p>
            <w:pPr>
              <w:jc w:val="right"/>
              <w:ind w:right="6"/>
              <w:spacing w:after="0"/>
              <w:rPr>
                <w:sz w:val="20"/>
                <w:szCs w:val="20"/>
                <w:color w:val="auto"/>
              </w:rPr>
            </w:pPr>
            <w:r>
              <w:rPr>
                <w:rFonts w:ascii="Verdana" w:cs="Verdana" w:eastAsia="Verdana" w:hAnsi="Verdana"/>
                <w:sz w:val="16"/>
                <w:szCs w:val="16"/>
                <w:color w:val="214E93"/>
              </w:rPr>
              <w:t>630</w:t>
            </w:r>
          </w:p>
        </w:tc>
        <w:tc>
          <w:tcPr>
            <w:tcW w:w="24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820" w:type="dxa"/>
            <w:vAlign w:val="bottom"/>
          </w:tcPr>
          <w:p>
            <w:pPr>
              <w:jc w:val="right"/>
              <w:ind w:right="6"/>
              <w:spacing w:after="0"/>
              <w:rPr>
                <w:sz w:val="20"/>
                <w:szCs w:val="20"/>
                <w:color w:val="auto"/>
              </w:rPr>
            </w:pPr>
            <w:r>
              <w:rPr>
                <w:rFonts w:ascii="Verdana" w:cs="Verdana" w:eastAsia="Verdana" w:hAnsi="Verdana"/>
                <w:sz w:val="16"/>
                <w:szCs w:val="16"/>
                <w:color w:val="214E93"/>
              </w:rPr>
              <w:t>67.85</w:t>
            </w:r>
          </w:p>
        </w:tc>
      </w:tr>
    </w:tbl>
    <w:p>
      <w:pPr>
        <w:spacing w:after="0" w:line="20" w:lineRule="exact"/>
        <w:rPr>
          <w:sz w:val="20"/>
          <w:szCs w:val="20"/>
          <w:color w:val="auto"/>
        </w:rPr>
      </w:pPr>
    </w:p>
    <w:p>
      <w:pPr>
        <w:spacing w:after="0" w:line="121" w:lineRule="exact"/>
        <w:rPr>
          <w:sz w:val="20"/>
          <w:szCs w:val="20"/>
          <w:color w:val="auto"/>
        </w:rPr>
      </w:pPr>
    </w:p>
    <w:p>
      <w:pPr>
        <w:ind w:left="520" w:right="960" w:hanging="346"/>
        <w:spacing w:after="0" w:line="226" w:lineRule="auto"/>
        <w:tabs>
          <w:tab w:leader="none" w:pos="520" w:val="left"/>
        </w:tabs>
        <w:numPr>
          <w:ilvl w:val="0"/>
          <w:numId w:val="96"/>
        </w:numPr>
        <w:rPr>
          <w:rFonts w:ascii="Calibri" w:cs="Calibri" w:eastAsia="Calibri" w:hAnsi="Calibri"/>
          <w:sz w:val="14"/>
          <w:szCs w:val="14"/>
          <w:color w:val="auto"/>
        </w:rPr>
      </w:pPr>
      <w:r>
        <w:rPr>
          <w:rFonts w:ascii="Calibri" w:cs="Calibri" w:eastAsia="Calibri" w:hAnsi="Calibri"/>
          <w:sz w:val="14"/>
          <w:szCs w:val="14"/>
          <w:color w:val="auto"/>
        </w:rPr>
        <w:t>On January 6, 2026 upon certification by the Board, 106,500 of the performance-based awards that were granted in 2023 vested. The vested units earned 58% for each vested award representing 61,770 aggregate shares of common stock, which were issued on January 6, 2026.</w:t>
      </w:r>
    </w:p>
    <w:p>
      <w:pPr>
        <w:sectPr>
          <w:pgSz w:w="11880" w:h="15480" w:orient="portrait"/>
          <w:cols w:equalWidth="0" w:num="1">
            <w:col w:w="10340"/>
          </w:cols>
          <w:pgMar w:left="1160" w:top="498"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900"/>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0340"/>
          </w:cols>
          <w:pgMar w:left="1160" w:top="498" w:right="380" w:bottom="0" w:gutter="0" w:footer="0" w:header="0"/>
          <w:type w:val="continuous"/>
        </w:sectPr>
      </w:pPr>
    </w:p>
    <w:bookmarkStart w:id="163" w:name="page164"/>
    <w:bookmarkEnd w:id="163"/>
    <w:p>
      <w:pPr>
        <w:spacing w:after="0"/>
        <w:tabs>
          <w:tab w:leader="none" w:pos="800" w:val="left"/>
        </w:tabs>
        <w:rPr>
          <w:sz w:val="20"/>
          <w:szCs w:val="20"/>
          <w:color w:val="auto"/>
        </w:rPr>
      </w:pPr>
      <w:r>
        <w:rPr>
          <w:rFonts w:ascii="Calibri" w:cs="Calibri" w:eastAsia="Calibri" w:hAnsi="Calibri"/>
          <w:sz w:val="18"/>
          <w:szCs w:val="18"/>
          <w:color w:val="auto"/>
        </w:rPr>
        <w:t>F-33</w:t>
      </w:r>
      <w:r>
        <w:rPr>
          <w:sz w:val="20"/>
          <w:szCs w:val="20"/>
          <w:color w:val="auto"/>
        </w:rPr>
        <w:tab/>
      </w:r>
      <w:r>
        <w:rPr>
          <w:rFonts w:ascii="Calibri" w:cs="Calibri" w:eastAsia="Calibri" w:hAnsi="Calibri"/>
          <w:sz w:val="17"/>
          <w:szCs w:val="17"/>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490220</wp:posOffset>
                </wp:positionH>
                <wp:positionV relativeFrom="paragraph">
                  <wp:posOffset>320675</wp:posOffset>
                </wp:positionV>
                <wp:extent cx="6812280" cy="0"/>
                <wp:wrapNone/>
                <wp:docPr id="323" name="Shape 3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23" o:spid="_x0000_s13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25.25pt" to="57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490220</wp:posOffset>
                </wp:positionH>
                <wp:positionV relativeFrom="paragraph">
                  <wp:posOffset>320675</wp:posOffset>
                </wp:positionV>
                <wp:extent cx="6812280" cy="0"/>
                <wp:wrapNone/>
                <wp:docPr id="324" name="Shape 3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24" o:spid="_x0000_s13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25.25pt" to="57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80"/>
        <w:spacing w:after="0"/>
        <w:rPr>
          <w:sz w:val="20"/>
          <w:szCs w:val="20"/>
          <w:color w:val="auto"/>
        </w:rPr>
      </w:pPr>
      <w:r>
        <w:rPr>
          <w:rFonts w:ascii="Verdana" w:cs="Verdana" w:eastAsia="Verdana" w:hAnsi="Verdana"/>
          <w:sz w:val="20"/>
          <w:szCs w:val="20"/>
          <w:color w:val="214E93"/>
        </w:rPr>
        <w:t>NOTE 9 — STOCK-BASED COMPENSATION — Continued</w:t>
      </w:r>
    </w:p>
    <w:p>
      <w:pPr>
        <w:spacing w:after="0" w:line="196" w:lineRule="exact"/>
        <w:rPr>
          <w:sz w:val="20"/>
          <w:szCs w:val="20"/>
          <w:color w:val="auto"/>
        </w:rPr>
      </w:pPr>
    </w:p>
    <w:p>
      <w:pPr>
        <w:ind w:left="780"/>
        <w:spacing w:after="0"/>
        <w:rPr>
          <w:sz w:val="20"/>
          <w:szCs w:val="20"/>
          <w:color w:val="auto"/>
        </w:rPr>
      </w:pPr>
      <w:r>
        <w:rPr>
          <w:rFonts w:ascii="Calibri" w:cs="Calibri" w:eastAsia="Calibri" w:hAnsi="Calibri"/>
          <w:sz w:val="19"/>
          <w:szCs w:val="19"/>
          <w:i w:val="1"/>
          <w:iCs w:val="1"/>
          <w:color w:val="214E93"/>
        </w:rPr>
        <w:t>Liability-Based</w:t>
      </w:r>
    </w:p>
    <w:p>
      <w:pPr>
        <w:spacing w:after="0" w:line="191" w:lineRule="exact"/>
        <w:rPr>
          <w:sz w:val="20"/>
          <w:szCs w:val="20"/>
          <w:color w:val="auto"/>
        </w:rPr>
      </w:pPr>
    </w:p>
    <w:p>
      <w:pPr>
        <w:ind w:left="1020"/>
        <w:spacing w:after="0"/>
        <w:rPr>
          <w:sz w:val="20"/>
          <w:szCs w:val="20"/>
          <w:color w:val="auto"/>
        </w:rPr>
      </w:pPr>
      <w:r>
        <w:rPr>
          <w:rFonts w:ascii="Calibri" w:cs="Calibri" w:eastAsia="Calibri" w:hAnsi="Calibri"/>
          <w:sz w:val="18"/>
          <w:szCs w:val="18"/>
          <w:color w:val="auto"/>
        </w:rPr>
        <w:t>A summary of the non-vested liability-based restricted stock units as of December 31, 2025 is presented below (in thousands).</w:t>
      </w:r>
    </w:p>
    <w:p>
      <w:pPr>
        <w:spacing w:after="0" w:line="198" w:lineRule="exact"/>
        <w:rPr>
          <w:sz w:val="20"/>
          <w:szCs w:val="20"/>
          <w:color w:val="auto"/>
        </w:rPr>
      </w:pPr>
    </w:p>
    <w:tbl>
      <w:tblPr>
        <w:tblLayout w:type="fixed"/>
        <w:tblInd w:w="780" w:type="dxa"/>
        <w:tblCellMar>
          <w:top w:w="0" w:type="dxa"/>
          <w:left w:w="0" w:type="dxa"/>
          <w:bottom w:w="0" w:type="dxa"/>
          <w:right w:w="0" w:type="dxa"/>
        </w:tblCellMar>
      </w:tblPr>
      <w:tr>
        <w:trPr>
          <w:trHeight w:val="193"/>
        </w:trPr>
        <w:tc>
          <w:tcPr>
            <w:tcW w:w="5820" w:type="dxa"/>
            <w:vAlign w:val="bottom"/>
            <w:tcBorders>
              <w:bottom w:val="single" w:sz="8" w:color="214E93"/>
            </w:tcBorders>
          </w:tcPr>
          <w:p>
            <w:pPr>
              <w:ind w:left="40"/>
              <w:spacing w:after="0"/>
              <w:rPr>
                <w:sz w:val="20"/>
                <w:szCs w:val="20"/>
                <w:color w:val="auto"/>
              </w:rPr>
            </w:pPr>
            <w:r>
              <w:rPr>
                <w:rFonts w:ascii="Verdana" w:cs="Verdana" w:eastAsia="Verdana" w:hAnsi="Verdana"/>
                <w:sz w:val="14"/>
                <w:szCs w:val="14"/>
                <w:color w:val="auto"/>
              </w:rPr>
              <w:t>Non-vested restricted stock units</w:t>
            </w:r>
          </w:p>
        </w:tc>
        <w:tc>
          <w:tcPr>
            <w:tcW w:w="3740" w:type="dxa"/>
            <w:vAlign w:val="bottom"/>
            <w:tcBorders>
              <w:bottom w:val="single" w:sz="8" w:color="214E93"/>
            </w:tcBorders>
          </w:tcPr>
          <w:p>
            <w:pPr>
              <w:ind w:left="3020"/>
              <w:spacing w:after="0"/>
              <w:rPr>
                <w:sz w:val="20"/>
                <w:szCs w:val="20"/>
                <w:color w:val="auto"/>
              </w:rPr>
            </w:pPr>
            <w:r>
              <w:rPr>
                <w:rFonts w:ascii="Verdana" w:cs="Verdana" w:eastAsia="Verdana" w:hAnsi="Verdana"/>
                <w:sz w:val="14"/>
                <w:szCs w:val="14"/>
                <w:color w:val="auto"/>
              </w:rPr>
              <w:t>Shares</w:t>
            </w:r>
          </w:p>
        </w:tc>
      </w:tr>
      <w:tr>
        <w:trPr>
          <w:trHeight w:val="211"/>
        </w:trPr>
        <w:tc>
          <w:tcPr>
            <w:tcW w:w="5820" w:type="dxa"/>
            <w:vAlign w:val="bottom"/>
          </w:tcPr>
          <w:p>
            <w:pPr>
              <w:ind w:left="40"/>
              <w:spacing w:after="0"/>
              <w:rPr>
                <w:sz w:val="20"/>
                <w:szCs w:val="20"/>
                <w:color w:val="auto"/>
              </w:rPr>
            </w:pPr>
            <w:r>
              <w:rPr>
                <w:rFonts w:ascii="Verdana" w:cs="Verdana" w:eastAsia="Verdana" w:hAnsi="Verdana"/>
                <w:sz w:val="16"/>
                <w:szCs w:val="16"/>
                <w:color w:val="auto"/>
              </w:rPr>
              <w:t>Non-vested at December 31, 2024</w:t>
            </w:r>
          </w:p>
        </w:tc>
        <w:tc>
          <w:tcPr>
            <w:tcW w:w="3740" w:type="dxa"/>
            <w:vAlign w:val="bottom"/>
          </w:tcPr>
          <w:p>
            <w:pPr>
              <w:jc w:val="center"/>
              <w:ind w:left="2723"/>
              <w:spacing w:after="0"/>
              <w:rPr>
                <w:sz w:val="20"/>
                <w:szCs w:val="20"/>
                <w:color w:val="auto"/>
              </w:rPr>
            </w:pPr>
            <w:r>
              <w:rPr>
                <w:rFonts w:ascii="Verdana" w:cs="Verdana" w:eastAsia="Verdana" w:hAnsi="Verdana"/>
                <w:sz w:val="16"/>
                <w:szCs w:val="16"/>
                <w:color w:val="auto"/>
                <w:w w:val="97"/>
              </w:rPr>
              <w:t>494</w:t>
            </w:r>
          </w:p>
        </w:tc>
      </w:tr>
      <w:tr>
        <w:trPr>
          <w:trHeight w:val="235"/>
        </w:trPr>
        <w:tc>
          <w:tcPr>
            <w:tcW w:w="5820" w:type="dxa"/>
            <w:vAlign w:val="bottom"/>
          </w:tcPr>
          <w:p>
            <w:pPr>
              <w:ind w:left="40"/>
              <w:spacing w:after="0"/>
              <w:rPr>
                <w:sz w:val="20"/>
                <w:szCs w:val="20"/>
                <w:color w:val="auto"/>
              </w:rPr>
            </w:pPr>
            <w:r>
              <w:rPr>
                <w:rFonts w:ascii="Verdana" w:cs="Verdana" w:eastAsia="Verdana" w:hAnsi="Verdana"/>
                <w:sz w:val="16"/>
                <w:szCs w:val="16"/>
                <w:color w:val="auto"/>
              </w:rPr>
              <w:t>Granted</w:t>
            </w:r>
          </w:p>
        </w:tc>
        <w:tc>
          <w:tcPr>
            <w:tcW w:w="3740" w:type="dxa"/>
            <w:vAlign w:val="bottom"/>
          </w:tcPr>
          <w:p>
            <w:pPr>
              <w:jc w:val="center"/>
              <w:ind w:left="2723"/>
              <w:spacing w:after="0"/>
              <w:rPr>
                <w:sz w:val="20"/>
                <w:szCs w:val="20"/>
                <w:color w:val="auto"/>
              </w:rPr>
            </w:pPr>
            <w:r>
              <w:rPr>
                <w:rFonts w:ascii="Verdana" w:cs="Verdana" w:eastAsia="Verdana" w:hAnsi="Verdana"/>
                <w:sz w:val="16"/>
                <w:szCs w:val="16"/>
                <w:color w:val="214E93"/>
                <w:w w:val="97"/>
              </w:rPr>
              <w:t>474</w:t>
            </w:r>
          </w:p>
        </w:tc>
      </w:tr>
      <w:tr>
        <w:trPr>
          <w:trHeight w:val="236"/>
        </w:trPr>
        <w:tc>
          <w:tcPr>
            <w:tcW w:w="5820" w:type="dxa"/>
            <w:vAlign w:val="bottom"/>
          </w:tcPr>
          <w:p>
            <w:pPr>
              <w:ind w:left="40"/>
              <w:spacing w:after="0"/>
              <w:rPr>
                <w:sz w:val="20"/>
                <w:szCs w:val="20"/>
                <w:color w:val="auto"/>
              </w:rPr>
            </w:pPr>
            <w:r>
              <w:rPr>
                <w:rFonts w:ascii="Verdana" w:cs="Verdana" w:eastAsia="Verdana" w:hAnsi="Verdana"/>
                <w:sz w:val="16"/>
                <w:szCs w:val="16"/>
                <w:color w:val="auto"/>
              </w:rPr>
              <w:t>Vested</w:t>
            </w:r>
          </w:p>
        </w:tc>
        <w:tc>
          <w:tcPr>
            <w:tcW w:w="3740" w:type="dxa"/>
            <w:vAlign w:val="bottom"/>
          </w:tcPr>
          <w:p>
            <w:pPr>
              <w:jc w:val="center"/>
              <w:ind w:left="2703"/>
              <w:spacing w:after="0"/>
              <w:rPr>
                <w:sz w:val="20"/>
                <w:szCs w:val="20"/>
                <w:color w:val="auto"/>
              </w:rPr>
            </w:pPr>
            <w:r>
              <w:rPr>
                <w:rFonts w:ascii="Verdana" w:cs="Verdana" w:eastAsia="Verdana" w:hAnsi="Verdana"/>
                <w:sz w:val="16"/>
                <w:szCs w:val="16"/>
                <w:color w:val="214E93"/>
                <w:w w:val="97"/>
              </w:rPr>
              <w:t>(221)</w:t>
            </w:r>
          </w:p>
        </w:tc>
      </w:tr>
      <w:tr>
        <w:trPr>
          <w:trHeight w:val="242"/>
        </w:trPr>
        <w:tc>
          <w:tcPr>
            <w:tcW w:w="582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Forfeited</w:t>
            </w:r>
          </w:p>
        </w:tc>
        <w:tc>
          <w:tcPr>
            <w:tcW w:w="3740" w:type="dxa"/>
            <w:vAlign w:val="bottom"/>
            <w:tcBorders>
              <w:bottom w:val="single" w:sz="8" w:color="auto"/>
            </w:tcBorders>
          </w:tcPr>
          <w:p>
            <w:pPr>
              <w:jc w:val="center"/>
              <w:ind w:left="2723"/>
              <w:spacing w:after="0"/>
              <w:rPr>
                <w:sz w:val="20"/>
                <w:szCs w:val="20"/>
                <w:color w:val="auto"/>
              </w:rPr>
            </w:pPr>
            <w:r>
              <w:rPr>
                <w:rFonts w:ascii="Verdana" w:cs="Verdana" w:eastAsia="Verdana" w:hAnsi="Verdana"/>
                <w:sz w:val="16"/>
                <w:szCs w:val="16"/>
                <w:color w:val="214E93"/>
                <w:w w:val="97"/>
              </w:rPr>
              <w:t>(32)</w:t>
            </w:r>
          </w:p>
        </w:tc>
      </w:tr>
      <w:tr>
        <w:trPr>
          <w:trHeight w:val="217"/>
        </w:trPr>
        <w:tc>
          <w:tcPr>
            <w:tcW w:w="5820" w:type="dxa"/>
            <w:vAlign w:val="bottom"/>
            <w:tcBorders>
              <w:bottom w:val="single" w:sz="8" w:color="214E93"/>
            </w:tcBorders>
          </w:tcPr>
          <w:p>
            <w:pPr>
              <w:ind w:left="40"/>
              <w:spacing w:after="0"/>
              <w:rPr>
                <w:sz w:val="20"/>
                <w:szCs w:val="20"/>
                <w:color w:val="auto"/>
              </w:rPr>
            </w:pPr>
            <w:r>
              <w:rPr>
                <w:rFonts w:ascii="Verdana" w:cs="Verdana" w:eastAsia="Verdana" w:hAnsi="Verdana"/>
                <w:sz w:val="16"/>
                <w:szCs w:val="16"/>
                <w:color w:val="auto"/>
              </w:rPr>
              <w:t>Non-vested at December 31, 2025</w:t>
            </w:r>
          </w:p>
        </w:tc>
        <w:tc>
          <w:tcPr>
            <w:tcW w:w="3740" w:type="dxa"/>
            <w:vAlign w:val="bottom"/>
            <w:tcBorders>
              <w:bottom w:val="single" w:sz="8" w:color="214E93"/>
            </w:tcBorders>
          </w:tcPr>
          <w:p>
            <w:pPr>
              <w:jc w:val="center"/>
              <w:ind w:left="2723"/>
              <w:spacing w:after="0"/>
              <w:rPr>
                <w:sz w:val="20"/>
                <w:szCs w:val="20"/>
                <w:color w:val="auto"/>
              </w:rPr>
            </w:pPr>
            <w:r>
              <w:rPr>
                <w:rFonts w:ascii="Verdana" w:cs="Verdana" w:eastAsia="Verdana" w:hAnsi="Verdana"/>
                <w:sz w:val="16"/>
                <w:szCs w:val="16"/>
                <w:color w:val="214E93"/>
                <w:w w:val="97"/>
              </w:rPr>
              <w:t>715</w:t>
            </w:r>
          </w:p>
        </w:tc>
      </w:tr>
    </w:tbl>
    <w:p>
      <w:pPr>
        <w:spacing w:after="0" w:line="20" w:lineRule="exact"/>
        <w:rPr>
          <w:sz w:val="20"/>
          <w:szCs w:val="20"/>
          <w:color w:val="auto"/>
        </w:rPr>
      </w:pPr>
    </w:p>
    <w:p>
      <w:pPr>
        <w:spacing w:after="0" w:line="228" w:lineRule="exact"/>
        <w:rPr>
          <w:sz w:val="20"/>
          <w:szCs w:val="20"/>
          <w:color w:val="auto"/>
        </w:rPr>
      </w:pPr>
    </w:p>
    <w:p>
      <w:pPr>
        <w:ind w:left="780" w:right="200" w:firstLine="241"/>
        <w:spacing w:after="0" w:line="252" w:lineRule="auto"/>
        <w:rPr>
          <w:sz w:val="20"/>
          <w:szCs w:val="20"/>
          <w:color w:val="auto"/>
        </w:rPr>
      </w:pPr>
      <w:r>
        <w:rPr>
          <w:rFonts w:ascii="Calibri" w:cs="Calibri" w:eastAsia="Calibri" w:hAnsi="Calibri"/>
          <w:sz w:val="18"/>
          <w:szCs w:val="18"/>
          <w:color w:val="auto"/>
        </w:rPr>
        <w:t>During the years ended December 31, 2025, 2024 and 2023, the Company settled 220,669, 222,948 and 378,852 liability-based awards, respectively, for $11.2 million, $13.4 million and $20.5 million in cash, respectively.</w:t>
      </w:r>
    </w:p>
    <w:p>
      <w:pPr>
        <w:spacing w:after="0" w:line="230" w:lineRule="exact"/>
        <w:rPr>
          <w:sz w:val="20"/>
          <w:szCs w:val="20"/>
          <w:color w:val="auto"/>
        </w:rPr>
      </w:pPr>
    </w:p>
    <w:p>
      <w:pPr>
        <w:ind w:left="780" w:right="140" w:firstLine="241"/>
        <w:spacing w:after="0" w:line="283" w:lineRule="auto"/>
        <w:rPr>
          <w:sz w:val="20"/>
          <w:szCs w:val="20"/>
          <w:color w:val="auto"/>
        </w:rPr>
      </w:pPr>
      <w:r>
        <w:rPr>
          <w:rFonts w:ascii="Calibri" w:cs="Calibri" w:eastAsia="Calibri" w:hAnsi="Calibri"/>
          <w:sz w:val="17"/>
          <w:szCs w:val="17"/>
          <w:color w:val="auto"/>
        </w:rPr>
        <w:t>At December 31, 2025, the aggregate intrinsic value for the restricted stock and restricted stock units outstanding was $94.7 million, of which $30.6 million is expected to be settled in cash as calculated based on the maximum number of shares of restricted stock units vesting, based on the closing price of Matador’s common stock on the appropriate date under the 2019 Incentive Plan.</w:t>
      </w:r>
    </w:p>
    <w:p>
      <w:pPr>
        <w:spacing w:after="0" w:line="206" w:lineRule="exact"/>
        <w:rPr>
          <w:sz w:val="20"/>
          <w:szCs w:val="20"/>
          <w:color w:val="auto"/>
        </w:rPr>
      </w:pPr>
    </w:p>
    <w:p>
      <w:pPr>
        <w:ind w:left="780" w:right="220" w:firstLine="241"/>
        <w:spacing w:after="0" w:line="266" w:lineRule="auto"/>
        <w:rPr>
          <w:sz w:val="20"/>
          <w:szCs w:val="20"/>
          <w:color w:val="auto"/>
        </w:rPr>
      </w:pPr>
      <w:r>
        <w:rPr>
          <w:rFonts w:ascii="Calibri" w:cs="Calibri" w:eastAsia="Calibri" w:hAnsi="Calibri"/>
          <w:sz w:val="18"/>
          <w:szCs w:val="18"/>
          <w:color w:val="auto"/>
        </w:rPr>
        <w:t>At December 31, 2025, the total remaining unrecognized compensation expense related to unvested restricted stock and restricted stock units was approximately $67.5 million, of which $21.1 million is expected to be settled in cash. In accordance with the 2019 Incentive Plan, cash settlements are valued on the closing price of Matador’s common stock on the trading day prior to vesting. The weighted average remaining requisite service period (vesting period) of all non-vested restricted stock and restricted stock units was 1.8 years.</w:t>
      </w:r>
    </w:p>
    <w:p>
      <w:pPr>
        <w:spacing w:after="0" w:line="237" w:lineRule="exact"/>
        <w:rPr>
          <w:sz w:val="20"/>
          <w:szCs w:val="20"/>
          <w:color w:val="auto"/>
        </w:rPr>
      </w:pPr>
    </w:p>
    <w:p>
      <w:pPr>
        <w:ind w:left="780" w:right="200"/>
        <w:spacing w:after="0" w:line="226" w:lineRule="auto"/>
        <w:rPr>
          <w:sz w:val="20"/>
          <w:szCs w:val="20"/>
          <w:color w:val="auto"/>
        </w:rPr>
      </w:pPr>
      <w:r>
        <w:rPr>
          <w:rFonts w:ascii="Calibri" w:cs="Calibri" w:eastAsia="Calibri" w:hAnsi="Calibri"/>
          <w:sz w:val="18"/>
          <w:szCs w:val="18"/>
          <w:color w:val="auto"/>
        </w:rPr>
        <w:t>The fair value of restricted stock and restricted stock units vested during 2025, 2024 and 2023 was $41.0 million, $29.4 million and $64.8 million, respectively.</w:t>
      </w:r>
    </w:p>
    <w:p>
      <w:pPr>
        <w:spacing w:after="0" w:line="193" w:lineRule="exact"/>
        <w:rPr>
          <w:sz w:val="20"/>
          <w:szCs w:val="20"/>
          <w:color w:val="auto"/>
        </w:rPr>
      </w:pPr>
    </w:p>
    <w:p>
      <w:pPr>
        <w:ind w:left="780"/>
        <w:spacing w:after="0"/>
        <w:rPr>
          <w:sz w:val="20"/>
          <w:szCs w:val="20"/>
          <w:color w:val="auto"/>
        </w:rPr>
      </w:pPr>
      <w:r>
        <w:rPr>
          <w:rFonts w:ascii="Calibri" w:cs="Calibri" w:eastAsia="Calibri" w:hAnsi="Calibri"/>
          <w:sz w:val="19"/>
          <w:szCs w:val="19"/>
          <w:i w:val="1"/>
          <w:iCs w:val="1"/>
          <w:color w:val="214E93"/>
        </w:rPr>
        <w:t>Summary</w:t>
      </w:r>
    </w:p>
    <w:p>
      <w:pPr>
        <w:spacing w:after="0" w:line="208" w:lineRule="exact"/>
        <w:rPr>
          <w:sz w:val="20"/>
          <w:szCs w:val="20"/>
          <w:color w:val="auto"/>
        </w:rPr>
      </w:pPr>
    </w:p>
    <w:p>
      <w:pPr>
        <w:ind w:left="780" w:firstLine="241"/>
        <w:spacing w:after="0" w:line="264" w:lineRule="auto"/>
        <w:rPr>
          <w:sz w:val="20"/>
          <w:szCs w:val="20"/>
          <w:color w:val="auto"/>
        </w:rPr>
      </w:pPr>
      <w:r>
        <w:rPr>
          <w:rFonts w:ascii="Calibri" w:cs="Calibri" w:eastAsia="Calibri" w:hAnsi="Calibri"/>
          <w:sz w:val="18"/>
          <w:szCs w:val="18"/>
          <w:color w:val="auto"/>
        </w:rPr>
        <w:t>During the years ended December 31, 2025, 2024 and 2023, the total expense attributable to restricted stock and restricted stock units was $39.8 million, $37.3 million and $33.0 million, respectively. During the years ended December 31, 2025, 2024 and 2023, the Company capitalized $13.3 million, $11.8 million and $7.4 million, respectively, related to stock-based compensation and expensed the remaining $26.5 million, $25.5 million and $25.6 million, respectively.</w:t>
      </w:r>
    </w:p>
    <w:p>
      <w:pPr>
        <w:spacing w:after="0" w:line="221" w:lineRule="exact"/>
        <w:rPr>
          <w:sz w:val="20"/>
          <w:szCs w:val="20"/>
          <w:color w:val="auto"/>
        </w:rPr>
      </w:pPr>
    </w:p>
    <w:p>
      <w:pPr>
        <w:ind w:left="780" w:right="340" w:firstLine="241"/>
        <w:spacing w:after="0" w:line="252" w:lineRule="auto"/>
        <w:rPr>
          <w:sz w:val="20"/>
          <w:szCs w:val="20"/>
          <w:color w:val="auto"/>
        </w:rPr>
      </w:pPr>
      <w:r>
        <w:rPr>
          <w:rFonts w:ascii="Calibri" w:cs="Calibri" w:eastAsia="Calibri" w:hAnsi="Calibri"/>
          <w:sz w:val="18"/>
          <w:szCs w:val="18"/>
          <w:color w:val="auto"/>
        </w:rPr>
        <w:t>The total tax benefit recognized for all stock-based compensation was $8.5 million, $8.0 million and $7.0 million for the years ended December 31, 2025, 2024 and 2023, respectively.</w:t>
      </w:r>
    </w:p>
    <w:p>
      <w:pPr>
        <w:spacing w:after="0" w:line="228" w:lineRule="exact"/>
        <w:rPr>
          <w:sz w:val="20"/>
          <w:szCs w:val="20"/>
          <w:color w:val="auto"/>
        </w:rPr>
      </w:pPr>
    </w:p>
    <w:p>
      <w:pPr>
        <w:ind w:left="780"/>
        <w:spacing w:after="0"/>
        <w:rPr>
          <w:sz w:val="20"/>
          <w:szCs w:val="20"/>
          <w:color w:val="auto"/>
        </w:rPr>
      </w:pPr>
      <w:r>
        <w:rPr>
          <w:rFonts w:ascii="Verdana" w:cs="Verdana" w:eastAsia="Verdana" w:hAnsi="Verdana"/>
          <w:sz w:val="20"/>
          <w:szCs w:val="20"/>
          <w:color w:val="214E93"/>
        </w:rPr>
        <w:t>NOTE 10 — EMPLOYEE BENEFIT PLANS</w:t>
      </w:r>
    </w:p>
    <w:p>
      <w:pPr>
        <w:spacing w:after="0" w:line="196" w:lineRule="exact"/>
        <w:rPr>
          <w:sz w:val="20"/>
          <w:szCs w:val="20"/>
          <w:color w:val="auto"/>
        </w:rPr>
      </w:pPr>
    </w:p>
    <w:p>
      <w:pPr>
        <w:ind w:left="780"/>
        <w:spacing w:after="0"/>
        <w:rPr>
          <w:sz w:val="20"/>
          <w:szCs w:val="20"/>
          <w:color w:val="auto"/>
        </w:rPr>
      </w:pPr>
      <w:r>
        <w:rPr>
          <w:rFonts w:ascii="Calibri" w:cs="Calibri" w:eastAsia="Calibri" w:hAnsi="Calibri"/>
          <w:sz w:val="19"/>
          <w:szCs w:val="19"/>
          <w:i w:val="1"/>
          <w:iCs w:val="1"/>
          <w:color w:val="214E93"/>
        </w:rPr>
        <w:t>401(k) Plan</w:t>
      </w:r>
    </w:p>
    <w:p>
      <w:pPr>
        <w:spacing w:after="0" w:line="208" w:lineRule="exact"/>
        <w:rPr>
          <w:sz w:val="20"/>
          <w:szCs w:val="20"/>
          <w:color w:val="auto"/>
        </w:rPr>
      </w:pPr>
    </w:p>
    <w:p>
      <w:pPr>
        <w:ind w:left="780" w:firstLine="241"/>
        <w:spacing w:after="0" w:line="268" w:lineRule="auto"/>
        <w:rPr>
          <w:sz w:val="20"/>
          <w:szCs w:val="20"/>
          <w:color w:val="auto"/>
        </w:rPr>
      </w:pPr>
      <w:r>
        <w:rPr>
          <w:rFonts w:ascii="Calibri" w:cs="Calibri" w:eastAsia="Calibri" w:hAnsi="Calibri"/>
          <w:sz w:val="18"/>
          <w:szCs w:val="18"/>
          <w:color w:val="auto"/>
        </w:rPr>
        <w:t>All full-time Company employees are eligible to join the Company’s defined contribution retirement plan the first day of the calendar month immediately following their date of employment. Each employee may contribute up to the maximum allowable under the Internal Revenue Code. Each year, the Company makes a contribution to the plan that equals 3% of the employee’s annual compensation, up to the maximum allowable under the Internal Revenue Code, referred to as the Employer’s Safe Harbor Non-Elective Contribution, which totaled $2.9 million, $2.6 million and $2.2 million in 2025, 2024 and 2023, respectively. In addition, each year, the Company may make a discretionary matching contribution, as well as additional contributions. The Company’s discretionary matching contributions totaled $3.7 million, $3.3 million and $2.8 million in 2025, 2024 and 2023, respectively. The Company made no additional contributions in any reporting period presented.</w:t>
      </w:r>
    </w:p>
    <w:p>
      <w:pPr>
        <w:sectPr>
          <w:pgSz w:w="11880" w:h="15480" w:orient="portrait"/>
          <w:cols w:equalWidth="0" w:num="1">
            <w:col w:w="10340"/>
          </w:cols>
          <w:pgMar w:left="38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00"/>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0340"/>
          </w:cols>
          <w:pgMar w:left="380" w:top="498" w:right="1160" w:bottom="0" w:gutter="0" w:footer="0" w:header="0"/>
          <w:type w:val="continuous"/>
        </w:sectPr>
      </w:pPr>
    </w:p>
    <w:bookmarkStart w:id="164" w:name="page165"/>
    <w:bookmarkEnd w:id="164"/>
    <w:tbl>
      <w:tblPr>
        <w:tblLayout w:type="fixed"/>
        <w:tblInd w:w="7880" w:type="dxa"/>
        <w:tblCellMar>
          <w:top w:w="0" w:type="dxa"/>
          <w:left w:w="0" w:type="dxa"/>
          <w:bottom w:w="0" w:type="dxa"/>
          <w:right w:w="0" w:type="dxa"/>
        </w:tblCellMar>
      </w:tblPr>
      <w:tr>
        <w:trPr>
          <w:trHeight w:val="220"/>
        </w:trPr>
        <w:tc>
          <w:tcPr>
            <w:tcW w:w="188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580" w:type="dxa"/>
            <w:vAlign w:val="bottom"/>
          </w:tcPr>
          <w:p>
            <w:pPr>
              <w:ind w:left="260"/>
              <w:spacing w:after="0"/>
              <w:rPr>
                <w:sz w:val="20"/>
                <w:szCs w:val="20"/>
                <w:color w:val="auto"/>
              </w:rPr>
            </w:pPr>
            <w:r>
              <w:rPr>
                <w:rFonts w:ascii="Calibri" w:cs="Calibri" w:eastAsia="Calibri" w:hAnsi="Calibri"/>
                <w:sz w:val="18"/>
                <w:szCs w:val="18"/>
                <w:color w:val="auto"/>
                <w:w w:val="93"/>
              </w:rPr>
              <w:t>F-34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325" name="Shape 3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25" o:spid="_x0000_s13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326" name="Shape 3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26" o:spid="_x0000_s13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Verdana" w:cs="Verdana" w:eastAsia="Verdana" w:hAnsi="Verdana"/>
          <w:sz w:val="20"/>
          <w:szCs w:val="20"/>
          <w:color w:val="214E93"/>
        </w:rPr>
        <w:t>NOTE 11 — EQUITY</w:t>
      </w:r>
    </w:p>
    <w:p>
      <w:pPr>
        <w:spacing w:after="0" w:line="196"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Equity Offering</w:t>
      </w:r>
    </w:p>
    <w:p>
      <w:pPr>
        <w:spacing w:after="0" w:line="208" w:lineRule="exact"/>
        <w:rPr>
          <w:sz w:val="20"/>
          <w:szCs w:val="20"/>
          <w:color w:val="auto"/>
        </w:rPr>
      </w:pPr>
    </w:p>
    <w:p>
      <w:pPr>
        <w:ind w:right="920" w:firstLine="241"/>
        <w:spacing w:after="0" w:line="264" w:lineRule="auto"/>
        <w:rPr>
          <w:sz w:val="20"/>
          <w:szCs w:val="20"/>
          <w:color w:val="auto"/>
        </w:rPr>
      </w:pPr>
      <w:r>
        <w:rPr>
          <w:rFonts w:ascii="Calibri" w:cs="Calibri" w:eastAsia="Calibri" w:hAnsi="Calibri"/>
          <w:sz w:val="18"/>
          <w:szCs w:val="18"/>
          <w:color w:val="auto"/>
        </w:rPr>
        <w:t>On March 28, 2024, the Company completed an underwritten public offering of 5,250,000 shares of its common stock. After deducting underwriting discounts and offering expenses, the Company received net proceeds of approximately $342.1 million. The net proceeds from this offering were used for general corporate purposes, including the funding of acquisitions and the repayment of borrowings outstanding under the Credit Agreement.</w:t>
      </w:r>
    </w:p>
    <w:p>
      <w:pPr>
        <w:spacing w:after="0" w:line="207"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Common Stock Dividend</w:t>
      </w:r>
    </w:p>
    <w:p>
      <w:pPr>
        <w:spacing w:after="0" w:line="208" w:lineRule="exact"/>
        <w:rPr>
          <w:sz w:val="20"/>
          <w:szCs w:val="20"/>
          <w:color w:val="auto"/>
        </w:rPr>
      </w:pPr>
    </w:p>
    <w:p>
      <w:pPr>
        <w:ind w:right="800" w:firstLine="241"/>
        <w:spacing w:after="0" w:line="268" w:lineRule="auto"/>
        <w:rPr>
          <w:sz w:val="20"/>
          <w:szCs w:val="20"/>
          <w:color w:val="auto"/>
        </w:rPr>
      </w:pPr>
      <w:r>
        <w:rPr>
          <w:rFonts w:ascii="Calibri" w:cs="Calibri" w:eastAsia="Calibri" w:hAnsi="Calibri"/>
          <w:sz w:val="18"/>
          <w:szCs w:val="18"/>
          <w:color w:val="auto"/>
        </w:rPr>
        <w:t>The Board declared a quarterly cash dividend of $0.3125 per share of common stock in each of the first, second and third quarters of 2025. The first quarter dividend, which totaled $39.2 million, was paid on March 14, 2025 to shareholders of record as of February 28, 2025. The second quarter dividend, which totaled $39.0 million, was paid on June 6, 2025 to shareholders of record as of May 9, 2025. The third quarter dividend, which totaled $38.7 million, was paid on September 5, 2025 to shareholders of record as of August 15, 2025. On October 15, 2025, the Board amended the Company’s dividend policy to increase the quarterly dividend to $0.375 per share of common stock for future dividend payments and also declared a quarterly cash dividend of $0.375 per share of common stock. The fourth quarter dividend, which totaled $46.2 million, was paid on December 5, 2025 to shareholders of record as of November 10, 2025.</w:t>
      </w:r>
    </w:p>
    <w:p>
      <w:pPr>
        <w:spacing w:after="0" w:line="217" w:lineRule="exact"/>
        <w:rPr>
          <w:sz w:val="20"/>
          <w:szCs w:val="20"/>
          <w:color w:val="auto"/>
        </w:rPr>
      </w:pPr>
    </w:p>
    <w:p>
      <w:pPr>
        <w:ind w:right="920" w:firstLine="241"/>
        <w:spacing w:after="0" w:line="281" w:lineRule="auto"/>
        <w:rPr>
          <w:sz w:val="20"/>
          <w:szCs w:val="20"/>
          <w:color w:val="auto"/>
        </w:rPr>
      </w:pPr>
      <w:r>
        <w:rPr>
          <w:rFonts w:ascii="Calibri" w:cs="Calibri" w:eastAsia="Calibri" w:hAnsi="Calibri"/>
          <w:sz w:val="17"/>
          <w:szCs w:val="17"/>
          <w:color w:val="auto"/>
        </w:rPr>
        <w:t>The Board declared a quarterly cash dividend of $0.20 per share of common stock in each of the first, second and third quarters of 2024 and the Board declared a quarterly cash dividend of $0.25 per share of common stock in the fourth quarter of 2024.</w:t>
      </w:r>
    </w:p>
    <w:p>
      <w:pPr>
        <w:spacing w:after="0" w:line="206" w:lineRule="exact"/>
        <w:rPr>
          <w:sz w:val="20"/>
          <w:szCs w:val="20"/>
          <w:color w:val="auto"/>
        </w:rPr>
      </w:pPr>
    </w:p>
    <w:p>
      <w:pPr>
        <w:ind w:right="840" w:firstLine="241"/>
        <w:spacing w:after="0" w:line="252" w:lineRule="auto"/>
        <w:rPr>
          <w:sz w:val="20"/>
          <w:szCs w:val="20"/>
          <w:color w:val="auto"/>
        </w:rPr>
      </w:pPr>
      <w:r>
        <w:rPr>
          <w:rFonts w:ascii="Calibri" w:cs="Calibri" w:eastAsia="Calibri" w:hAnsi="Calibri"/>
          <w:sz w:val="18"/>
          <w:szCs w:val="18"/>
          <w:color w:val="auto"/>
        </w:rPr>
        <w:t>Total cash dividends declared and paid totaled $163.1 million and $104.9 million, respectively, during the years ended December 31, 2025 and 2024.</w:t>
      </w:r>
    </w:p>
    <w:p>
      <w:pPr>
        <w:spacing w:after="0" w:line="216"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Share Repurchase Program</w:t>
      </w:r>
    </w:p>
    <w:p>
      <w:pPr>
        <w:spacing w:after="0" w:line="208" w:lineRule="exact"/>
        <w:rPr>
          <w:sz w:val="20"/>
          <w:szCs w:val="20"/>
          <w:color w:val="auto"/>
        </w:rPr>
      </w:pPr>
    </w:p>
    <w:p>
      <w:pPr>
        <w:ind w:right="920" w:firstLine="241"/>
        <w:spacing w:after="0" w:line="261" w:lineRule="auto"/>
        <w:rPr>
          <w:sz w:val="20"/>
          <w:szCs w:val="20"/>
          <w:color w:val="auto"/>
        </w:rPr>
      </w:pPr>
      <w:r>
        <w:rPr>
          <w:rFonts w:ascii="Calibri" w:cs="Calibri" w:eastAsia="Calibri" w:hAnsi="Calibri"/>
          <w:sz w:val="18"/>
          <w:szCs w:val="18"/>
          <w:color w:val="auto"/>
        </w:rPr>
        <w:t>On April 16, 2025, the Board approved a share repurchase program (the “Share Repurchase Program”) authorizing the repurchase of up to $400.0 million of common stock. These repurchases may be conducted through a variety of methods, including open market purchases, 10b5-1 trading plans, privately negotiated transactions or other means.</w:t>
      </w:r>
    </w:p>
    <w:p>
      <w:pPr>
        <w:spacing w:after="0" w:line="223" w:lineRule="exact"/>
        <w:rPr>
          <w:sz w:val="20"/>
          <w:szCs w:val="20"/>
          <w:color w:val="auto"/>
        </w:rPr>
      </w:pPr>
    </w:p>
    <w:p>
      <w:pPr>
        <w:ind w:right="1320" w:firstLine="241"/>
        <w:spacing w:after="0" w:line="252" w:lineRule="auto"/>
        <w:rPr>
          <w:sz w:val="20"/>
          <w:szCs w:val="20"/>
          <w:color w:val="auto"/>
        </w:rPr>
      </w:pPr>
      <w:r>
        <w:rPr>
          <w:rFonts w:ascii="Calibri" w:cs="Calibri" w:eastAsia="Calibri" w:hAnsi="Calibri"/>
          <w:sz w:val="18"/>
          <w:szCs w:val="18"/>
          <w:color w:val="auto"/>
        </w:rPr>
        <w:t>During the year ended December 31, 2025, the Company repurchased 1,351,328 shares of common stock under the Share Repurchase Program at a weighted average price of $41.31 per common share for a total cost of $55.8 million.</w:t>
      </w:r>
    </w:p>
    <w:p>
      <w:pPr>
        <w:spacing w:after="0" w:line="216"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Treasury Stock</w:t>
      </w:r>
    </w:p>
    <w:p>
      <w:pPr>
        <w:spacing w:after="0" w:line="208" w:lineRule="exact"/>
        <w:rPr>
          <w:sz w:val="20"/>
          <w:szCs w:val="20"/>
          <w:color w:val="auto"/>
        </w:rPr>
      </w:pPr>
    </w:p>
    <w:p>
      <w:pPr>
        <w:jc w:val="both"/>
        <w:ind w:right="860" w:firstLine="241"/>
        <w:spacing w:after="0" w:line="261" w:lineRule="auto"/>
        <w:rPr>
          <w:sz w:val="20"/>
          <w:szCs w:val="20"/>
          <w:color w:val="auto"/>
        </w:rPr>
      </w:pPr>
      <w:r>
        <w:rPr>
          <w:rFonts w:ascii="Calibri" w:cs="Calibri" w:eastAsia="Calibri" w:hAnsi="Calibri"/>
          <w:sz w:val="18"/>
          <w:szCs w:val="18"/>
          <w:color w:val="auto"/>
        </w:rPr>
        <w:t>On October 15, 2025, October 17, 2024 and October 19, 2023, the Board canceled all of the shares of treasury stock outstanding as of September 30, 2025, 2024 and 2023, respectively. These shares were restored to the status of authorized but unissued shares of common stock of the Company.</w:t>
      </w:r>
    </w:p>
    <w:p>
      <w:pPr>
        <w:spacing w:after="0" w:line="223" w:lineRule="exact"/>
        <w:rPr>
          <w:sz w:val="20"/>
          <w:szCs w:val="20"/>
          <w:color w:val="auto"/>
        </w:rPr>
      </w:pPr>
    </w:p>
    <w:p>
      <w:pPr>
        <w:ind w:right="960" w:firstLine="241"/>
        <w:spacing w:after="0" w:line="252" w:lineRule="auto"/>
        <w:rPr>
          <w:sz w:val="20"/>
          <w:szCs w:val="20"/>
          <w:color w:val="auto"/>
        </w:rPr>
      </w:pPr>
      <w:r>
        <w:rPr>
          <w:rFonts w:ascii="Calibri" w:cs="Calibri" w:eastAsia="Calibri" w:hAnsi="Calibri"/>
          <w:sz w:val="18"/>
          <w:szCs w:val="18"/>
          <w:color w:val="auto"/>
        </w:rPr>
        <w:t>The shares of treasury stock outstanding at December 31, 2025, 2024 and 2023 represent shares traded by employees to cover taxes on vested restricted stock awards and forfeitures of unvested restricted stock awards.</w:t>
      </w:r>
    </w:p>
    <w:p>
      <w:pPr>
        <w:spacing w:after="0" w:line="216"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Preferred Stock</w:t>
      </w:r>
    </w:p>
    <w:p>
      <w:pPr>
        <w:spacing w:after="0" w:line="208" w:lineRule="exact"/>
        <w:rPr>
          <w:sz w:val="20"/>
          <w:szCs w:val="20"/>
          <w:color w:val="auto"/>
        </w:rPr>
      </w:pPr>
    </w:p>
    <w:p>
      <w:pPr>
        <w:ind w:right="900" w:firstLine="241"/>
        <w:spacing w:after="0" w:line="261" w:lineRule="auto"/>
        <w:rPr>
          <w:sz w:val="20"/>
          <w:szCs w:val="20"/>
          <w:color w:val="auto"/>
        </w:rPr>
      </w:pPr>
      <w:r>
        <w:rPr>
          <w:rFonts w:ascii="Calibri" w:cs="Calibri" w:eastAsia="Calibri" w:hAnsi="Calibri"/>
          <w:sz w:val="18"/>
          <w:szCs w:val="18"/>
          <w:color w:val="auto"/>
        </w:rPr>
        <w:t>The Company’s Amended and Restated Certificate of Formation authorizes 2,000,000 shares of preferred stock. Before any such shares are issued, the Board shall fix and determine the designations, preferences, limitations and relative rights, including voting rights of the shares of each such series. There are no shares of preferred stock outstanding.</w:t>
      </w:r>
    </w:p>
    <w:p>
      <w:pPr>
        <w:spacing w:after="0" w:line="209"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San Mateo Distributions and Contributions</w:t>
      </w:r>
    </w:p>
    <w:p>
      <w:pPr>
        <w:spacing w:after="0" w:line="208" w:lineRule="exact"/>
        <w:rPr>
          <w:sz w:val="20"/>
          <w:szCs w:val="20"/>
          <w:color w:val="auto"/>
        </w:rPr>
      </w:pPr>
    </w:p>
    <w:p>
      <w:pPr>
        <w:ind w:right="900" w:firstLine="241"/>
        <w:spacing w:after="0" w:line="261" w:lineRule="auto"/>
        <w:rPr>
          <w:sz w:val="20"/>
          <w:szCs w:val="20"/>
          <w:color w:val="auto"/>
        </w:rPr>
      </w:pPr>
      <w:r>
        <w:rPr>
          <w:rFonts w:ascii="Calibri" w:cs="Calibri" w:eastAsia="Calibri" w:hAnsi="Calibri"/>
          <w:sz w:val="18"/>
          <w:szCs w:val="18"/>
          <w:color w:val="auto"/>
        </w:rPr>
        <w:t>During the years ended December 31, 2025, 2024 and 2023, San Mateo distributed $136.7 million, $321.2 million and $81.4 million, respectively, to the Company and $131.3 million, $97.5 million and $78.3 million, respectively, to Five Point, the Company’s joint venture partner in San Mateo.</w:t>
      </w:r>
    </w:p>
    <w:p>
      <w:pPr>
        <w:sectPr>
          <w:pgSz w:w="11880" w:h="15480" w:orient="portrait"/>
          <w:cols w:equalWidth="0" w:num="1">
            <w:col w:w="10340"/>
          </w:cols>
          <w:pgMar w:left="1160" w:top="498"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560"/>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0340"/>
          </w:cols>
          <w:pgMar w:left="1160" w:top="498" w:right="380" w:bottom="0" w:gutter="0" w:footer="0" w:header="0"/>
          <w:type w:val="continuous"/>
        </w:sectPr>
      </w:pPr>
    </w:p>
    <w:bookmarkStart w:id="165" w:name="page166"/>
    <w:bookmarkEnd w:id="165"/>
    <w:p>
      <w:pPr>
        <w:spacing w:after="0"/>
        <w:tabs>
          <w:tab w:leader="none" w:pos="800" w:val="left"/>
        </w:tabs>
        <w:rPr>
          <w:sz w:val="20"/>
          <w:szCs w:val="20"/>
          <w:color w:val="auto"/>
        </w:rPr>
      </w:pPr>
      <w:r>
        <w:rPr>
          <w:rFonts w:ascii="Calibri" w:cs="Calibri" w:eastAsia="Calibri" w:hAnsi="Calibri"/>
          <w:sz w:val="18"/>
          <w:szCs w:val="18"/>
          <w:color w:val="auto"/>
        </w:rPr>
        <w:t>F-35</w:t>
      </w:r>
      <w:r>
        <w:rPr>
          <w:sz w:val="20"/>
          <w:szCs w:val="20"/>
          <w:color w:val="auto"/>
        </w:rPr>
        <w:tab/>
      </w:r>
      <w:r>
        <w:rPr>
          <w:rFonts w:ascii="Calibri" w:cs="Calibri" w:eastAsia="Calibri" w:hAnsi="Calibri"/>
          <w:sz w:val="17"/>
          <w:szCs w:val="17"/>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490220</wp:posOffset>
                </wp:positionH>
                <wp:positionV relativeFrom="paragraph">
                  <wp:posOffset>320675</wp:posOffset>
                </wp:positionV>
                <wp:extent cx="6812280" cy="0"/>
                <wp:wrapNone/>
                <wp:docPr id="327" name="Shape 3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27" o:spid="_x0000_s13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25.25pt" to="57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490220</wp:posOffset>
                </wp:positionH>
                <wp:positionV relativeFrom="paragraph">
                  <wp:posOffset>320675</wp:posOffset>
                </wp:positionV>
                <wp:extent cx="6812280" cy="0"/>
                <wp:wrapNone/>
                <wp:docPr id="328" name="Shape 3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28" o:spid="_x0000_s13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25.25pt" to="57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80"/>
        <w:spacing w:after="0"/>
        <w:rPr>
          <w:sz w:val="20"/>
          <w:szCs w:val="20"/>
          <w:color w:val="auto"/>
        </w:rPr>
      </w:pPr>
      <w:r>
        <w:rPr>
          <w:rFonts w:ascii="Verdana" w:cs="Verdana" w:eastAsia="Verdana" w:hAnsi="Verdana"/>
          <w:sz w:val="20"/>
          <w:szCs w:val="20"/>
          <w:color w:val="214E93"/>
        </w:rPr>
        <w:t>NOTE 11 — EQUITY — Continued</w:t>
      </w:r>
    </w:p>
    <w:p>
      <w:pPr>
        <w:spacing w:after="0" w:line="209" w:lineRule="exact"/>
        <w:rPr>
          <w:sz w:val="20"/>
          <w:szCs w:val="20"/>
          <w:color w:val="auto"/>
        </w:rPr>
      </w:pPr>
    </w:p>
    <w:p>
      <w:pPr>
        <w:ind w:left="780" w:right="40" w:firstLine="281"/>
        <w:spacing w:after="0" w:line="261" w:lineRule="auto"/>
        <w:rPr>
          <w:sz w:val="20"/>
          <w:szCs w:val="20"/>
          <w:color w:val="auto"/>
        </w:rPr>
      </w:pPr>
      <w:r>
        <w:rPr>
          <w:rFonts w:ascii="Calibri" w:cs="Calibri" w:eastAsia="Calibri" w:hAnsi="Calibri"/>
          <w:sz w:val="18"/>
          <w:szCs w:val="18"/>
          <w:color w:val="auto"/>
        </w:rPr>
        <w:t>During the year ended December 31, 2025, neither the Company nor Five Point contributed cash to San Mateo. During the years ended December 31, 2024 and 2023, the Company contributed $19.9 million and $25.5 million, respectively, and Five Point contributed $190.6 million and $24.5 million, respectively, of cash to San Mateo.</w:t>
      </w:r>
    </w:p>
    <w:p>
      <w:pPr>
        <w:spacing w:after="0" w:line="223" w:lineRule="exact"/>
        <w:rPr>
          <w:sz w:val="20"/>
          <w:szCs w:val="20"/>
          <w:color w:val="auto"/>
        </w:rPr>
      </w:pPr>
    </w:p>
    <w:p>
      <w:pPr>
        <w:ind w:left="780" w:right="320" w:firstLine="241"/>
        <w:spacing w:after="0" w:line="266" w:lineRule="auto"/>
        <w:rPr>
          <w:sz w:val="20"/>
          <w:szCs w:val="20"/>
          <w:color w:val="auto"/>
        </w:rPr>
      </w:pPr>
      <w:r>
        <w:rPr>
          <w:rFonts w:ascii="Calibri" w:cs="Calibri" w:eastAsia="Calibri" w:hAnsi="Calibri"/>
          <w:sz w:val="18"/>
          <w:szCs w:val="18"/>
          <w:color w:val="auto"/>
        </w:rPr>
        <w:t>San Mateo’s 2024 distributions to the Company included a special distribution of approximately $219.8 million, of which $171.5 million represented a special contribution by Five Point recorded within the Company’s statement of changes in shareholders’ equity in connection with the Pronto Transaction. San Mateo’s remaining special distribution to the Company of $48.3 million represented a reimbursement of certain capital expenditures for the expansion of the Marlan Processing Plant that were previously funded by Matador. See Note 6 for additional details.</w:t>
      </w:r>
    </w:p>
    <w:p>
      <w:pPr>
        <w:spacing w:after="0" w:line="204" w:lineRule="exact"/>
        <w:rPr>
          <w:sz w:val="20"/>
          <w:szCs w:val="20"/>
          <w:color w:val="auto"/>
        </w:rPr>
      </w:pPr>
    </w:p>
    <w:p>
      <w:pPr>
        <w:ind w:left="780"/>
        <w:spacing w:after="0"/>
        <w:rPr>
          <w:sz w:val="20"/>
          <w:szCs w:val="20"/>
          <w:color w:val="auto"/>
        </w:rPr>
      </w:pPr>
      <w:r>
        <w:rPr>
          <w:rFonts w:ascii="Calibri" w:cs="Calibri" w:eastAsia="Calibri" w:hAnsi="Calibri"/>
          <w:sz w:val="19"/>
          <w:szCs w:val="19"/>
          <w:i w:val="1"/>
          <w:iCs w:val="1"/>
          <w:color w:val="214E93"/>
        </w:rPr>
        <w:t>Performance Incentives</w:t>
      </w:r>
    </w:p>
    <w:p>
      <w:pPr>
        <w:spacing w:after="0" w:line="208" w:lineRule="exact"/>
        <w:rPr>
          <w:sz w:val="20"/>
          <w:szCs w:val="20"/>
          <w:color w:val="auto"/>
        </w:rPr>
      </w:pPr>
    </w:p>
    <w:p>
      <w:pPr>
        <w:ind w:left="780" w:right="100" w:firstLine="241"/>
        <w:spacing w:after="0" w:line="267" w:lineRule="auto"/>
        <w:rPr>
          <w:sz w:val="20"/>
          <w:szCs w:val="20"/>
          <w:color w:val="auto"/>
        </w:rPr>
      </w:pPr>
      <w:r>
        <w:rPr>
          <w:rFonts w:ascii="Calibri" w:cs="Calibri" w:eastAsia="Calibri" w:hAnsi="Calibri"/>
          <w:sz w:val="18"/>
          <w:szCs w:val="18"/>
          <w:color w:val="auto"/>
        </w:rPr>
        <w:t>As part of the joint venture with Five Point, the Company has the potential to earn performance incentives. During the years ended December 31, 2025, 2024 and 2023, Five Point paid the Company $13.0 million, $23.8 million and $38.2 million, respectively, in performance incentives, which were recorded when received in “Additional paid-in-capital” in the Company’s consolidated balance sheets, net of $2.7 million, $5.0 million and $8.0 million of deferred tax impacts, for the years ended December 31, 2025, 2024 and 2023, respectively. Through April 1, 2029, the Company has the potential to earn an additional $60.7 million of performance incentives.</w:t>
      </w:r>
    </w:p>
    <w:p>
      <w:pPr>
        <w:spacing w:after="0" w:line="215" w:lineRule="exact"/>
        <w:rPr>
          <w:sz w:val="20"/>
          <w:szCs w:val="20"/>
          <w:color w:val="auto"/>
        </w:rPr>
      </w:pPr>
    </w:p>
    <w:p>
      <w:pPr>
        <w:ind w:left="780"/>
        <w:spacing w:after="0"/>
        <w:rPr>
          <w:sz w:val="20"/>
          <w:szCs w:val="20"/>
          <w:color w:val="auto"/>
        </w:rPr>
      </w:pPr>
      <w:r>
        <w:rPr>
          <w:rFonts w:ascii="Verdana" w:cs="Verdana" w:eastAsia="Verdana" w:hAnsi="Verdana"/>
          <w:sz w:val="20"/>
          <w:szCs w:val="20"/>
          <w:color w:val="214E93"/>
        </w:rPr>
        <w:t>NOTE 12 — DERIVATIVE FINANCIAL INSTRUMENTS</w:t>
      </w:r>
    </w:p>
    <w:p>
      <w:pPr>
        <w:spacing w:after="0" w:line="209" w:lineRule="exact"/>
        <w:rPr>
          <w:sz w:val="20"/>
          <w:szCs w:val="20"/>
          <w:color w:val="auto"/>
        </w:rPr>
      </w:pPr>
    </w:p>
    <w:p>
      <w:pPr>
        <w:ind w:left="780" w:right="20" w:firstLine="241"/>
        <w:spacing w:after="0" w:line="268" w:lineRule="auto"/>
        <w:rPr>
          <w:sz w:val="20"/>
          <w:szCs w:val="20"/>
          <w:color w:val="auto"/>
        </w:rPr>
      </w:pPr>
      <w:r>
        <w:rPr>
          <w:rFonts w:ascii="Calibri" w:cs="Calibri" w:eastAsia="Calibri" w:hAnsi="Calibri"/>
          <w:sz w:val="18"/>
          <w:szCs w:val="18"/>
          <w:color w:val="auto"/>
        </w:rPr>
        <w:t>From time to time, the Company uses derivative financial instruments to mitigate its exposure to commodity price risk associated with oil, natural gas and NGL prices. The Company records derivative financial instruments on its consolidated balance sheets as either assets or liabilities measured at fair value. The Company has elected not to apply hedge accounting for its existing derivative financial instruments. As a result, the Company recognizes the change in derivative fair value between reporting periods currently in its consolidated statements of income as an unrealized gain or loss. The fair value of the Company’s derivative financial instruments is determined using industry-standard models that consider various inputs including: (i) quoted forward prices for commodities, (ii) time value of money and (iii) current market and contractual prices for the underlying instruments, as well as other relevant economic measures. The Company has evaluated and considered the credit standings of its counterparties in determining the fair value of its derivative financial instruments.</w:t>
      </w:r>
    </w:p>
    <w:p>
      <w:pPr>
        <w:spacing w:after="0" w:line="219" w:lineRule="exact"/>
        <w:rPr>
          <w:sz w:val="20"/>
          <w:szCs w:val="20"/>
          <w:color w:val="auto"/>
        </w:rPr>
      </w:pPr>
    </w:p>
    <w:p>
      <w:pPr>
        <w:ind w:left="780" w:right="40" w:firstLine="241"/>
        <w:spacing w:after="0" w:line="266" w:lineRule="auto"/>
        <w:rPr>
          <w:sz w:val="20"/>
          <w:szCs w:val="20"/>
          <w:color w:val="auto"/>
        </w:rPr>
      </w:pPr>
      <w:r>
        <w:rPr>
          <w:rFonts w:ascii="Calibri" w:cs="Calibri" w:eastAsia="Calibri" w:hAnsi="Calibri"/>
          <w:sz w:val="18"/>
          <w:szCs w:val="18"/>
          <w:color w:val="auto"/>
        </w:rPr>
        <w:t>At December 31, 2025, the Company had various costless collar contracts open and in place to mitigate its exposure to oil price volatility, each with an established price floor and ceiling. At December 31, 2025, the Company had natural gas basis differential swap contracts open and in place to mitigate its exposure to natural gas price volatility, with a specific term (calculation period), notional quantity (volume hedged) and fixed price. The Company had no open contracts associated with NGL prices at December 31, 2025.</w:t>
      </w:r>
    </w:p>
    <w:p>
      <w:pPr>
        <w:spacing w:after="0" w:line="201" w:lineRule="exact"/>
        <w:rPr>
          <w:sz w:val="20"/>
          <w:szCs w:val="20"/>
          <w:color w:val="auto"/>
        </w:rPr>
      </w:pPr>
    </w:p>
    <w:p>
      <w:pPr>
        <w:ind w:left="1020"/>
        <w:spacing w:after="0"/>
        <w:rPr>
          <w:sz w:val="20"/>
          <w:szCs w:val="20"/>
          <w:color w:val="auto"/>
        </w:rPr>
      </w:pPr>
      <w:r>
        <w:rPr>
          <w:rFonts w:ascii="Calibri" w:cs="Calibri" w:eastAsia="Calibri" w:hAnsi="Calibri"/>
          <w:sz w:val="18"/>
          <w:szCs w:val="18"/>
          <w:color w:val="auto"/>
        </w:rPr>
        <w:t>The following is a summary of the Company’s open costless collar contracts at December 31, 2025.</w:t>
      </w:r>
    </w:p>
    <w:p>
      <w:pPr>
        <w:spacing w:after="0" w:line="213"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Verdana" w:cs="Verdana" w:eastAsia="Verdana" w:hAnsi="Verdana"/>
                <w:sz w:val="14"/>
                <w:szCs w:val="14"/>
                <w:color w:val="auto"/>
                <w:w w:val="99"/>
              </w:rPr>
              <w:t>Weighted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gridSpan w:val="2"/>
          </w:tcPr>
          <w:p>
            <w:pPr>
              <w:jc w:val="center"/>
              <w:spacing w:after="0" w:line="166" w:lineRule="exact"/>
              <w:rPr>
                <w:sz w:val="20"/>
                <w:szCs w:val="20"/>
                <w:color w:val="auto"/>
              </w:rPr>
            </w:pPr>
            <w:r>
              <w:rPr>
                <w:rFonts w:ascii="Verdana" w:cs="Verdana" w:eastAsia="Verdana" w:hAnsi="Verdana"/>
                <w:sz w:val="14"/>
                <w:szCs w:val="14"/>
                <w:color w:val="auto"/>
                <w:w w:val="96"/>
              </w:rPr>
              <w:t>Weighted</w:t>
            </w:r>
          </w:p>
        </w:tc>
        <w:tc>
          <w:tcPr>
            <w:tcW w:w="200" w:type="dxa"/>
            <w:vAlign w:val="bottom"/>
          </w:tcPr>
          <w:p>
            <w:pPr>
              <w:spacing w:after="0"/>
              <w:rPr>
                <w:sz w:val="14"/>
                <w:szCs w:val="14"/>
                <w:color w:val="auto"/>
              </w:rPr>
            </w:pPr>
          </w:p>
        </w:tc>
        <w:tc>
          <w:tcPr>
            <w:tcW w:w="840" w:type="dxa"/>
            <w:vAlign w:val="bottom"/>
          </w:tcPr>
          <w:p>
            <w:pPr>
              <w:jc w:val="center"/>
              <w:ind w:right="148"/>
              <w:spacing w:after="0" w:line="166" w:lineRule="exact"/>
              <w:rPr>
                <w:sz w:val="20"/>
                <w:szCs w:val="20"/>
                <w:color w:val="auto"/>
              </w:rPr>
            </w:pPr>
            <w:r>
              <w:rPr>
                <w:rFonts w:ascii="Verdana" w:cs="Verdana" w:eastAsia="Verdana" w:hAnsi="Verdana"/>
                <w:sz w:val="14"/>
                <w:szCs w:val="14"/>
                <w:color w:val="auto"/>
              </w:rPr>
              <w:t>Average</w:t>
            </w:r>
          </w:p>
        </w:tc>
        <w:tc>
          <w:tcPr>
            <w:tcW w:w="980" w:type="dxa"/>
            <w:vAlign w:val="bottom"/>
            <w:gridSpan w:val="2"/>
            <w:vMerge w:val="restart"/>
          </w:tcPr>
          <w:p>
            <w:pPr>
              <w:ind w:left="60"/>
              <w:spacing w:after="0"/>
              <w:rPr>
                <w:sz w:val="20"/>
                <w:szCs w:val="20"/>
                <w:color w:val="auto"/>
              </w:rPr>
            </w:pPr>
            <w:r>
              <w:rPr>
                <w:rFonts w:ascii="Verdana" w:cs="Verdana" w:eastAsia="Verdana" w:hAnsi="Verdana"/>
                <w:sz w:val="14"/>
                <w:szCs w:val="14"/>
                <w:color w:val="auto"/>
              </w:rPr>
              <w:t>Fair Value of</w:t>
            </w:r>
          </w:p>
        </w:tc>
        <w:tc>
          <w:tcPr>
            <w:tcW w:w="0" w:type="dxa"/>
            <w:vAlign w:val="bottom"/>
          </w:tcPr>
          <w:p>
            <w:pPr>
              <w:spacing w:after="0"/>
              <w:rPr>
                <w:sz w:val="1"/>
                <w:szCs w:val="1"/>
                <w:color w:val="auto"/>
              </w:rPr>
            </w:pPr>
          </w:p>
        </w:tc>
      </w:tr>
      <w:tr>
        <w:trPr>
          <w:trHeight w:val="165"/>
        </w:trPr>
        <w:tc>
          <w:tcPr>
            <w:tcW w:w="30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ind w:right="86"/>
              <w:spacing w:after="0" w:line="166" w:lineRule="exact"/>
              <w:rPr>
                <w:sz w:val="20"/>
                <w:szCs w:val="20"/>
                <w:color w:val="auto"/>
              </w:rPr>
            </w:pPr>
            <w:r>
              <w:rPr>
                <w:rFonts w:ascii="Verdana" w:cs="Verdana" w:eastAsia="Verdana" w:hAnsi="Verdana"/>
                <w:sz w:val="14"/>
                <w:szCs w:val="14"/>
                <w:color w:val="auto"/>
                <w:w w:val="96"/>
              </w:rPr>
              <w:t>Average</w:t>
            </w:r>
          </w:p>
        </w:tc>
        <w:tc>
          <w:tcPr>
            <w:tcW w:w="200" w:type="dxa"/>
            <w:vAlign w:val="bottom"/>
          </w:tcPr>
          <w:p>
            <w:pPr>
              <w:spacing w:after="0"/>
              <w:rPr>
                <w:sz w:val="14"/>
                <w:szCs w:val="14"/>
                <w:color w:val="auto"/>
              </w:rPr>
            </w:pPr>
          </w:p>
        </w:tc>
        <w:tc>
          <w:tcPr>
            <w:tcW w:w="840" w:type="dxa"/>
            <w:vAlign w:val="bottom"/>
          </w:tcPr>
          <w:p>
            <w:pPr>
              <w:jc w:val="center"/>
              <w:ind w:right="148"/>
              <w:spacing w:after="0" w:line="166" w:lineRule="exact"/>
              <w:rPr>
                <w:sz w:val="20"/>
                <w:szCs w:val="20"/>
                <w:color w:val="auto"/>
              </w:rPr>
            </w:pPr>
            <w:r>
              <w:rPr>
                <w:rFonts w:ascii="Verdana" w:cs="Verdana" w:eastAsia="Verdana" w:hAnsi="Verdana"/>
                <w:sz w:val="14"/>
                <w:szCs w:val="14"/>
                <w:color w:val="auto"/>
                <w:w w:val="99"/>
              </w:rPr>
              <w:t>Price</w:t>
            </w: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320" w:type="dxa"/>
            <w:vAlign w:val="bottom"/>
          </w:tcPr>
          <w:p>
            <w:pPr>
              <w:jc w:val="center"/>
              <w:spacing w:after="0" w:line="166" w:lineRule="exact"/>
              <w:rPr>
                <w:sz w:val="20"/>
                <w:szCs w:val="20"/>
                <w:color w:val="auto"/>
              </w:rPr>
            </w:pPr>
            <w:r>
              <w:rPr>
                <w:rFonts w:ascii="Verdana" w:cs="Verdana" w:eastAsia="Verdana" w:hAnsi="Verdana"/>
                <w:sz w:val="14"/>
                <w:szCs w:val="14"/>
                <w:color w:val="auto"/>
                <w:w w:val="99"/>
              </w:rPr>
              <w:t>Notional</w:t>
            </w:r>
          </w:p>
        </w:tc>
        <w:tc>
          <w:tcPr>
            <w:tcW w:w="1000" w:type="dxa"/>
            <w:vAlign w:val="bottom"/>
            <w:gridSpan w:val="2"/>
          </w:tcPr>
          <w:p>
            <w:pPr>
              <w:jc w:val="center"/>
              <w:spacing w:after="0" w:line="166" w:lineRule="exact"/>
              <w:rPr>
                <w:sz w:val="20"/>
                <w:szCs w:val="20"/>
                <w:color w:val="auto"/>
              </w:rPr>
            </w:pPr>
            <w:r>
              <w:rPr>
                <w:rFonts w:ascii="Verdana" w:cs="Verdana" w:eastAsia="Verdana" w:hAnsi="Verdana"/>
                <w:sz w:val="14"/>
                <w:szCs w:val="14"/>
                <w:color w:val="auto"/>
                <w:w w:val="97"/>
              </w:rPr>
              <w:t>Price Floor</w:t>
            </w:r>
          </w:p>
        </w:tc>
        <w:tc>
          <w:tcPr>
            <w:tcW w:w="200" w:type="dxa"/>
            <w:vAlign w:val="bottom"/>
          </w:tcPr>
          <w:p>
            <w:pPr>
              <w:spacing w:after="0"/>
              <w:rPr>
                <w:sz w:val="14"/>
                <w:szCs w:val="14"/>
                <w:color w:val="auto"/>
              </w:rPr>
            </w:pPr>
          </w:p>
        </w:tc>
        <w:tc>
          <w:tcPr>
            <w:tcW w:w="840" w:type="dxa"/>
            <w:vAlign w:val="bottom"/>
          </w:tcPr>
          <w:p>
            <w:pPr>
              <w:jc w:val="center"/>
              <w:ind w:right="148"/>
              <w:spacing w:after="0" w:line="166" w:lineRule="exact"/>
              <w:rPr>
                <w:sz w:val="20"/>
                <w:szCs w:val="20"/>
                <w:color w:val="auto"/>
              </w:rPr>
            </w:pPr>
            <w:r>
              <w:rPr>
                <w:rFonts w:ascii="Verdana" w:cs="Verdana" w:eastAsia="Verdana" w:hAnsi="Verdana"/>
                <w:sz w:val="14"/>
                <w:szCs w:val="14"/>
                <w:color w:val="auto"/>
                <w:w w:val="97"/>
              </w:rPr>
              <w:t>Ceiling</w:t>
            </w:r>
          </w:p>
        </w:tc>
        <w:tc>
          <w:tcPr>
            <w:tcW w:w="160" w:type="dxa"/>
            <w:vAlign w:val="bottom"/>
          </w:tcPr>
          <w:p>
            <w:pPr>
              <w:spacing w:after="0"/>
              <w:rPr>
                <w:sz w:val="14"/>
                <w:szCs w:val="14"/>
                <w:color w:val="auto"/>
              </w:rPr>
            </w:pPr>
          </w:p>
        </w:tc>
        <w:tc>
          <w:tcPr>
            <w:tcW w:w="820" w:type="dxa"/>
            <w:vAlign w:val="bottom"/>
          </w:tcPr>
          <w:p>
            <w:pPr>
              <w:jc w:val="right"/>
              <w:ind w:right="225"/>
              <w:spacing w:after="0" w:line="166" w:lineRule="exact"/>
              <w:rPr>
                <w:sz w:val="20"/>
                <w:szCs w:val="20"/>
                <w:color w:val="auto"/>
              </w:rPr>
            </w:pPr>
            <w:r>
              <w:rPr>
                <w:rFonts w:ascii="Verdana" w:cs="Verdana" w:eastAsia="Verdana" w:hAnsi="Verdana"/>
                <w:sz w:val="14"/>
                <w:szCs w:val="14"/>
                <w:color w:val="auto"/>
              </w:rPr>
              <w:t>Asset</w:t>
            </w:r>
          </w:p>
        </w:tc>
        <w:tc>
          <w:tcPr>
            <w:tcW w:w="0" w:type="dxa"/>
            <w:vAlign w:val="bottom"/>
          </w:tcPr>
          <w:p>
            <w:pPr>
              <w:spacing w:after="0"/>
              <w:rPr>
                <w:sz w:val="1"/>
                <w:szCs w:val="1"/>
                <w:color w:val="auto"/>
              </w:rPr>
            </w:pPr>
          </w:p>
        </w:tc>
      </w:tr>
      <w:tr>
        <w:trPr>
          <w:trHeight w:val="165"/>
        </w:trPr>
        <w:tc>
          <w:tcPr>
            <w:tcW w:w="30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320" w:type="dxa"/>
            <w:vAlign w:val="bottom"/>
          </w:tcPr>
          <w:p>
            <w:pPr>
              <w:jc w:val="center"/>
              <w:spacing w:after="0" w:line="166" w:lineRule="exact"/>
              <w:rPr>
                <w:sz w:val="20"/>
                <w:szCs w:val="20"/>
                <w:color w:val="auto"/>
              </w:rPr>
            </w:pPr>
            <w:r>
              <w:rPr>
                <w:rFonts w:ascii="Verdana" w:cs="Verdana" w:eastAsia="Verdana" w:hAnsi="Verdana"/>
                <w:sz w:val="14"/>
                <w:szCs w:val="14"/>
                <w:color w:val="auto"/>
                <w:w w:val="97"/>
              </w:rPr>
              <w:t>Quantity (Bbl or</w:t>
            </w:r>
          </w:p>
        </w:tc>
        <w:tc>
          <w:tcPr>
            <w:tcW w:w="200" w:type="dxa"/>
            <w:vAlign w:val="bottom"/>
          </w:tcPr>
          <w:p>
            <w:pPr>
              <w:spacing w:after="0"/>
              <w:rPr>
                <w:sz w:val="14"/>
                <w:szCs w:val="14"/>
                <w:color w:val="auto"/>
              </w:rPr>
            </w:pPr>
          </w:p>
        </w:tc>
        <w:tc>
          <w:tcPr>
            <w:tcW w:w="800" w:type="dxa"/>
            <w:vAlign w:val="bottom"/>
          </w:tcPr>
          <w:p>
            <w:pPr>
              <w:jc w:val="center"/>
              <w:ind w:right="66"/>
              <w:spacing w:after="0" w:line="166" w:lineRule="exact"/>
              <w:rPr>
                <w:sz w:val="20"/>
                <w:szCs w:val="20"/>
                <w:color w:val="auto"/>
              </w:rPr>
            </w:pPr>
            <w:r>
              <w:rPr>
                <w:rFonts w:ascii="Verdana" w:cs="Verdana" w:eastAsia="Verdana" w:hAnsi="Verdana"/>
                <w:sz w:val="14"/>
                <w:szCs w:val="14"/>
                <w:color w:val="auto"/>
                <w:w w:val="97"/>
              </w:rPr>
              <w:t>($/Bbl or</w:t>
            </w:r>
          </w:p>
        </w:tc>
        <w:tc>
          <w:tcPr>
            <w:tcW w:w="200" w:type="dxa"/>
            <w:vAlign w:val="bottom"/>
          </w:tcPr>
          <w:p>
            <w:pPr>
              <w:spacing w:after="0"/>
              <w:rPr>
                <w:sz w:val="14"/>
                <w:szCs w:val="14"/>
                <w:color w:val="auto"/>
              </w:rPr>
            </w:pPr>
          </w:p>
        </w:tc>
        <w:tc>
          <w:tcPr>
            <w:tcW w:w="840" w:type="dxa"/>
            <w:vAlign w:val="bottom"/>
          </w:tcPr>
          <w:p>
            <w:pPr>
              <w:jc w:val="center"/>
              <w:ind w:right="148"/>
              <w:spacing w:after="0" w:line="166" w:lineRule="exact"/>
              <w:rPr>
                <w:sz w:val="20"/>
                <w:szCs w:val="20"/>
                <w:color w:val="auto"/>
              </w:rPr>
            </w:pPr>
            <w:r>
              <w:rPr>
                <w:rFonts w:ascii="Verdana" w:cs="Verdana" w:eastAsia="Verdana" w:hAnsi="Verdana"/>
                <w:sz w:val="14"/>
                <w:szCs w:val="14"/>
                <w:color w:val="auto"/>
                <w:w w:val="97"/>
              </w:rPr>
              <w:t>($/Bbl or</w:t>
            </w:r>
          </w:p>
        </w:tc>
        <w:tc>
          <w:tcPr>
            <w:tcW w:w="160" w:type="dxa"/>
            <w:vAlign w:val="bottom"/>
          </w:tcPr>
          <w:p>
            <w:pPr>
              <w:spacing w:after="0"/>
              <w:rPr>
                <w:sz w:val="14"/>
                <w:szCs w:val="14"/>
                <w:color w:val="auto"/>
              </w:rPr>
            </w:pPr>
          </w:p>
        </w:tc>
        <w:tc>
          <w:tcPr>
            <w:tcW w:w="820" w:type="dxa"/>
            <w:vAlign w:val="bottom"/>
          </w:tcPr>
          <w:p>
            <w:pPr>
              <w:jc w:val="right"/>
              <w:ind w:right="85"/>
              <w:spacing w:after="0" w:line="166" w:lineRule="exact"/>
              <w:rPr>
                <w:sz w:val="20"/>
                <w:szCs w:val="20"/>
                <w:color w:val="auto"/>
              </w:rPr>
            </w:pPr>
            <w:r>
              <w:rPr>
                <w:rFonts w:ascii="Verdana" w:cs="Verdana" w:eastAsia="Verdana" w:hAnsi="Verdana"/>
                <w:sz w:val="14"/>
                <w:szCs w:val="14"/>
                <w:color w:val="auto"/>
                <w:w w:val="95"/>
              </w:rPr>
              <w:t>(Liability)</w:t>
            </w:r>
          </w:p>
        </w:tc>
        <w:tc>
          <w:tcPr>
            <w:tcW w:w="0" w:type="dxa"/>
            <w:vAlign w:val="bottom"/>
          </w:tcPr>
          <w:p>
            <w:pPr>
              <w:spacing w:after="0"/>
              <w:rPr>
                <w:sz w:val="1"/>
                <w:szCs w:val="1"/>
                <w:color w:val="auto"/>
              </w:rPr>
            </w:pPr>
          </w:p>
        </w:tc>
      </w:tr>
      <w:tr>
        <w:trPr>
          <w:trHeight w:val="193"/>
        </w:trPr>
        <w:tc>
          <w:tcPr>
            <w:tcW w:w="3000" w:type="dxa"/>
            <w:vAlign w:val="bottom"/>
            <w:tcBorders>
              <w:bottom w:val="single" w:sz="8" w:color="214E93"/>
            </w:tcBorders>
          </w:tcPr>
          <w:p>
            <w:pPr>
              <w:ind w:left="40"/>
              <w:spacing w:after="0"/>
              <w:rPr>
                <w:sz w:val="20"/>
                <w:szCs w:val="20"/>
                <w:color w:val="auto"/>
              </w:rPr>
            </w:pPr>
            <w:r>
              <w:rPr>
                <w:rFonts w:ascii="Verdana" w:cs="Verdana" w:eastAsia="Verdana" w:hAnsi="Verdana"/>
                <w:sz w:val="14"/>
                <w:szCs w:val="14"/>
                <w:color w:val="auto"/>
              </w:rPr>
              <w:t>Commodity</w:t>
            </w:r>
          </w:p>
        </w:tc>
        <w:tc>
          <w:tcPr>
            <w:tcW w:w="222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auto"/>
                <w:w w:val="98"/>
              </w:rPr>
              <w:t>Calculation Period</w:t>
            </w:r>
          </w:p>
        </w:tc>
        <w:tc>
          <w:tcPr>
            <w:tcW w:w="132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auto"/>
                <w:w w:val="99"/>
              </w:rPr>
              <w:t>MMBtu)</w:t>
            </w:r>
          </w:p>
        </w:tc>
        <w:tc>
          <w:tcPr>
            <w:tcW w:w="1000" w:type="dxa"/>
            <w:vAlign w:val="bottom"/>
            <w:tcBorders>
              <w:bottom w:val="single" w:sz="8" w:color="214E93"/>
            </w:tcBorders>
            <w:gridSpan w:val="2"/>
          </w:tcPr>
          <w:p>
            <w:pPr>
              <w:jc w:val="center"/>
              <w:spacing w:after="0"/>
              <w:rPr>
                <w:sz w:val="20"/>
                <w:szCs w:val="20"/>
                <w:color w:val="auto"/>
              </w:rPr>
            </w:pPr>
            <w:r>
              <w:rPr>
                <w:rFonts w:ascii="Verdana" w:cs="Verdana" w:eastAsia="Verdana" w:hAnsi="Verdana"/>
                <w:sz w:val="14"/>
                <w:szCs w:val="14"/>
                <w:color w:val="auto"/>
                <w:w w:val="98"/>
              </w:rPr>
              <w:t>$/MMBtu)</w:t>
            </w:r>
          </w:p>
        </w:tc>
        <w:tc>
          <w:tcPr>
            <w:tcW w:w="1040" w:type="dxa"/>
            <w:vAlign w:val="bottom"/>
            <w:tcBorders>
              <w:bottom w:val="single" w:sz="8" w:color="214E93"/>
            </w:tcBorders>
            <w:gridSpan w:val="2"/>
          </w:tcPr>
          <w:p>
            <w:pPr>
              <w:jc w:val="center"/>
              <w:spacing w:after="0"/>
              <w:rPr>
                <w:sz w:val="20"/>
                <w:szCs w:val="20"/>
                <w:color w:val="auto"/>
              </w:rPr>
            </w:pPr>
            <w:r>
              <w:rPr>
                <w:rFonts w:ascii="Verdana" w:cs="Verdana" w:eastAsia="Verdana" w:hAnsi="Verdana"/>
                <w:sz w:val="14"/>
                <w:szCs w:val="14"/>
                <w:color w:val="auto"/>
              </w:rPr>
              <w:t>$/MMBtu)</w:t>
            </w:r>
          </w:p>
        </w:tc>
        <w:tc>
          <w:tcPr>
            <w:tcW w:w="980" w:type="dxa"/>
            <w:vAlign w:val="bottom"/>
            <w:tcBorders>
              <w:bottom w:val="single" w:sz="8" w:color="214E93"/>
            </w:tcBorders>
            <w:gridSpan w:val="2"/>
          </w:tcPr>
          <w:p>
            <w:pPr>
              <w:ind w:left="80"/>
              <w:spacing w:after="0"/>
              <w:rPr>
                <w:sz w:val="20"/>
                <w:szCs w:val="20"/>
                <w:color w:val="auto"/>
              </w:rPr>
            </w:pPr>
            <w:r>
              <w:rPr>
                <w:rFonts w:ascii="Verdana" w:cs="Verdana" w:eastAsia="Verdana" w:hAnsi="Verdana"/>
                <w:sz w:val="14"/>
                <w:szCs w:val="14"/>
                <w:color w:val="auto"/>
              </w:rPr>
              <w:t>(thousands)</w:t>
            </w:r>
          </w:p>
        </w:tc>
        <w:tc>
          <w:tcPr>
            <w:tcW w:w="0" w:type="dxa"/>
            <w:vAlign w:val="bottom"/>
          </w:tcPr>
          <w:p>
            <w:pPr>
              <w:spacing w:after="0"/>
              <w:rPr>
                <w:sz w:val="1"/>
                <w:szCs w:val="1"/>
                <w:color w:val="auto"/>
              </w:rPr>
            </w:pPr>
          </w:p>
        </w:tc>
      </w:tr>
      <w:tr>
        <w:trPr>
          <w:trHeight w:val="216"/>
        </w:trPr>
        <w:tc>
          <w:tcPr>
            <w:tcW w:w="3000" w:type="dxa"/>
            <w:vAlign w:val="bottom"/>
          </w:tcPr>
          <w:p>
            <w:pPr>
              <w:ind w:left="40"/>
              <w:spacing w:after="0"/>
              <w:rPr>
                <w:sz w:val="20"/>
                <w:szCs w:val="20"/>
                <w:color w:val="auto"/>
              </w:rPr>
            </w:pPr>
            <w:r>
              <w:rPr>
                <w:rFonts w:ascii="Verdana" w:cs="Verdana" w:eastAsia="Verdana" w:hAnsi="Verdana"/>
                <w:sz w:val="16"/>
                <w:szCs w:val="16"/>
                <w:color w:val="auto"/>
              </w:rPr>
              <w:t>Oil</w:t>
            </w:r>
          </w:p>
        </w:tc>
        <w:tc>
          <w:tcPr>
            <w:tcW w:w="2220" w:type="dxa"/>
            <w:vAlign w:val="bottom"/>
          </w:tcPr>
          <w:p>
            <w:pPr>
              <w:jc w:val="center"/>
              <w:spacing w:after="0"/>
              <w:rPr>
                <w:sz w:val="20"/>
                <w:szCs w:val="20"/>
                <w:color w:val="auto"/>
              </w:rPr>
            </w:pPr>
            <w:r>
              <w:rPr>
                <w:rFonts w:ascii="Verdana" w:cs="Verdana" w:eastAsia="Verdana" w:hAnsi="Verdana"/>
                <w:sz w:val="16"/>
                <w:szCs w:val="16"/>
                <w:color w:val="214E93"/>
                <w:w w:val="97"/>
              </w:rPr>
              <w:t>01/01/2026 - 12/31/2026</w:t>
            </w:r>
          </w:p>
        </w:tc>
        <w:tc>
          <w:tcPr>
            <w:tcW w:w="1320" w:type="dxa"/>
            <w:vAlign w:val="bottom"/>
          </w:tcPr>
          <w:p>
            <w:pPr>
              <w:jc w:val="right"/>
              <w:ind w:right="7"/>
              <w:spacing w:after="0"/>
              <w:rPr>
                <w:sz w:val="20"/>
                <w:szCs w:val="20"/>
                <w:color w:val="auto"/>
              </w:rPr>
            </w:pPr>
            <w:r>
              <w:rPr>
                <w:rFonts w:ascii="Verdana" w:cs="Verdana" w:eastAsia="Verdana" w:hAnsi="Verdana"/>
                <w:sz w:val="16"/>
                <w:szCs w:val="16"/>
                <w:color w:val="214E93"/>
              </w:rPr>
              <w:t>6,752,500</w:t>
            </w:r>
          </w:p>
        </w:tc>
        <w:tc>
          <w:tcPr>
            <w:tcW w:w="20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800" w:type="dxa"/>
            <w:vAlign w:val="bottom"/>
          </w:tcPr>
          <w:p>
            <w:pPr>
              <w:jc w:val="right"/>
              <w:ind w:right="26"/>
              <w:spacing w:after="0"/>
              <w:rPr>
                <w:sz w:val="20"/>
                <w:szCs w:val="20"/>
                <w:color w:val="auto"/>
              </w:rPr>
            </w:pPr>
            <w:r>
              <w:rPr>
                <w:rFonts w:ascii="Verdana" w:cs="Verdana" w:eastAsia="Verdana" w:hAnsi="Verdana"/>
                <w:sz w:val="16"/>
                <w:szCs w:val="16"/>
                <w:color w:val="214E93"/>
              </w:rPr>
              <w:t>50.00</w:t>
            </w:r>
          </w:p>
        </w:tc>
        <w:tc>
          <w:tcPr>
            <w:tcW w:w="20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840" w:type="dxa"/>
            <w:vAlign w:val="bottom"/>
          </w:tcPr>
          <w:p>
            <w:pPr>
              <w:jc w:val="right"/>
              <w:ind w:right="88"/>
              <w:spacing w:after="0"/>
              <w:rPr>
                <w:sz w:val="20"/>
                <w:szCs w:val="20"/>
                <w:color w:val="auto"/>
              </w:rPr>
            </w:pPr>
            <w:r>
              <w:rPr>
                <w:rFonts w:ascii="Verdana" w:cs="Verdana" w:eastAsia="Verdana" w:hAnsi="Verdana"/>
                <w:sz w:val="16"/>
                <w:szCs w:val="16"/>
                <w:color w:val="214E93"/>
              </w:rPr>
              <w:t>65.00</w:t>
            </w:r>
          </w:p>
        </w:tc>
        <w:tc>
          <w:tcPr>
            <w:tcW w:w="16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214E93"/>
                <w:w w:val="97"/>
              </w:rPr>
              <w:t>$</w:t>
            </w:r>
          </w:p>
        </w:tc>
        <w:tc>
          <w:tcPr>
            <w:tcW w:w="820" w:type="dxa"/>
            <w:vAlign w:val="bottom"/>
            <w:tcBorders>
              <w:bottom w:val="single" w:sz="8" w:color="auto"/>
            </w:tcBorders>
          </w:tcPr>
          <w:p>
            <w:pPr>
              <w:jc w:val="right"/>
              <w:ind w:right="5"/>
              <w:spacing w:after="0"/>
              <w:rPr>
                <w:sz w:val="20"/>
                <w:szCs w:val="20"/>
                <w:color w:val="auto"/>
              </w:rPr>
            </w:pPr>
            <w:r>
              <w:rPr>
                <w:rFonts w:ascii="Verdana" w:cs="Verdana" w:eastAsia="Verdana" w:hAnsi="Verdana"/>
                <w:sz w:val="16"/>
                <w:szCs w:val="16"/>
                <w:color w:val="214E93"/>
              </w:rPr>
              <w:t>717</w:t>
            </w:r>
          </w:p>
        </w:tc>
        <w:tc>
          <w:tcPr>
            <w:tcW w:w="0" w:type="dxa"/>
            <w:vAlign w:val="bottom"/>
          </w:tcPr>
          <w:p>
            <w:pPr>
              <w:spacing w:after="0"/>
              <w:rPr>
                <w:sz w:val="1"/>
                <w:szCs w:val="1"/>
                <w:color w:val="auto"/>
              </w:rPr>
            </w:pPr>
          </w:p>
        </w:tc>
      </w:tr>
      <w:tr>
        <w:trPr>
          <w:trHeight w:val="216"/>
        </w:trPr>
        <w:tc>
          <w:tcPr>
            <w:tcW w:w="3000" w:type="dxa"/>
            <w:vAlign w:val="bottom"/>
          </w:tcPr>
          <w:p>
            <w:pPr>
              <w:ind w:left="40"/>
              <w:spacing w:after="0"/>
              <w:rPr>
                <w:sz w:val="20"/>
                <w:szCs w:val="20"/>
                <w:color w:val="auto"/>
              </w:rPr>
            </w:pPr>
            <w:r>
              <w:rPr>
                <w:rFonts w:ascii="Verdana" w:cs="Verdana" w:eastAsia="Verdana" w:hAnsi="Verdana"/>
                <w:sz w:val="16"/>
                <w:szCs w:val="16"/>
                <w:color w:val="auto"/>
              </w:rPr>
              <w:t>Natural Gas</w:t>
            </w:r>
          </w:p>
        </w:tc>
        <w:tc>
          <w:tcPr>
            <w:tcW w:w="2220" w:type="dxa"/>
            <w:vAlign w:val="bottom"/>
          </w:tcPr>
          <w:p>
            <w:pPr>
              <w:jc w:val="center"/>
              <w:spacing w:after="0"/>
              <w:rPr>
                <w:sz w:val="20"/>
                <w:szCs w:val="20"/>
                <w:color w:val="auto"/>
              </w:rPr>
            </w:pPr>
            <w:r>
              <w:rPr>
                <w:rFonts w:ascii="Verdana" w:cs="Verdana" w:eastAsia="Verdana" w:hAnsi="Verdana"/>
                <w:sz w:val="16"/>
                <w:szCs w:val="16"/>
                <w:color w:val="214E93"/>
                <w:w w:val="97"/>
              </w:rPr>
              <w:t>01/01/2026 - 12/31/2026</w:t>
            </w:r>
          </w:p>
        </w:tc>
        <w:tc>
          <w:tcPr>
            <w:tcW w:w="1320" w:type="dxa"/>
            <w:vAlign w:val="bottom"/>
          </w:tcPr>
          <w:p>
            <w:pPr>
              <w:jc w:val="right"/>
              <w:ind w:right="7"/>
              <w:spacing w:after="0"/>
              <w:rPr>
                <w:sz w:val="20"/>
                <w:szCs w:val="20"/>
                <w:color w:val="auto"/>
              </w:rPr>
            </w:pPr>
            <w:r>
              <w:rPr>
                <w:rFonts w:ascii="Verdana" w:cs="Verdana" w:eastAsia="Verdana" w:hAnsi="Verdana"/>
                <w:sz w:val="16"/>
                <w:szCs w:val="16"/>
                <w:color w:val="214E93"/>
              </w:rPr>
              <w:t>54,750,000</w:t>
            </w:r>
          </w:p>
        </w:tc>
        <w:tc>
          <w:tcPr>
            <w:tcW w:w="20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800" w:type="dxa"/>
            <w:vAlign w:val="bottom"/>
          </w:tcPr>
          <w:p>
            <w:pPr>
              <w:jc w:val="right"/>
              <w:ind w:right="26"/>
              <w:spacing w:after="0"/>
              <w:rPr>
                <w:sz w:val="20"/>
                <w:szCs w:val="20"/>
                <w:color w:val="auto"/>
              </w:rPr>
            </w:pPr>
            <w:r>
              <w:rPr>
                <w:rFonts w:ascii="Verdana" w:cs="Verdana" w:eastAsia="Verdana" w:hAnsi="Verdana"/>
                <w:sz w:val="16"/>
                <w:szCs w:val="16"/>
                <w:color w:val="214E93"/>
              </w:rPr>
              <w:t>3.50</w:t>
            </w:r>
          </w:p>
        </w:tc>
        <w:tc>
          <w:tcPr>
            <w:tcW w:w="20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840" w:type="dxa"/>
            <w:vAlign w:val="bottom"/>
          </w:tcPr>
          <w:p>
            <w:pPr>
              <w:jc w:val="right"/>
              <w:ind w:right="88"/>
              <w:spacing w:after="0"/>
              <w:rPr>
                <w:sz w:val="20"/>
                <w:szCs w:val="20"/>
                <w:color w:val="auto"/>
              </w:rPr>
            </w:pPr>
            <w:r>
              <w:rPr>
                <w:rFonts w:ascii="Verdana" w:cs="Verdana" w:eastAsia="Verdana" w:hAnsi="Verdana"/>
                <w:sz w:val="16"/>
                <w:szCs w:val="16"/>
                <w:color w:val="214E93"/>
              </w:rPr>
              <w:t>6.70</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
              <w:spacing w:after="0"/>
              <w:rPr>
                <w:sz w:val="20"/>
                <w:szCs w:val="20"/>
                <w:color w:val="auto"/>
              </w:rPr>
            </w:pPr>
            <w:r>
              <w:rPr>
                <w:rFonts w:ascii="Verdana" w:cs="Verdana" w:eastAsia="Verdana" w:hAnsi="Verdana"/>
                <w:sz w:val="16"/>
                <w:szCs w:val="16"/>
                <w:color w:val="214E93"/>
              </w:rPr>
              <w:t>17,396</w:t>
            </w:r>
          </w:p>
        </w:tc>
        <w:tc>
          <w:tcPr>
            <w:tcW w:w="0" w:type="dxa"/>
            <w:vAlign w:val="bottom"/>
          </w:tcPr>
          <w:p>
            <w:pPr>
              <w:spacing w:after="0"/>
              <w:rPr>
                <w:sz w:val="1"/>
                <w:szCs w:val="1"/>
                <w:color w:val="auto"/>
              </w:rPr>
            </w:pPr>
          </w:p>
        </w:tc>
      </w:tr>
      <w:tr>
        <w:trPr>
          <w:trHeight w:val="216"/>
        </w:trPr>
        <w:tc>
          <w:tcPr>
            <w:tcW w:w="3000" w:type="dxa"/>
            <w:vAlign w:val="bottom"/>
          </w:tcPr>
          <w:p>
            <w:pPr>
              <w:ind w:left="160"/>
              <w:spacing w:after="0"/>
              <w:rPr>
                <w:sz w:val="20"/>
                <w:szCs w:val="20"/>
                <w:color w:val="auto"/>
              </w:rPr>
            </w:pPr>
            <w:r>
              <w:rPr>
                <w:rFonts w:ascii="Verdana" w:cs="Verdana" w:eastAsia="Verdana" w:hAnsi="Verdana"/>
                <w:sz w:val="16"/>
                <w:szCs w:val="16"/>
                <w:color w:val="auto"/>
                <w:w w:val="99"/>
              </w:rPr>
              <w:t>Total open costless collar contracts</w:t>
            </w:r>
          </w:p>
        </w:tc>
        <w:tc>
          <w:tcPr>
            <w:tcW w:w="2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214E93"/>
                <w:w w:val="97"/>
              </w:rPr>
              <w:t>$</w:t>
            </w:r>
          </w:p>
        </w:tc>
        <w:tc>
          <w:tcPr>
            <w:tcW w:w="820" w:type="dxa"/>
            <w:vAlign w:val="bottom"/>
            <w:tcBorders>
              <w:bottom w:val="single" w:sz="8" w:color="auto"/>
            </w:tcBorders>
          </w:tcPr>
          <w:p>
            <w:pPr>
              <w:jc w:val="right"/>
              <w:ind w:right="5"/>
              <w:spacing w:after="0"/>
              <w:rPr>
                <w:sz w:val="20"/>
                <w:szCs w:val="20"/>
                <w:color w:val="auto"/>
              </w:rPr>
            </w:pPr>
            <w:r>
              <w:rPr>
                <w:rFonts w:ascii="Verdana" w:cs="Verdana" w:eastAsia="Verdana" w:hAnsi="Verdana"/>
                <w:sz w:val="16"/>
                <w:szCs w:val="16"/>
                <w:color w:val="214E93"/>
              </w:rPr>
              <w:t>18,113</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880" w:h="15480" w:orient="portrait"/>
          <w:cols w:equalWidth="0" w:num="1">
            <w:col w:w="10340"/>
          </w:cols>
          <w:pgMar w:left="38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00"/>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0340"/>
          </w:cols>
          <w:pgMar w:left="380" w:top="498" w:right="1160" w:bottom="0" w:gutter="0" w:footer="0" w:header="0"/>
          <w:type w:val="continuous"/>
        </w:sectPr>
      </w:pPr>
    </w:p>
    <w:bookmarkStart w:id="166" w:name="page167"/>
    <w:bookmarkEnd w:id="166"/>
    <w:tbl>
      <w:tblPr>
        <w:tblLayout w:type="fixed"/>
        <w:tblInd w:w="0" w:type="dxa"/>
        <w:tblCellMar>
          <w:top w:w="0" w:type="dxa"/>
          <w:left w:w="0" w:type="dxa"/>
          <w:bottom w:w="0" w:type="dxa"/>
          <w:right w:w="0" w:type="dxa"/>
        </w:tblCellMar>
      </w:tblPr>
      <w:tr>
        <w:trPr>
          <w:trHeight w:val="220"/>
        </w:trPr>
        <w:tc>
          <w:tcPr>
            <w:tcW w:w="11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80" w:type="dxa"/>
            <w:vAlign w:val="bottom"/>
            <w:gridSpan w:val="3"/>
          </w:tcPr>
          <w:p>
            <w:pPr>
              <w:ind w:left="300"/>
              <w:spacing w:after="0"/>
              <w:rPr>
                <w:sz w:val="20"/>
                <w:szCs w:val="20"/>
                <w:color w:val="auto"/>
              </w:rPr>
            </w:pPr>
            <w:r>
              <w:rPr>
                <w:rFonts w:ascii="Calibri" w:cs="Calibri" w:eastAsia="Calibri" w:hAnsi="Calibri"/>
                <w:sz w:val="18"/>
                <w:szCs w:val="18"/>
                <w:color w:val="auto"/>
                <w:w w:val="99"/>
              </w:rPr>
              <w:t>2025 ANNUAL REPORT</w:t>
            </w:r>
          </w:p>
        </w:tc>
        <w:tc>
          <w:tcPr>
            <w:tcW w:w="780" w:type="dxa"/>
            <w:vAlign w:val="bottom"/>
          </w:tcPr>
          <w:p>
            <w:pPr>
              <w:ind w:left="460"/>
              <w:spacing w:after="0"/>
              <w:rPr>
                <w:sz w:val="20"/>
                <w:szCs w:val="20"/>
                <w:color w:val="auto"/>
              </w:rPr>
            </w:pPr>
            <w:r>
              <w:rPr>
                <w:rFonts w:ascii="Calibri" w:cs="Calibri" w:eastAsia="Calibri" w:hAnsi="Calibri"/>
                <w:sz w:val="18"/>
                <w:szCs w:val="18"/>
                <w:color w:val="auto"/>
                <w:w w:val="93"/>
              </w:rPr>
              <w:t>F-36</w:t>
            </w:r>
          </w:p>
        </w:tc>
      </w:tr>
      <w:tr>
        <w:trPr>
          <w:trHeight w:val="496"/>
        </w:trPr>
        <w:tc>
          <w:tcPr>
            <w:tcW w:w="8340" w:type="dxa"/>
            <w:vAlign w:val="bottom"/>
            <w:tcBorders>
              <w:bottom w:val="single" w:sz="8" w:color="214E93"/>
            </w:tcBorders>
            <w:gridSpan w:val="4"/>
          </w:tcPr>
          <w:p>
            <w:pPr>
              <w:spacing w:after="0"/>
              <w:rPr>
                <w:sz w:val="24"/>
                <w:szCs w:val="24"/>
                <w:color w:val="auto"/>
              </w:rPr>
            </w:pPr>
          </w:p>
        </w:tc>
        <w:tc>
          <w:tcPr>
            <w:tcW w:w="400" w:type="dxa"/>
            <w:vAlign w:val="bottom"/>
            <w:tcBorders>
              <w:bottom w:val="single" w:sz="8" w:color="214E93"/>
            </w:tcBorders>
          </w:tcPr>
          <w:p>
            <w:pPr>
              <w:spacing w:after="0"/>
              <w:rPr>
                <w:sz w:val="24"/>
                <w:szCs w:val="24"/>
                <w:color w:val="auto"/>
              </w:rPr>
            </w:pPr>
          </w:p>
        </w:tc>
        <w:tc>
          <w:tcPr>
            <w:tcW w:w="860" w:type="dxa"/>
            <w:vAlign w:val="bottom"/>
            <w:tcBorders>
              <w:bottom w:val="single" w:sz="8" w:color="214E93"/>
            </w:tcBorders>
          </w:tcPr>
          <w:p>
            <w:pPr>
              <w:spacing w:after="0"/>
              <w:rPr>
                <w:sz w:val="24"/>
                <w:szCs w:val="24"/>
                <w:color w:val="auto"/>
              </w:rPr>
            </w:pPr>
          </w:p>
        </w:tc>
        <w:tc>
          <w:tcPr>
            <w:tcW w:w="200" w:type="dxa"/>
            <w:vAlign w:val="bottom"/>
            <w:tcBorders>
              <w:bottom w:val="single" w:sz="8" w:color="214E93"/>
            </w:tcBorders>
          </w:tcPr>
          <w:p>
            <w:pPr>
              <w:spacing w:after="0"/>
              <w:rPr>
                <w:sz w:val="24"/>
                <w:szCs w:val="24"/>
                <w:color w:val="auto"/>
              </w:rPr>
            </w:pPr>
          </w:p>
        </w:tc>
        <w:tc>
          <w:tcPr>
            <w:tcW w:w="920" w:type="dxa"/>
            <w:vAlign w:val="bottom"/>
            <w:tcBorders>
              <w:bottom w:val="single" w:sz="8" w:color="214E93"/>
            </w:tcBorders>
          </w:tcPr>
          <w:p>
            <w:pPr>
              <w:spacing w:after="0"/>
              <w:rPr>
                <w:sz w:val="24"/>
                <w:szCs w:val="24"/>
                <w:color w:val="auto"/>
              </w:rPr>
            </w:pPr>
          </w:p>
        </w:tc>
        <w:tc>
          <w:tcPr>
            <w:tcW w:w="780" w:type="dxa"/>
            <w:vAlign w:val="bottom"/>
          </w:tcPr>
          <w:p>
            <w:pPr>
              <w:spacing w:after="0"/>
              <w:rPr>
                <w:sz w:val="24"/>
                <w:szCs w:val="24"/>
                <w:color w:val="auto"/>
              </w:rPr>
            </w:pPr>
          </w:p>
        </w:tc>
      </w:tr>
      <w:tr>
        <w:trPr>
          <w:trHeight w:val="388"/>
        </w:trPr>
        <w:tc>
          <w:tcPr>
            <w:tcW w:w="8340" w:type="dxa"/>
            <w:vAlign w:val="bottom"/>
            <w:gridSpan w:val="4"/>
          </w:tcPr>
          <w:p>
            <w:pPr>
              <w:ind w:left="1160"/>
              <w:spacing w:after="0"/>
              <w:rPr>
                <w:sz w:val="20"/>
                <w:szCs w:val="20"/>
                <w:color w:val="auto"/>
              </w:rPr>
            </w:pPr>
            <w:r>
              <w:rPr>
                <w:rFonts w:ascii="Verdana" w:cs="Verdana" w:eastAsia="Verdana" w:hAnsi="Verdana"/>
                <w:sz w:val="20"/>
                <w:szCs w:val="20"/>
                <w:color w:val="214E93"/>
              </w:rPr>
              <w:t>NOTE 12 — DERIVATIVE FINANCIAL INSTRUMENTS — Continued</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90"/>
        </w:trPr>
        <w:tc>
          <w:tcPr>
            <w:tcW w:w="1160" w:type="dxa"/>
            <w:vAlign w:val="bottom"/>
          </w:tcPr>
          <w:p>
            <w:pPr>
              <w:spacing w:after="0"/>
              <w:rPr>
                <w:sz w:val="24"/>
                <w:szCs w:val="24"/>
                <w:color w:val="auto"/>
              </w:rPr>
            </w:pPr>
          </w:p>
        </w:tc>
        <w:tc>
          <w:tcPr>
            <w:tcW w:w="8440" w:type="dxa"/>
            <w:vAlign w:val="bottom"/>
            <w:gridSpan w:val="5"/>
          </w:tcPr>
          <w:p>
            <w:pPr>
              <w:ind w:left="240"/>
              <w:spacing w:after="0"/>
              <w:rPr>
                <w:sz w:val="20"/>
                <w:szCs w:val="20"/>
                <w:color w:val="auto"/>
              </w:rPr>
            </w:pPr>
            <w:r>
              <w:rPr>
                <w:rFonts w:ascii="Calibri" w:cs="Calibri" w:eastAsia="Calibri" w:hAnsi="Calibri"/>
                <w:sz w:val="18"/>
                <w:szCs w:val="18"/>
                <w:color w:val="auto"/>
              </w:rPr>
              <w:t>The following is a summary of the Company’s open basis differential swap contracts at December 31, 2025.</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1"/>
        </w:trPr>
        <w:tc>
          <w:tcPr>
            <w:tcW w:w="116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20" w:type="dxa"/>
            <w:vAlign w:val="bottom"/>
            <w:gridSpan w:val="2"/>
          </w:tcPr>
          <w:p>
            <w:pPr>
              <w:jc w:val="center"/>
              <w:spacing w:after="0"/>
              <w:rPr>
                <w:sz w:val="20"/>
                <w:szCs w:val="20"/>
                <w:color w:val="auto"/>
              </w:rPr>
            </w:pPr>
            <w:r>
              <w:rPr>
                <w:rFonts w:ascii="Verdana" w:cs="Verdana" w:eastAsia="Verdana" w:hAnsi="Verdana"/>
                <w:sz w:val="14"/>
                <w:szCs w:val="14"/>
                <w:color w:val="auto"/>
                <w:w w:val="99"/>
              </w:rPr>
              <w:t>Fair Value of</w:t>
            </w:r>
          </w:p>
        </w:tc>
        <w:tc>
          <w:tcPr>
            <w:tcW w:w="780" w:type="dxa"/>
            <w:vAlign w:val="bottom"/>
          </w:tcPr>
          <w:p>
            <w:pPr>
              <w:spacing w:after="0"/>
              <w:rPr>
                <w:sz w:val="23"/>
                <w:szCs w:val="23"/>
                <w:color w:val="auto"/>
              </w:rPr>
            </w:pPr>
          </w:p>
        </w:tc>
      </w:tr>
      <w:tr>
        <w:trPr>
          <w:trHeight w:val="165"/>
        </w:trPr>
        <w:tc>
          <w:tcPr>
            <w:tcW w:w="11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jc w:val="center"/>
              <w:spacing w:after="0" w:line="166" w:lineRule="exact"/>
              <w:rPr>
                <w:sz w:val="20"/>
                <w:szCs w:val="20"/>
                <w:color w:val="auto"/>
              </w:rPr>
            </w:pPr>
            <w:r>
              <w:rPr>
                <w:rFonts w:ascii="Verdana" w:cs="Verdana" w:eastAsia="Verdana" w:hAnsi="Verdana"/>
                <w:sz w:val="14"/>
                <w:szCs w:val="14"/>
                <w:color w:val="auto"/>
                <w:w w:val="99"/>
              </w:rPr>
              <w:t>Notional</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26"/>
              <w:spacing w:after="0" w:line="166" w:lineRule="exact"/>
              <w:rPr>
                <w:sz w:val="20"/>
                <w:szCs w:val="20"/>
                <w:color w:val="auto"/>
              </w:rPr>
            </w:pPr>
            <w:r>
              <w:rPr>
                <w:rFonts w:ascii="Verdana" w:cs="Verdana" w:eastAsia="Verdana" w:hAnsi="Verdana"/>
                <w:sz w:val="14"/>
                <w:szCs w:val="14"/>
                <w:color w:val="auto"/>
                <w:w w:val="94"/>
              </w:rPr>
              <w:t>Asset</w:t>
            </w:r>
          </w:p>
        </w:tc>
        <w:tc>
          <w:tcPr>
            <w:tcW w:w="780" w:type="dxa"/>
            <w:vAlign w:val="bottom"/>
          </w:tcPr>
          <w:p>
            <w:pPr>
              <w:spacing w:after="0"/>
              <w:rPr>
                <w:sz w:val="14"/>
                <w:szCs w:val="14"/>
                <w:color w:val="auto"/>
              </w:rPr>
            </w:pPr>
          </w:p>
        </w:tc>
      </w:tr>
      <w:tr>
        <w:trPr>
          <w:trHeight w:val="165"/>
        </w:trPr>
        <w:tc>
          <w:tcPr>
            <w:tcW w:w="11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jc w:val="center"/>
              <w:spacing w:after="0" w:line="166" w:lineRule="exact"/>
              <w:rPr>
                <w:sz w:val="20"/>
                <w:szCs w:val="20"/>
                <w:color w:val="auto"/>
              </w:rPr>
            </w:pPr>
            <w:r>
              <w:rPr>
                <w:rFonts w:ascii="Verdana" w:cs="Verdana" w:eastAsia="Verdana" w:hAnsi="Verdana"/>
                <w:sz w:val="14"/>
                <w:szCs w:val="14"/>
                <w:color w:val="auto"/>
                <w:w w:val="95"/>
              </w:rPr>
              <w:t>Quantity</w:t>
            </w:r>
          </w:p>
        </w:tc>
        <w:tc>
          <w:tcPr>
            <w:tcW w:w="1260" w:type="dxa"/>
            <w:vAlign w:val="bottom"/>
            <w:gridSpan w:val="2"/>
          </w:tcPr>
          <w:p>
            <w:pPr>
              <w:ind w:left="260"/>
              <w:spacing w:after="0" w:line="166" w:lineRule="exact"/>
              <w:rPr>
                <w:sz w:val="20"/>
                <w:szCs w:val="20"/>
                <w:color w:val="auto"/>
              </w:rPr>
            </w:pPr>
            <w:r>
              <w:rPr>
                <w:rFonts w:ascii="Verdana" w:cs="Verdana" w:eastAsia="Verdana" w:hAnsi="Verdana"/>
                <w:sz w:val="14"/>
                <w:szCs w:val="14"/>
                <w:color w:val="auto"/>
              </w:rPr>
              <w:t>Fixed Price</w:t>
            </w:r>
          </w:p>
        </w:tc>
        <w:tc>
          <w:tcPr>
            <w:tcW w:w="200" w:type="dxa"/>
            <w:vAlign w:val="bottom"/>
          </w:tcPr>
          <w:p>
            <w:pPr>
              <w:spacing w:after="0"/>
              <w:rPr>
                <w:sz w:val="14"/>
                <w:szCs w:val="14"/>
                <w:color w:val="auto"/>
              </w:rPr>
            </w:pPr>
          </w:p>
        </w:tc>
        <w:tc>
          <w:tcPr>
            <w:tcW w:w="920" w:type="dxa"/>
            <w:vAlign w:val="bottom"/>
          </w:tcPr>
          <w:p>
            <w:pPr>
              <w:jc w:val="center"/>
              <w:ind w:right="106"/>
              <w:spacing w:after="0" w:line="166" w:lineRule="exact"/>
              <w:rPr>
                <w:sz w:val="20"/>
                <w:szCs w:val="20"/>
                <w:color w:val="auto"/>
              </w:rPr>
            </w:pPr>
            <w:r>
              <w:rPr>
                <w:rFonts w:ascii="Verdana" w:cs="Verdana" w:eastAsia="Verdana" w:hAnsi="Verdana"/>
                <w:sz w:val="14"/>
                <w:szCs w:val="14"/>
                <w:color w:val="auto"/>
                <w:w w:val="98"/>
              </w:rPr>
              <w:t>(Liability)</w:t>
            </w:r>
          </w:p>
        </w:tc>
        <w:tc>
          <w:tcPr>
            <w:tcW w:w="780" w:type="dxa"/>
            <w:vAlign w:val="bottom"/>
          </w:tcPr>
          <w:p>
            <w:pPr>
              <w:spacing w:after="0"/>
              <w:rPr>
                <w:sz w:val="14"/>
                <w:szCs w:val="14"/>
                <w:color w:val="auto"/>
              </w:rPr>
            </w:pPr>
          </w:p>
        </w:tc>
      </w:tr>
      <w:tr>
        <w:trPr>
          <w:trHeight w:val="193"/>
        </w:trPr>
        <w:tc>
          <w:tcPr>
            <w:tcW w:w="1160" w:type="dxa"/>
            <w:vAlign w:val="bottom"/>
          </w:tcPr>
          <w:p>
            <w:pPr>
              <w:spacing w:after="0"/>
              <w:rPr>
                <w:sz w:val="16"/>
                <w:szCs w:val="16"/>
                <w:color w:val="auto"/>
              </w:rPr>
            </w:pPr>
          </w:p>
        </w:tc>
        <w:tc>
          <w:tcPr>
            <w:tcW w:w="3720" w:type="dxa"/>
            <w:vAlign w:val="bottom"/>
            <w:tcBorders>
              <w:bottom w:val="single" w:sz="8" w:color="214E93"/>
            </w:tcBorders>
          </w:tcPr>
          <w:p>
            <w:pPr>
              <w:ind w:left="140"/>
              <w:spacing w:after="0"/>
              <w:rPr>
                <w:sz w:val="20"/>
                <w:szCs w:val="20"/>
                <w:color w:val="auto"/>
              </w:rPr>
            </w:pPr>
            <w:r>
              <w:rPr>
                <w:rFonts w:ascii="Verdana" w:cs="Verdana" w:eastAsia="Verdana" w:hAnsi="Verdana"/>
                <w:sz w:val="14"/>
                <w:szCs w:val="14"/>
                <w:color w:val="auto"/>
              </w:rPr>
              <w:t>Commodity</w:t>
            </w:r>
          </w:p>
        </w:tc>
        <w:tc>
          <w:tcPr>
            <w:tcW w:w="2320" w:type="dxa"/>
            <w:vAlign w:val="bottom"/>
            <w:tcBorders>
              <w:bottom w:val="single" w:sz="8" w:color="214E93"/>
            </w:tcBorders>
          </w:tcPr>
          <w:p>
            <w:pPr>
              <w:jc w:val="right"/>
              <w:ind w:right="546"/>
              <w:spacing w:after="0"/>
              <w:rPr>
                <w:sz w:val="20"/>
                <w:szCs w:val="20"/>
                <w:color w:val="auto"/>
              </w:rPr>
            </w:pPr>
            <w:r>
              <w:rPr>
                <w:rFonts w:ascii="Verdana" w:cs="Verdana" w:eastAsia="Verdana" w:hAnsi="Verdana"/>
                <w:sz w:val="14"/>
                <w:szCs w:val="14"/>
                <w:color w:val="auto"/>
              </w:rPr>
              <w:t>Calculation Period</w:t>
            </w:r>
          </w:p>
        </w:tc>
        <w:tc>
          <w:tcPr>
            <w:tcW w:w="1140" w:type="dxa"/>
            <w:vAlign w:val="bottom"/>
            <w:tcBorders>
              <w:bottom w:val="single" w:sz="8" w:color="auto"/>
            </w:tcBorders>
          </w:tcPr>
          <w:p>
            <w:pPr>
              <w:jc w:val="center"/>
              <w:spacing w:after="0"/>
              <w:rPr>
                <w:sz w:val="20"/>
                <w:szCs w:val="20"/>
                <w:color w:val="auto"/>
              </w:rPr>
            </w:pPr>
            <w:r>
              <w:rPr>
                <w:rFonts w:ascii="Verdana" w:cs="Verdana" w:eastAsia="Verdana" w:hAnsi="Verdana"/>
                <w:sz w:val="14"/>
                <w:szCs w:val="14"/>
                <w:color w:val="auto"/>
                <w:w w:val="96"/>
              </w:rPr>
              <w:t>(MMBtu)</w:t>
            </w:r>
          </w:p>
        </w:tc>
        <w:tc>
          <w:tcPr>
            <w:tcW w:w="400" w:type="dxa"/>
            <w:vAlign w:val="bottom"/>
            <w:tcBorders>
              <w:bottom w:val="single" w:sz="8" w:color="214E93"/>
            </w:tcBorders>
          </w:tcPr>
          <w:p>
            <w:pPr>
              <w:ind w:left="260"/>
              <w:spacing w:after="0"/>
              <w:rPr>
                <w:sz w:val="20"/>
                <w:szCs w:val="20"/>
                <w:color w:val="auto"/>
              </w:rPr>
            </w:pPr>
            <w:r>
              <w:rPr>
                <w:rFonts w:ascii="Verdana" w:cs="Verdana" w:eastAsia="Verdana" w:hAnsi="Verdana"/>
                <w:sz w:val="14"/>
                <w:szCs w:val="14"/>
                <w:color w:val="auto"/>
                <w:w w:val="77"/>
              </w:rPr>
              <w:t>($</w:t>
            </w:r>
          </w:p>
        </w:tc>
        <w:tc>
          <w:tcPr>
            <w:tcW w:w="860" w:type="dxa"/>
            <w:vAlign w:val="bottom"/>
            <w:tcBorders>
              <w:bottom w:val="single" w:sz="8" w:color="214E93"/>
            </w:tcBorders>
          </w:tcPr>
          <w:p>
            <w:pPr>
              <w:spacing w:after="0"/>
              <w:rPr>
                <w:sz w:val="20"/>
                <w:szCs w:val="20"/>
                <w:color w:val="auto"/>
              </w:rPr>
            </w:pPr>
            <w:r>
              <w:rPr>
                <w:rFonts w:ascii="Verdana" w:cs="Verdana" w:eastAsia="Verdana" w:hAnsi="Verdana"/>
                <w:sz w:val="14"/>
                <w:szCs w:val="14"/>
                <w:color w:val="auto"/>
              </w:rPr>
              <w:t>/MMBtu)</w:t>
            </w:r>
          </w:p>
        </w:tc>
        <w:tc>
          <w:tcPr>
            <w:tcW w:w="1120" w:type="dxa"/>
            <w:vAlign w:val="bottom"/>
            <w:tcBorders>
              <w:bottom w:val="single" w:sz="8" w:color="214E93"/>
            </w:tcBorders>
            <w:gridSpan w:val="2"/>
          </w:tcPr>
          <w:p>
            <w:pPr>
              <w:jc w:val="center"/>
              <w:spacing w:after="0"/>
              <w:rPr>
                <w:sz w:val="20"/>
                <w:szCs w:val="20"/>
                <w:color w:val="auto"/>
              </w:rPr>
            </w:pPr>
            <w:r>
              <w:rPr>
                <w:rFonts w:ascii="Verdana" w:cs="Verdana" w:eastAsia="Verdana" w:hAnsi="Verdana"/>
                <w:sz w:val="14"/>
                <w:szCs w:val="14"/>
                <w:color w:val="auto"/>
                <w:w w:val="98"/>
              </w:rPr>
              <w:t>(thousands)</w:t>
            </w:r>
          </w:p>
        </w:tc>
        <w:tc>
          <w:tcPr>
            <w:tcW w:w="780" w:type="dxa"/>
            <w:vAlign w:val="bottom"/>
          </w:tcPr>
          <w:p>
            <w:pPr>
              <w:spacing w:after="0"/>
              <w:rPr>
                <w:sz w:val="16"/>
                <w:szCs w:val="16"/>
                <w:color w:val="auto"/>
              </w:rPr>
            </w:pPr>
          </w:p>
        </w:tc>
      </w:tr>
      <w:tr>
        <w:trPr>
          <w:trHeight w:val="216"/>
        </w:trPr>
        <w:tc>
          <w:tcPr>
            <w:tcW w:w="1160" w:type="dxa"/>
            <w:vAlign w:val="bottom"/>
          </w:tcPr>
          <w:p>
            <w:pPr>
              <w:spacing w:after="0"/>
              <w:rPr>
                <w:sz w:val="18"/>
                <w:szCs w:val="18"/>
                <w:color w:val="auto"/>
              </w:rPr>
            </w:pPr>
          </w:p>
        </w:tc>
        <w:tc>
          <w:tcPr>
            <w:tcW w:w="3720" w:type="dxa"/>
            <w:vAlign w:val="bottom"/>
          </w:tcPr>
          <w:p>
            <w:pPr>
              <w:ind w:left="40"/>
              <w:spacing w:after="0"/>
              <w:rPr>
                <w:sz w:val="20"/>
                <w:szCs w:val="20"/>
                <w:color w:val="auto"/>
              </w:rPr>
            </w:pPr>
            <w:r>
              <w:rPr>
                <w:rFonts w:ascii="Verdana" w:cs="Verdana" w:eastAsia="Verdana" w:hAnsi="Verdana"/>
                <w:sz w:val="16"/>
                <w:szCs w:val="16"/>
                <w:color w:val="auto"/>
              </w:rPr>
              <w:t>Natural Gas Basis Differential</w:t>
            </w:r>
          </w:p>
        </w:tc>
        <w:tc>
          <w:tcPr>
            <w:tcW w:w="2320" w:type="dxa"/>
            <w:vAlign w:val="bottom"/>
          </w:tcPr>
          <w:p>
            <w:pPr>
              <w:jc w:val="right"/>
              <w:ind w:right="46"/>
              <w:spacing w:after="0"/>
              <w:rPr>
                <w:sz w:val="20"/>
                <w:szCs w:val="20"/>
                <w:color w:val="auto"/>
              </w:rPr>
            </w:pPr>
            <w:r>
              <w:rPr>
                <w:rFonts w:ascii="Verdana" w:cs="Verdana" w:eastAsia="Verdana" w:hAnsi="Verdana"/>
                <w:sz w:val="16"/>
                <w:szCs w:val="16"/>
                <w:color w:val="214E93"/>
              </w:rPr>
              <w:t>01/01/2026 - 12/31/2026</w:t>
            </w:r>
          </w:p>
        </w:tc>
        <w:tc>
          <w:tcPr>
            <w:tcW w:w="1140" w:type="dxa"/>
            <w:vAlign w:val="bottom"/>
          </w:tcPr>
          <w:p>
            <w:pPr>
              <w:jc w:val="center"/>
              <w:spacing w:after="0"/>
              <w:rPr>
                <w:sz w:val="20"/>
                <w:szCs w:val="20"/>
                <w:color w:val="auto"/>
              </w:rPr>
            </w:pPr>
            <w:r>
              <w:rPr>
                <w:rFonts w:ascii="Verdana" w:cs="Verdana" w:eastAsia="Verdana" w:hAnsi="Verdana"/>
                <w:sz w:val="16"/>
                <w:szCs w:val="16"/>
                <w:color w:val="214E93"/>
                <w:w w:val="96"/>
              </w:rPr>
              <w:t>54,750,000</w:t>
            </w:r>
          </w:p>
        </w:tc>
        <w:tc>
          <w:tcPr>
            <w:tcW w:w="400" w:type="dxa"/>
            <w:vAlign w:val="bottom"/>
          </w:tcPr>
          <w:p>
            <w:pPr>
              <w:jc w:val="right"/>
              <w:ind w:right="108"/>
              <w:spacing w:after="0"/>
              <w:rPr>
                <w:sz w:val="20"/>
                <w:szCs w:val="20"/>
                <w:color w:val="auto"/>
              </w:rPr>
            </w:pPr>
            <w:r>
              <w:rPr>
                <w:rFonts w:ascii="Verdana" w:cs="Verdana" w:eastAsia="Verdana" w:hAnsi="Verdana"/>
                <w:sz w:val="16"/>
                <w:szCs w:val="16"/>
                <w:color w:val="214E93"/>
              </w:rPr>
              <w:t>$</w:t>
            </w:r>
          </w:p>
        </w:tc>
        <w:tc>
          <w:tcPr>
            <w:tcW w:w="860" w:type="dxa"/>
            <w:vAlign w:val="bottom"/>
          </w:tcPr>
          <w:p>
            <w:pPr>
              <w:ind w:left="280"/>
              <w:spacing w:after="0"/>
              <w:rPr>
                <w:sz w:val="20"/>
                <w:szCs w:val="20"/>
                <w:color w:val="auto"/>
              </w:rPr>
            </w:pPr>
            <w:r>
              <w:rPr>
                <w:rFonts w:ascii="Verdana" w:cs="Verdana" w:eastAsia="Verdana" w:hAnsi="Verdana"/>
                <w:sz w:val="16"/>
                <w:szCs w:val="16"/>
                <w:color w:val="214E93"/>
              </w:rPr>
              <w:t>(2.52)</w:t>
            </w: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214E93"/>
              </w:rPr>
              <w:t>$</w:t>
            </w:r>
          </w:p>
        </w:tc>
        <w:tc>
          <w:tcPr>
            <w:tcW w:w="920" w:type="dxa"/>
            <w:vAlign w:val="bottom"/>
            <w:tcBorders>
              <w:bottom w:val="single" w:sz="8" w:color="auto"/>
            </w:tcBorders>
          </w:tcPr>
          <w:p>
            <w:pPr>
              <w:jc w:val="right"/>
              <w:ind w:right="6"/>
              <w:spacing w:after="0"/>
              <w:rPr>
                <w:sz w:val="20"/>
                <w:szCs w:val="20"/>
                <w:color w:val="auto"/>
              </w:rPr>
            </w:pPr>
            <w:r>
              <w:rPr>
                <w:rFonts w:ascii="Verdana" w:cs="Verdana" w:eastAsia="Verdana" w:hAnsi="Verdana"/>
                <w:sz w:val="16"/>
                <w:szCs w:val="16"/>
                <w:color w:val="214E93"/>
              </w:rPr>
              <w:t>15,939</w:t>
            </w:r>
          </w:p>
        </w:tc>
        <w:tc>
          <w:tcPr>
            <w:tcW w:w="7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Verdana" w:cs="Verdana" w:eastAsia="Verdana" w:hAnsi="Verdana"/>
                <w:sz w:val="16"/>
                <w:szCs w:val="16"/>
                <w:color w:val="auto"/>
              </w:rPr>
              <w:t>Total open basis differential swap contracts</w:t>
            </w:r>
          </w:p>
        </w:tc>
        <w:tc>
          <w:tcPr>
            <w:tcW w:w="2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214E93"/>
              </w:rPr>
              <w:t>$</w:t>
            </w:r>
          </w:p>
        </w:tc>
        <w:tc>
          <w:tcPr>
            <w:tcW w:w="920" w:type="dxa"/>
            <w:vAlign w:val="bottom"/>
            <w:tcBorders>
              <w:bottom w:val="single" w:sz="8" w:color="auto"/>
            </w:tcBorders>
          </w:tcPr>
          <w:p>
            <w:pPr>
              <w:jc w:val="right"/>
              <w:ind w:right="6"/>
              <w:spacing w:after="0"/>
              <w:rPr>
                <w:sz w:val="20"/>
                <w:szCs w:val="20"/>
                <w:color w:val="auto"/>
              </w:rPr>
            </w:pPr>
            <w:r>
              <w:rPr>
                <w:rFonts w:ascii="Verdana" w:cs="Verdana" w:eastAsia="Verdana" w:hAnsi="Verdana"/>
                <w:sz w:val="16"/>
                <w:szCs w:val="16"/>
                <w:color w:val="214E93"/>
              </w:rPr>
              <w:t>15,939</w:t>
            </w:r>
          </w:p>
        </w:tc>
        <w:tc>
          <w:tcPr>
            <w:tcW w:w="7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-1314450</wp:posOffset>
                </wp:positionV>
                <wp:extent cx="6811645" cy="0"/>
                <wp:wrapNone/>
                <wp:docPr id="329" name="Shape 3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29" o:spid="_x0000_s13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3.4999pt" to="536.35pt,-103.4999pt" o:allowincell="f" strokecolor="#000000" strokeweight="0pt"/>
            </w:pict>
          </mc:Fallback>
        </mc:AlternateContent>
      </w:r>
    </w:p>
    <w:p>
      <w:pPr>
        <w:spacing w:after="0" w:line="233" w:lineRule="exact"/>
        <w:rPr>
          <w:sz w:val="20"/>
          <w:szCs w:val="20"/>
          <w:color w:val="auto"/>
        </w:rPr>
      </w:pPr>
    </w:p>
    <w:p>
      <w:pPr>
        <w:jc w:val="both"/>
        <w:ind w:left="1160" w:right="880" w:firstLine="241"/>
        <w:spacing w:after="0" w:line="283" w:lineRule="auto"/>
        <w:rPr>
          <w:sz w:val="20"/>
          <w:szCs w:val="20"/>
          <w:color w:val="auto"/>
        </w:rPr>
      </w:pPr>
      <w:r>
        <w:rPr>
          <w:rFonts w:ascii="Calibri" w:cs="Calibri" w:eastAsia="Calibri" w:hAnsi="Calibri"/>
          <w:sz w:val="17"/>
          <w:szCs w:val="17"/>
          <w:color w:val="auto"/>
        </w:rPr>
        <w:t>The Company’s derivative financial instruments are subject to master netting arrangements, and the Company’s counterparties allow for cross-commodity master netting provided the settlement dates for the commodities are the same. The Company does not present different types of commodities with the same counterparty on a net basis in its consolidated balance sheets.</w:t>
      </w:r>
    </w:p>
    <w:p>
      <w:pPr>
        <w:spacing w:after="0" w:line="206" w:lineRule="exact"/>
        <w:rPr>
          <w:sz w:val="20"/>
          <w:szCs w:val="20"/>
          <w:color w:val="auto"/>
        </w:rPr>
      </w:pPr>
    </w:p>
    <w:p>
      <w:pPr>
        <w:ind w:left="1160" w:right="860" w:firstLine="241"/>
        <w:spacing w:after="0" w:line="261" w:lineRule="auto"/>
        <w:rPr>
          <w:sz w:val="20"/>
          <w:szCs w:val="20"/>
          <w:color w:val="auto"/>
        </w:rPr>
      </w:pPr>
      <w:r>
        <w:rPr>
          <w:rFonts w:ascii="Calibri" w:cs="Calibri" w:eastAsia="Calibri" w:hAnsi="Calibri"/>
          <w:sz w:val="18"/>
          <w:szCs w:val="18"/>
          <w:color w:val="auto"/>
        </w:rPr>
        <w:t>The following table presents the gross asset and liability fair values of the Company’s commodity price derivative financial instruments and the location of these balances in the consolidated balance sheets as of December 31, 2025 and December 31, 2024 (in thousands).</w:t>
      </w:r>
    </w:p>
    <w:p>
      <w:pPr>
        <w:spacing w:after="0" w:line="181" w:lineRule="exact"/>
        <w:rPr>
          <w:sz w:val="20"/>
          <w:szCs w:val="20"/>
          <w:color w:val="auto"/>
        </w:rPr>
      </w:pPr>
    </w:p>
    <w:tbl>
      <w:tblPr>
        <w:tblLayout w:type="fixed"/>
        <w:tblInd w:w="116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right"/>
              <w:ind w:right="158"/>
              <w:spacing w:after="0"/>
              <w:rPr>
                <w:sz w:val="20"/>
                <w:szCs w:val="20"/>
                <w:color w:val="auto"/>
              </w:rPr>
            </w:pPr>
            <w:r>
              <w:rPr>
                <w:rFonts w:ascii="Verdana" w:cs="Verdana" w:eastAsia="Verdana" w:hAnsi="Verdana"/>
                <w:sz w:val="14"/>
                <w:szCs w:val="14"/>
                <w:color w:val="auto"/>
                <w:w w:val="99"/>
              </w:rPr>
              <w:t>Gross amounts</w:t>
            </w:r>
          </w:p>
        </w:tc>
        <w:tc>
          <w:tcPr>
            <w:tcW w:w="20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Verdana" w:cs="Verdana" w:eastAsia="Verdana" w:hAnsi="Verdana"/>
                <w:sz w:val="14"/>
                <w:szCs w:val="14"/>
                <w:color w:val="auto"/>
              </w:rPr>
              <w:t>Net amounts</w:t>
            </w:r>
          </w:p>
        </w:tc>
      </w:tr>
      <w:tr>
        <w:trPr>
          <w:trHeight w:val="165"/>
        </w:trPr>
        <w:tc>
          <w:tcPr>
            <w:tcW w:w="33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ind w:left="100"/>
              <w:spacing w:after="0" w:line="166" w:lineRule="exact"/>
              <w:rPr>
                <w:sz w:val="20"/>
                <w:szCs w:val="20"/>
                <w:color w:val="auto"/>
              </w:rPr>
            </w:pPr>
            <w:r>
              <w:rPr>
                <w:rFonts w:ascii="Verdana" w:cs="Verdana" w:eastAsia="Verdana" w:hAnsi="Verdana"/>
                <w:sz w:val="14"/>
                <w:szCs w:val="14"/>
                <w:color w:val="auto"/>
              </w:rPr>
              <w:t>netted in the</w:t>
            </w:r>
          </w:p>
        </w:tc>
        <w:tc>
          <w:tcPr>
            <w:tcW w:w="200" w:type="dxa"/>
            <w:vAlign w:val="bottom"/>
          </w:tcPr>
          <w:p>
            <w:pPr>
              <w:spacing w:after="0"/>
              <w:rPr>
                <w:sz w:val="14"/>
                <w:szCs w:val="14"/>
                <w:color w:val="auto"/>
              </w:rPr>
            </w:pPr>
          </w:p>
        </w:tc>
        <w:tc>
          <w:tcPr>
            <w:tcW w:w="1300" w:type="dxa"/>
            <w:vAlign w:val="bottom"/>
            <w:gridSpan w:val="2"/>
          </w:tcPr>
          <w:p>
            <w:pPr>
              <w:jc w:val="right"/>
              <w:ind w:right="58"/>
              <w:spacing w:after="0" w:line="166" w:lineRule="exact"/>
              <w:rPr>
                <w:sz w:val="20"/>
                <w:szCs w:val="20"/>
                <w:color w:val="auto"/>
              </w:rPr>
            </w:pPr>
            <w:r>
              <w:rPr>
                <w:rFonts w:ascii="Verdana" w:cs="Verdana" w:eastAsia="Verdana" w:hAnsi="Verdana"/>
                <w:sz w:val="14"/>
                <w:szCs w:val="14"/>
                <w:color w:val="auto"/>
                <w:w w:val="98"/>
              </w:rPr>
              <w:t>presented in the</w:t>
            </w:r>
          </w:p>
        </w:tc>
      </w:tr>
      <w:tr>
        <w:trPr>
          <w:trHeight w:val="165"/>
        </w:trPr>
        <w:tc>
          <w:tcPr>
            <w:tcW w:w="3340" w:type="dxa"/>
            <w:vAlign w:val="bottom"/>
          </w:tcPr>
          <w:p>
            <w:pPr>
              <w:spacing w:after="0"/>
              <w:rPr>
                <w:sz w:val="14"/>
                <w:szCs w:val="14"/>
                <w:color w:val="auto"/>
              </w:rPr>
            </w:pPr>
          </w:p>
        </w:tc>
        <w:tc>
          <w:tcPr>
            <w:tcW w:w="3180" w:type="dxa"/>
            <w:vAlign w:val="bottom"/>
            <w:gridSpan w:val="2"/>
          </w:tcPr>
          <w:p>
            <w:pPr>
              <w:jc w:val="right"/>
              <w:ind w:right="180"/>
              <w:spacing w:after="0" w:line="166" w:lineRule="exact"/>
              <w:rPr>
                <w:sz w:val="20"/>
                <w:szCs w:val="20"/>
                <w:color w:val="auto"/>
              </w:rPr>
            </w:pPr>
            <w:r>
              <w:rPr>
                <w:rFonts w:ascii="Verdana" w:cs="Verdana" w:eastAsia="Verdana" w:hAnsi="Verdana"/>
                <w:sz w:val="14"/>
                <w:szCs w:val="14"/>
                <w:color w:val="auto"/>
              </w:rPr>
              <w:t>Gross amounts</w:t>
            </w:r>
          </w:p>
        </w:tc>
        <w:tc>
          <w:tcPr>
            <w:tcW w:w="220" w:type="dxa"/>
            <w:vAlign w:val="bottom"/>
          </w:tcPr>
          <w:p>
            <w:pPr>
              <w:spacing w:after="0"/>
              <w:rPr>
                <w:sz w:val="14"/>
                <w:szCs w:val="14"/>
                <w:color w:val="auto"/>
              </w:rPr>
            </w:pPr>
          </w:p>
        </w:tc>
        <w:tc>
          <w:tcPr>
            <w:tcW w:w="1320" w:type="dxa"/>
            <w:vAlign w:val="bottom"/>
            <w:gridSpan w:val="2"/>
          </w:tcPr>
          <w:p>
            <w:pPr>
              <w:ind w:left="120"/>
              <w:spacing w:after="0" w:line="166" w:lineRule="exact"/>
              <w:rPr>
                <w:sz w:val="20"/>
                <w:szCs w:val="20"/>
                <w:color w:val="auto"/>
              </w:rPr>
            </w:pPr>
            <w:r>
              <w:rPr>
                <w:rFonts w:ascii="Verdana" w:cs="Verdana" w:eastAsia="Verdana" w:hAnsi="Verdana"/>
                <w:sz w:val="14"/>
                <w:szCs w:val="14"/>
                <w:color w:val="auto"/>
              </w:rPr>
              <w:t>consolidated</w:t>
            </w:r>
          </w:p>
        </w:tc>
        <w:tc>
          <w:tcPr>
            <w:tcW w:w="200" w:type="dxa"/>
            <w:vAlign w:val="bottom"/>
          </w:tcPr>
          <w:p>
            <w:pPr>
              <w:spacing w:after="0"/>
              <w:rPr>
                <w:sz w:val="14"/>
                <w:szCs w:val="14"/>
                <w:color w:val="auto"/>
              </w:rPr>
            </w:pPr>
          </w:p>
        </w:tc>
        <w:tc>
          <w:tcPr>
            <w:tcW w:w="1300" w:type="dxa"/>
            <w:vAlign w:val="bottom"/>
            <w:gridSpan w:val="2"/>
          </w:tcPr>
          <w:p>
            <w:pPr>
              <w:ind w:left="160"/>
              <w:spacing w:after="0" w:line="166" w:lineRule="exact"/>
              <w:rPr>
                <w:sz w:val="20"/>
                <w:szCs w:val="20"/>
                <w:color w:val="auto"/>
              </w:rPr>
            </w:pPr>
            <w:r>
              <w:rPr>
                <w:rFonts w:ascii="Verdana" w:cs="Verdana" w:eastAsia="Verdana" w:hAnsi="Verdana"/>
                <w:sz w:val="14"/>
                <w:szCs w:val="14"/>
                <w:color w:val="auto"/>
              </w:rPr>
              <w:t>consolidated</w:t>
            </w:r>
          </w:p>
        </w:tc>
      </w:tr>
      <w:tr>
        <w:trPr>
          <w:trHeight w:val="193"/>
        </w:trPr>
        <w:tc>
          <w:tcPr>
            <w:tcW w:w="3340" w:type="dxa"/>
            <w:vAlign w:val="bottom"/>
            <w:tcBorders>
              <w:bottom w:val="single" w:sz="8" w:color="214E93"/>
            </w:tcBorders>
          </w:tcPr>
          <w:p>
            <w:pPr>
              <w:ind w:left="40"/>
              <w:spacing w:after="0"/>
              <w:rPr>
                <w:sz w:val="20"/>
                <w:szCs w:val="20"/>
                <w:color w:val="auto"/>
              </w:rPr>
            </w:pPr>
            <w:r>
              <w:rPr>
                <w:rFonts w:ascii="Verdana" w:cs="Verdana" w:eastAsia="Verdana" w:hAnsi="Verdana"/>
                <w:sz w:val="14"/>
                <w:szCs w:val="14"/>
                <w:color w:val="auto"/>
              </w:rPr>
              <w:t>Derivative Instruments</w:t>
            </w:r>
          </w:p>
        </w:tc>
        <w:tc>
          <w:tcPr>
            <w:tcW w:w="2020" w:type="dxa"/>
            <w:vAlign w:val="bottom"/>
            <w:tcBorders>
              <w:bottom w:val="single" w:sz="8" w:color="214E93"/>
            </w:tcBorders>
          </w:tcPr>
          <w:p>
            <w:pPr>
              <w:spacing w:after="0"/>
              <w:rPr>
                <w:sz w:val="16"/>
                <w:szCs w:val="16"/>
                <w:color w:val="auto"/>
              </w:rPr>
            </w:pPr>
          </w:p>
        </w:tc>
        <w:tc>
          <w:tcPr>
            <w:tcW w:w="1160" w:type="dxa"/>
            <w:vAlign w:val="bottom"/>
            <w:tcBorders>
              <w:bottom w:val="single" w:sz="8" w:color="214E93"/>
            </w:tcBorders>
          </w:tcPr>
          <w:p>
            <w:pPr>
              <w:jc w:val="right"/>
              <w:ind w:right="320"/>
              <w:spacing w:after="0"/>
              <w:rPr>
                <w:sz w:val="20"/>
                <w:szCs w:val="20"/>
                <w:color w:val="auto"/>
              </w:rPr>
            </w:pPr>
            <w:r>
              <w:rPr>
                <w:rFonts w:ascii="Verdana" w:cs="Verdana" w:eastAsia="Verdana" w:hAnsi="Verdana"/>
                <w:sz w:val="14"/>
                <w:szCs w:val="14"/>
                <w:color w:val="auto"/>
                <w:w w:val="97"/>
              </w:rPr>
              <w:t>recognized</w:t>
            </w:r>
          </w:p>
        </w:tc>
        <w:tc>
          <w:tcPr>
            <w:tcW w:w="220" w:type="dxa"/>
            <w:vAlign w:val="bottom"/>
            <w:tcBorders>
              <w:bottom w:val="single" w:sz="8" w:color="214E93"/>
            </w:tcBorders>
          </w:tcPr>
          <w:p>
            <w:pPr>
              <w:spacing w:after="0"/>
              <w:rPr>
                <w:sz w:val="16"/>
                <w:szCs w:val="16"/>
                <w:color w:val="auto"/>
              </w:rPr>
            </w:pPr>
          </w:p>
        </w:tc>
        <w:tc>
          <w:tcPr>
            <w:tcW w:w="1320" w:type="dxa"/>
            <w:vAlign w:val="bottom"/>
            <w:tcBorders>
              <w:bottom w:val="single" w:sz="8" w:color="214E93"/>
            </w:tcBorders>
            <w:gridSpan w:val="2"/>
          </w:tcPr>
          <w:p>
            <w:pPr>
              <w:jc w:val="right"/>
              <w:ind w:right="178"/>
              <w:spacing w:after="0"/>
              <w:rPr>
                <w:sz w:val="20"/>
                <w:szCs w:val="20"/>
                <w:color w:val="auto"/>
              </w:rPr>
            </w:pPr>
            <w:r>
              <w:rPr>
                <w:rFonts w:ascii="Verdana" w:cs="Verdana" w:eastAsia="Verdana" w:hAnsi="Verdana"/>
                <w:sz w:val="14"/>
                <w:szCs w:val="14"/>
                <w:color w:val="auto"/>
                <w:w w:val="99"/>
              </w:rPr>
              <w:t>balance sheets</w:t>
            </w:r>
          </w:p>
        </w:tc>
        <w:tc>
          <w:tcPr>
            <w:tcW w:w="200" w:type="dxa"/>
            <w:vAlign w:val="bottom"/>
            <w:tcBorders>
              <w:bottom w:val="single" w:sz="8" w:color="214E93"/>
            </w:tcBorders>
          </w:tcPr>
          <w:p>
            <w:pPr>
              <w:spacing w:after="0"/>
              <w:rPr>
                <w:sz w:val="16"/>
                <w:szCs w:val="16"/>
                <w:color w:val="auto"/>
              </w:rPr>
            </w:pPr>
          </w:p>
        </w:tc>
        <w:tc>
          <w:tcPr>
            <w:tcW w:w="1300" w:type="dxa"/>
            <w:vAlign w:val="bottom"/>
            <w:tcBorders>
              <w:bottom w:val="single" w:sz="8" w:color="214E93"/>
            </w:tcBorders>
            <w:gridSpan w:val="2"/>
          </w:tcPr>
          <w:p>
            <w:pPr>
              <w:jc w:val="right"/>
              <w:ind w:right="118"/>
              <w:spacing w:after="0"/>
              <w:rPr>
                <w:sz w:val="20"/>
                <w:szCs w:val="20"/>
                <w:color w:val="auto"/>
              </w:rPr>
            </w:pPr>
            <w:r>
              <w:rPr>
                <w:rFonts w:ascii="Verdana" w:cs="Verdana" w:eastAsia="Verdana" w:hAnsi="Verdana"/>
                <w:sz w:val="14"/>
                <w:szCs w:val="14"/>
                <w:color w:val="auto"/>
              </w:rPr>
              <w:t>balance sheets</w:t>
            </w:r>
          </w:p>
        </w:tc>
      </w:tr>
      <w:tr>
        <w:trPr>
          <w:trHeight w:val="230"/>
        </w:trPr>
        <w:tc>
          <w:tcPr>
            <w:tcW w:w="3340" w:type="dxa"/>
            <w:vAlign w:val="bottom"/>
          </w:tcPr>
          <w:p>
            <w:pPr>
              <w:ind w:left="40"/>
              <w:spacing w:after="0" w:line="231" w:lineRule="exact"/>
              <w:rPr>
                <w:sz w:val="20"/>
                <w:szCs w:val="20"/>
                <w:color w:val="auto"/>
              </w:rPr>
            </w:pPr>
            <w:r>
              <w:rPr>
                <w:rFonts w:ascii="Calibri" w:cs="Calibri" w:eastAsia="Calibri" w:hAnsi="Calibri"/>
                <w:sz w:val="19"/>
                <w:szCs w:val="19"/>
                <w:b w:val="1"/>
                <w:bCs w:val="1"/>
                <w:color w:val="214E93"/>
              </w:rPr>
              <w:t>December 31, 2025</w:t>
            </w:r>
          </w:p>
        </w:tc>
        <w:tc>
          <w:tcPr>
            <w:tcW w:w="2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05"/>
        </w:trPr>
        <w:tc>
          <w:tcPr>
            <w:tcW w:w="3340" w:type="dxa"/>
            <w:vAlign w:val="bottom"/>
          </w:tcPr>
          <w:p>
            <w:pPr>
              <w:ind w:left="40"/>
              <w:spacing w:after="0"/>
              <w:rPr>
                <w:sz w:val="20"/>
                <w:szCs w:val="20"/>
                <w:color w:val="auto"/>
              </w:rPr>
            </w:pPr>
            <w:r>
              <w:rPr>
                <w:rFonts w:ascii="Verdana" w:cs="Verdana" w:eastAsia="Verdana" w:hAnsi="Verdana"/>
                <w:sz w:val="16"/>
                <w:szCs w:val="16"/>
                <w:color w:val="auto"/>
              </w:rPr>
              <w:t>Current assets</w:t>
            </w:r>
          </w:p>
        </w:tc>
        <w:tc>
          <w:tcPr>
            <w:tcW w:w="2020" w:type="dxa"/>
            <w:vAlign w:val="bottom"/>
          </w:tcPr>
          <w:p>
            <w:pPr>
              <w:jc w:val="right"/>
              <w:spacing w:after="0"/>
              <w:rPr>
                <w:sz w:val="20"/>
                <w:szCs w:val="20"/>
                <w:color w:val="auto"/>
              </w:rPr>
            </w:pPr>
            <w:r>
              <w:rPr>
                <w:rFonts w:ascii="Calibri" w:cs="Calibri" w:eastAsia="Calibri" w:hAnsi="Calibri"/>
                <w:sz w:val="18"/>
                <w:szCs w:val="18"/>
                <w:color w:val="214E93"/>
              </w:rPr>
              <w:t>$</w:t>
            </w:r>
          </w:p>
        </w:tc>
        <w:tc>
          <w:tcPr>
            <w:tcW w:w="1160" w:type="dxa"/>
            <w:vAlign w:val="bottom"/>
          </w:tcPr>
          <w:p>
            <w:pPr>
              <w:jc w:val="right"/>
              <w:ind w:right="60"/>
              <w:spacing w:after="0"/>
              <w:rPr>
                <w:sz w:val="20"/>
                <w:szCs w:val="20"/>
                <w:color w:val="auto"/>
              </w:rPr>
            </w:pPr>
            <w:r>
              <w:rPr>
                <w:rFonts w:ascii="Calibri" w:cs="Calibri" w:eastAsia="Calibri" w:hAnsi="Calibri"/>
                <w:sz w:val="18"/>
                <w:szCs w:val="18"/>
                <w:color w:val="214E93"/>
              </w:rPr>
              <w:t>57,450</w:t>
            </w:r>
          </w:p>
        </w:tc>
        <w:tc>
          <w:tcPr>
            <w:tcW w:w="220" w:type="dxa"/>
            <w:vAlign w:val="bottom"/>
          </w:tcPr>
          <w:p>
            <w:pPr>
              <w:spacing w:after="0"/>
              <w:rPr>
                <w:sz w:val="24"/>
                <w:szCs w:val="24"/>
                <w:color w:val="auto"/>
              </w:rPr>
            </w:pPr>
          </w:p>
        </w:tc>
        <w:tc>
          <w:tcPr>
            <w:tcW w:w="400" w:type="dxa"/>
            <w:vAlign w:val="bottom"/>
          </w:tcPr>
          <w:p>
            <w:pPr>
              <w:ind w:left="80"/>
              <w:spacing w:after="0"/>
              <w:rPr>
                <w:sz w:val="20"/>
                <w:szCs w:val="20"/>
                <w:color w:val="auto"/>
              </w:rPr>
            </w:pPr>
            <w:r>
              <w:rPr>
                <w:rFonts w:ascii="Calibri" w:cs="Calibri" w:eastAsia="Calibri" w:hAnsi="Calibri"/>
                <w:sz w:val="18"/>
                <w:szCs w:val="18"/>
                <w:color w:val="214E93"/>
              </w:rPr>
              <w:t>$</w:t>
            </w:r>
          </w:p>
        </w:tc>
        <w:tc>
          <w:tcPr>
            <w:tcW w:w="920" w:type="dxa"/>
            <w:vAlign w:val="bottom"/>
          </w:tcPr>
          <w:p>
            <w:pPr>
              <w:jc w:val="right"/>
              <w:spacing w:after="0"/>
              <w:rPr>
                <w:sz w:val="20"/>
                <w:szCs w:val="20"/>
                <w:color w:val="auto"/>
              </w:rPr>
            </w:pPr>
            <w:r>
              <w:rPr>
                <w:rFonts w:ascii="Calibri" w:cs="Calibri" w:eastAsia="Calibri" w:hAnsi="Calibri"/>
                <w:sz w:val="18"/>
                <w:szCs w:val="18"/>
                <w:color w:val="214E93"/>
              </w:rPr>
              <w:t>(23,398)</w:t>
            </w:r>
          </w:p>
        </w:tc>
        <w:tc>
          <w:tcPr>
            <w:tcW w:w="200" w:type="dxa"/>
            <w:vAlign w:val="bottom"/>
          </w:tcPr>
          <w:p>
            <w:pPr>
              <w:spacing w:after="0"/>
              <w:rPr>
                <w:sz w:val="24"/>
                <w:szCs w:val="24"/>
                <w:color w:val="auto"/>
              </w:rPr>
            </w:pPr>
          </w:p>
        </w:tc>
        <w:tc>
          <w:tcPr>
            <w:tcW w:w="440" w:type="dxa"/>
            <w:vAlign w:val="bottom"/>
          </w:tcPr>
          <w:p>
            <w:pPr>
              <w:ind w:left="120"/>
              <w:spacing w:after="0"/>
              <w:rPr>
                <w:sz w:val="20"/>
                <w:szCs w:val="20"/>
                <w:color w:val="auto"/>
              </w:rPr>
            </w:pPr>
            <w:r>
              <w:rPr>
                <w:rFonts w:ascii="Calibri" w:cs="Calibri" w:eastAsia="Calibri" w:hAnsi="Calibri"/>
                <w:sz w:val="18"/>
                <w:szCs w:val="18"/>
                <w:color w:val="214E93"/>
              </w:rPr>
              <w:t>$</w:t>
            </w:r>
          </w:p>
        </w:tc>
        <w:tc>
          <w:tcPr>
            <w:tcW w:w="860" w:type="dxa"/>
            <w:vAlign w:val="bottom"/>
          </w:tcPr>
          <w:p>
            <w:pPr>
              <w:jc w:val="right"/>
              <w:spacing w:after="0"/>
              <w:rPr>
                <w:sz w:val="20"/>
                <w:szCs w:val="20"/>
                <w:color w:val="auto"/>
              </w:rPr>
            </w:pPr>
            <w:r>
              <w:rPr>
                <w:rFonts w:ascii="Calibri" w:cs="Calibri" w:eastAsia="Calibri" w:hAnsi="Calibri"/>
                <w:sz w:val="18"/>
                <w:szCs w:val="18"/>
                <w:color w:val="214E93"/>
              </w:rPr>
              <w:t>34,052</w:t>
            </w:r>
          </w:p>
        </w:tc>
      </w:tr>
      <w:tr>
        <w:trPr>
          <w:trHeight w:val="286"/>
        </w:trPr>
        <w:tc>
          <w:tcPr>
            <w:tcW w:w="334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Current liabilities</w:t>
            </w:r>
          </w:p>
        </w:tc>
        <w:tc>
          <w:tcPr>
            <w:tcW w:w="20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214E93"/>
              </w:rPr>
              <w:t>(23,398)</w:t>
            </w: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8"/>
              <w:spacing w:after="0"/>
              <w:rPr>
                <w:sz w:val="20"/>
                <w:szCs w:val="20"/>
                <w:color w:val="auto"/>
              </w:rPr>
            </w:pPr>
            <w:r>
              <w:rPr>
                <w:rFonts w:ascii="Verdana" w:cs="Verdana" w:eastAsia="Verdana" w:hAnsi="Verdana"/>
                <w:sz w:val="16"/>
                <w:szCs w:val="16"/>
                <w:color w:val="214E93"/>
              </w:rPr>
              <w:t>23,398</w:t>
            </w: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131313"/>
              </w:rPr>
              <w:t>—</w:t>
            </w:r>
          </w:p>
        </w:tc>
      </w:tr>
      <w:tr>
        <w:trPr>
          <w:trHeight w:val="261"/>
        </w:trPr>
        <w:tc>
          <w:tcPr>
            <w:tcW w:w="3340" w:type="dxa"/>
            <w:vAlign w:val="bottom"/>
            <w:tcBorders>
              <w:bottom w:val="single" w:sz="8" w:color="214E93"/>
            </w:tcBorders>
          </w:tcPr>
          <w:p>
            <w:pPr>
              <w:ind w:left="40"/>
              <w:spacing w:after="0"/>
              <w:rPr>
                <w:sz w:val="20"/>
                <w:szCs w:val="20"/>
                <w:color w:val="auto"/>
              </w:rPr>
            </w:pPr>
            <w:r>
              <w:rPr>
                <w:rFonts w:ascii="Verdana" w:cs="Verdana" w:eastAsia="Verdana" w:hAnsi="Verdana"/>
                <w:sz w:val="16"/>
                <w:szCs w:val="16"/>
                <w:color w:val="auto"/>
              </w:rPr>
              <w:t>Total</w:t>
            </w:r>
          </w:p>
        </w:tc>
        <w:tc>
          <w:tcPr>
            <w:tcW w:w="2020" w:type="dxa"/>
            <w:vAlign w:val="bottom"/>
            <w:tcBorders>
              <w:bottom w:val="single" w:sz="8" w:color="214E93"/>
            </w:tcBorders>
          </w:tcPr>
          <w:p>
            <w:pPr>
              <w:jc w:val="right"/>
              <w:ind w:right="139"/>
              <w:spacing w:after="0"/>
              <w:rPr>
                <w:sz w:val="20"/>
                <w:szCs w:val="20"/>
                <w:color w:val="auto"/>
              </w:rPr>
            </w:pPr>
            <w:r>
              <w:rPr>
                <w:rFonts w:ascii="Verdana" w:cs="Verdana" w:eastAsia="Verdana" w:hAnsi="Verdana"/>
                <w:sz w:val="16"/>
                <w:szCs w:val="16"/>
                <w:color w:val="214E93"/>
              </w:rPr>
              <w:t>$</w:t>
            </w:r>
          </w:p>
        </w:tc>
        <w:tc>
          <w:tcPr>
            <w:tcW w:w="1160" w:type="dxa"/>
            <w:vAlign w:val="bottom"/>
            <w:tcBorders>
              <w:bottom w:val="single" w:sz="8" w:color="214E93"/>
            </w:tcBorders>
          </w:tcPr>
          <w:p>
            <w:pPr>
              <w:jc w:val="right"/>
              <w:ind w:right="60"/>
              <w:spacing w:after="0"/>
              <w:rPr>
                <w:sz w:val="20"/>
                <w:szCs w:val="20"/>
                <w:color w:val="auto"/>
              </w:rPr>
            </w:pPr>
            <w:r>
              <w:rPr>
                <w:rFonts w:ascii="Verdana" w:cs="Verdana" w:eastAsia="Verdana" w:hAnsi="Verdana"/>
                <w:sz w:val="16"/>
                <w:szCs w:val="16"/>
                <w:color w:val="214E93"/>
              </w:rPr>
              <w:t>34,052</w:t>
            </w:r>
          </w:p>
        </w:tc>
        <w:tc>
          <w:tcPr>
            <w:tcW w:w="22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w:t>
            </w:r>
          </w:p>
        </w:tc>
        <w:tc>
          <w:tcPr>
            <w:tcW w:w="400" w:type="dxa"/>
            <w:vAlign w:val="bottom"/>
            <w:tcBorders>
              <w:bottom w:val="single" w:sz="8" w:color="214E93"/>
            </w:tcBorders>
          </w:tcPr>
          <w:p>
            <w:pPr>
              <w:spacing w:after="0"/>
              <w:rPr>
                <w:sz w:val="22"/>
                <w:szCs w:val="22"/>
                <w:color w:val="auto"/>
              </w:rPr>
            </w:pPr>
          </w:p>
        </w:tc>
        <w:tc>
          <w:tcPr>
            <w:tcW w:w="920" w:type="dxa"/>
            <w:vAlign w:val="bottom"/>
            <w:tcBorders>
              <w:bottom w:val="single" w:sz="8" w:color="214E93"/>
            </w:tcBorders>
          </w:tcPr>
          <w:p>
            <w:pPr>
              <w:jc w:val="right"/>
              <w:ind w:right="58"/>
              <w:spacing w:after="0"/>
              <w:rPr>
                <w:sz w:val="20"/>
                <w:szCs w:val="20"/>
                <w:color w:val="auto"/>
              </w:rPr>
            </w:pPr>
            <w:r>
              <w:rPr>
                <w:rFonts w:ascii="Verdana" w:cs="Verdana" w:eastAsia="Verdana" w:hAnsi="Verdana"/>
                <w:sz w:val="16"/>
                <w:szCs w:val="16"/>
                <w:color w:val="214E93"/>
              </w:rPr>
              <w:t>—</w:t>
            </w:r>
          </w:p>
        </w:tc>
        <w:tc>
          <w:tcPr>
            <w:tcW w:w="20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w:t>
            </w:r>
          </w:p>
        </w:tc>
        <w:tc>
          <w:tcPr>
            <w:tcW w:w="440" w:type="dxa"/>
            <w:vAlign w:val="bottom"/>
            <w:tcBorders>
              <w:bottom w:val="single" w:sz="8" w:color="214E93"/>
            </w:tcBorders>
          </w:tcPr>
          <w:p>
            <w:pPr>
              <w:spacing w:after="0"/>
              <w:rPr>
                <w:sz w:val="22"/>
                <w:szCs w:val="22"/>
                <w:color w:val="auto"/>
              </w:rPr>
            </w:pPr>
          </w:p>
        </w:tc>
        <w:tc>
          <w:tcPr>
            <w:tcW w:w="86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34,052</w:t>
            </w:r>
          </w:p>
        </w:tc>
      </w:tr>
      <w:tr>
        <w:trPr>
          <w:trHeight w:val="230"/>
        </w:trPr>
        <w:tc>
          <w:tcPr>
            <w:tcW w:w="3340" w:type="dxa"/>
            <w:vAlign w:val="bottom"/>
          </w:tcPr>
          <w:p>
            <w:pPr>
              <w:ind w:left="40"/>
              <w:spacing w:after="0" w:line="231" w:lineRule="exact"/>
              <w:rPr>
                <w:sz w:val="20"/>
                <w:szCs w:val="20"/>
                <w:color w:val="auto"/>
              </w:rPr>
            </w:pPr>
            <w:r>
              <w:rPr>
                <w:rFonts w:ascii="Calibri" w:cs="Calibri" w:eastAsia="Calibri" w:hAnsi="Calibri"/>
                <w:sz w:val="19"/>
                <w:szCs w:val="19"/>
                <w:b w:val="1"/>
                <w:bCs w:val="1"/>
                <w:color w:val="auto"/>
              </w:rPr>
              <w:t>December 31, 2024</w:t>
            </w:r>
          </w:p>
        </w:tc>
        <w:tc>
          <w:tcPr>
            <w:tcW w:w="2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05"/>
        </w:trPr>
        <w:tc>
          <w:tcPr>
            <w:tcW w:w="3340" w:type="dxa"/>
            <w:vAlign w:val="bottom"/>
          </w:tcPr>
          <w:p>
            <w:pPr>
              <w:ind w:left="40"/>
              <w:spacing w:after="0"/>
              <w:rPr>
                <w:sz w:val="20"/>
                <w:szCs w:val="20"/>
                <w:color w:val="auto"/>
              </w:rPr>
            </w:pPr>
            <w:r>
              <w:rPr>
                <w:rFonts w:ascii="Verdana" w:cs="Verdana" w:eastAsia="Verdana" w:hAnsi="Verdana"/>
                <w:sz w:val="16"/>
                <w:szCs w:val="16"/>
                <w:color w:val="auto"/>
              </w:rPr>
              <w:t>Current assets</w:t>
            </w:r>
          </w:p>
        </w:tc>
        <w:tc>
          <w:tcPr>
            <w:tcW w:w="202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160" w:type="dxa"/>
            <w:vAlign w:val="bottom"/>
          </w:tcPr>
          <w:p>
            <w:pPr>
              <w:jc w:val="right"/>
              <w:ind w:right="60"/>
              <w:spacing w:after="0"/>
              <w:rPr>
                <w:sz w:val="20"/>
                <w:szCs w:val="20"/>
                <w:color w:val="auto"/>
              </w:rPr>
            </w:pPr>
            <w:r>
              <w:rPr>
                <w:rFonts w:ascii="Calibri" w:cs="Calibri" w:eastAsia="Calibri" w:hAnsi="Calibri"/>
                <w:sz w:val="18"/>
                <w:szCs w:val="18"/>
                <w:color w:val="auto"/>
              </w:rPr>
              <w:t>19,899</w:t>
            </w:r>
          </w:p>
        </w:tc>
        <w:tc>
          <w:tcPr>
            <w:tcW w:w="220" w:type="dxa"/>
            <w:vAlign w:val="bottom"/>
          </w:tcPr>
          <w:p>
            <w:pPr>
              <w:spacing w:after="0"/>
              <w:rPr>
                <w:sz w:val="24"/>
                <w:szCs w:val="24"/>
                <w:color w:val="auto"/>
              </w:rPr>
            </w:pPr>
          </w:p>
        </w:tc>
        <w:tc>
          <w:tcPr>
            <w:tcW w:w="400" w:type="dxa"/>
            <w:vAlign w:val="bottom"/>
          </w:tcPr>
          <w:p>
            <w:pPr>
              <w:ind w:left="80"/>
              <w:spacing w:after="0"/>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rPr>
                <w:sz w:val="20"/>
                <w:szCs w:val="20"/>
                <w:color w:val="auto"/>
              </w:rPr>
            </w:pPr>
            <w:r>
              <w:rPr>
                <w:rFonts w:ascii="Calibri" w:cs="Calibri" w:eastAsia="Calibri" w:hAnsi="Calibri"/>
                <w:sz w:val="18"/>
                <w:szCs w:val="18"/>
                <w:color w:val="auto"/>
              </w:rPr>
              <w:t>(3,931)</w:t>
            </w:r>
          </w:p>
        </w:tc>
        <w:tc>
          <w:tcPr>
            <w:tcW w:w="200" w:type="dxa"/>
            <w:vAlign w:val="bottom"/>
          </w:tcPr>
          <w:p>
            <w:pPr>
              <w:spacing w:after="0"/>
              <w:rPr>
                <w:sz w:val="24"/>
                <w:szCs w:val="24"/>
                <w:color w:val="auto"/>
              </w:rPr>
            </w:pPr>
          </w:p>
        </w:tc>
        <w:tc>
          <w:tcPr>
            <w:tcW w:w="440" w:type="dxa"/>
            <w:vAlign w:val="bottom"/>
          </w:tcPr>
          <w:p>
            <w:pPr>
              <w:ind w:left="120"/>
              <w:spacing w:after="0"/>
              <w:rPr>
                <w:sz w:val="20"/>
                <w:szCs w:val="20"/>
                <w:color w:val="auto"/>
              </w:rPr>
            </w:pPr>
            <w:r>
              <w:rPr>
                <w:rFonts w:ascii="Calibri" w:cs="Calibri" w:eastAsia="Calibri" w:hAnsi="Calibri"/>
                <w:sz w:val="18"/>
                <w:szCs w:val="18"/>
                <w:color w:val="auto"/>
              </w:rPr>
              <w:t>$</w:t>
            </w:r>
          </w:p>
        </w:tc>
        <w:tc>
          <w:tcPr>
            <w:tcW w:w="860" w:type="dxa"/>
            <w:vAlign w:val="bottom"/>
          </w:tcPr>
          <w:p>
            <w:pPr>
              <w:jc w:val="right"/>
              <w:spacing w:after="0"/>
              <w:rPr>
                <w:sz w:val="20"/>
                <w:szCs w:val="20"/>
                <w:color w:val="auto"/>
              </w:rPr>
            </w:pPr>
            <w:r>
              <w:rPr>
                <w:rFonts w:ascii="Calibri" w:cs="Calibri" w:eastAsia="Calibri" w:hAnsi="Calibri"/>
                <w:sz w:val="18"/>
                <w:szCs w:val="18"/>
                <w:color w:val="auto"/>
              </w:rPr>
              <w:t>15,968</w:t>
            </w:r>
          </w:p>
        </w:tc>
      </w:tr>
      <w:tr>
        <w:trPr>
          <w:trHeight w:val="286"/>
        </w:trPr>
        <w:tc>
          <w:tcPr>
            <w:tcW w:w="334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Current liabilities</w:t>
            </w:r>
          </w:p>
        </w:tc>
        <w:tc>
          <w:tcPr>
            <w:tcW w:w="20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131313"/>
              </w:rPr>
              <w:t>(3,931)</w:t>
            </w: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8"/>
              <w:spacing w:after="0"/>
              <w:rPr>
                <w:sz w:val="20"/>
                <w:szCs w:val="20"/>
                <w:color w:val="auto"/>
              </w:rPr>
            </w:pPr>
            <w:r>
              <w:rPr>
                <w:rFonts w:ascii="Verdana" w:cs="Verdana" w:eastAsia="Verdana" w:hAnsi="Verdana"/>
                <w:sz w:val="16"/>
                <w:szCs w:val="16"/>
                <w:color w:val="131313"/>
              </w:rPr>
              <w:t>3,931</w:t>
            </w: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131313"/>
              </w:rPr>
              <w:t>—</w:t>
            </w:r>
          </w:p>
        </w:tc>
      </w:tr>
      <w:tr>
        <w:trPr>
          <w:trHeight w:val="261"/>
        </w:trPr>
        <w:tc>
          <w:tcPr>
            <w:tcW w:w="3340" w:type="dxa"/>
            <w:vAlign w:val="bottom"/>
            <w:tcBorders>
              <w:bottom w:val="single" w:sz="8" w:color="214E93"/>
            </w:tcBorders>
          </w:tcPr>
          <w:p>
            <w:pPr>
              <w:ind w:left="40"/>
              <w:spacing w:after="0"/>
              <w:rPr>
                <w:sz w:val="20"/>
                <w:szCs w:val="20"/>
                <w:color w:val="auto"/>
              </w:rPr>
            </w:pPr>
            <w:r>
              <w:rPr>
                <w:rFonts w:ascii="Verdana" w:cs="Verdana" w:eastAsia="Verdana" w:hAnsi="Verdana"/>
                <w:sz w:val="16"/>
                <w:szCs w:val="16"/>
                <w:color w:val="auto"/>
              </w:rPr>
              <w:t>Total</w:t>
            </w:r>
          </w:p>
        </w:tc>
        <w:tc>
          <w:tcPr>
            <w:tcW w:w="2020" w:type="dxa"/>
            <w:vAlign w:val="bottom"/>
            <w:tcBorders>
              <w:bottom w:val="single" w:sz="8" w:color="214E93"/>
            </w:tcBorders>
          </w:tcPr>
          <w:p>
            <w:pPr>
              <w:jc w:val="right"/>
              <w:ind w:right="139"/>
              <w:spacing w:after="0"/>
              <w:rPr>
                <w:sz w:val="20"/>
                <w:szCs w:val="20"/>
                <w:color w:val="auto"/>
              </w:rPr>
            </w:pPr>
            <w:r>
              <w:rPr>
                <w:rFonts w:ascii="Verdana" w:cs="Verdana" w:eastAsia="Verdana" w:hAnsi="Verdana"/>
                <w:sz w:val="16"/>
                <w:szCs w:val="16"/>
                <w:color w:val="131313"/>
              </w:rPr>
              <w:t>$</w:t>
            </w:r>
          </w:p>
        </w:tc>
        <w:tc>
          <w:tcPr>
            <w:tcW w:w="1160" w:type="dxa"/>
            <w:vAlign w:val="bottom"/>
            <w:tcBorders>
              <w:bottom w:val="single" w:sz="8" w:color="214E93"/>
            </w:tcBorders>
          </w:tcPr>
          <w:p>
            <w:pPr>
              <w:jc w:val="right"/>
              <w:ind w:right="60"/>
              <w:spacing w:after="0"/>
              <w:rPr>
                <w:sz w:val="20"/>
                <w:szCs w:val="20"/>
                <w:color w:val="auto"/>
              </w:rPr>
            </w:pPr>
            <w:r>
              <w:rPr>
                <w:rFonts w:ascii="Verdana" w:cs="Verdana" w:eastAsia="Verdana" w:hAnsi="Verdana"/>
                <w:sz w:val="16"/>
                <w:szCs w:val="16"/>
                <w:color w:val="131313"/>
              </w:rPr>
              <w:t>15,968</w:t>
            </w:r>
          </w:p>
        </w:tc>
        <w:tc>
          <w:tcPr>
            <w:tcW w:w="22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131313"/>
              </w:rPr>
              <w:t>$</w:t>
            </w:r>
          </w:p>
        </w:tc>
        <w:tc>
          <w:tcPr>
            <w:tcW w:w="400" w:type="dxa"/>
            <w:vAlign w:val="bottom"/>
            <w:tcBorders>
              <w:bottom w:val="single" w:sz="8" w:color="214E93"/>
            </w:tcBorders>
          </w:tcPr>
          <w:p>
            <w:pPr>
              <w:spacing w:after="0"/>
              <w:rPr>
                <w:sz w:val="22"/>
                <w:szCs w:val="22"/>
                <w:color w:val="auto"/>
              </w:rPr>
            </w:pPr>
          </w:p>
        </w:tc>
        <w:tc>
          <w:tcPr>
            <w:tcW w:w="920" w:type="dxa"/>
            <w:vAlign w:val="bottom"/>
            <w:tcBorders>
              <w:bottom w:val="single" w:sz="8" w:color="214E93"/>
            </w:tcBorders>
          </w:tcPr>
          <w:p>
            <w:pPr>
              <w:jc w:val="right"/>
              <w:ind w:right="58"/>
              <w:spacing w:after="0"/>
              <w:rPr>
                <w:sz w:val="20"/>
                <w:szCs w:val="20"/>
                <w:color w:val="auto"/>
              </w:rPr>
            </w:pPr>
            <w:r>
              <w:rPr>
                <w:rFonts w:ascii="Verdana" w:cs="Verdana" w:eastAsia="Verdana" w:hAnsi="Verdana"/>
                <w:sz w:val="16"/>
                <w:szCs w:val="16"/>
                <w:color w:val="131313"/>
              </w:rPr>
              <w:t>—</w:t>
            </w:r>
          </w:p>
        </w:tc>
        <w:tc>
          <w:tcPr>
            <w:tcW w:w="20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131313"/>
              </w:rPr>
              <w:t>$</w:t>
            </w:r>
          </w:p>
        </w:tc>
        <w:tc>
          <w:tcPr>
            <w:tcW w:w="440" w:type="dxa"/>
            <w:vAlign w:val="bottom"/>
            <w:tcBorders>
              <w:bottom w:val="single" w:sz="8" w:color="214E93"/>
            </w:tcBorders>
          </w:tcPr>
          <w:p>
            <w:pPr>
              <w:spacing w:after="0"/>
              <w:rPr>
                <w:sz w:val="22"/>
                <w:szCs w:val="22"/>
                <w:color w:val="auto"/>
              </w:rPr>
            </w:pPr>
          </w:p>
        </w:tc>
        <w:tc>
          <w:tcPr>
            <w:tcW w:w="86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131313"/>
              </w:rPr>
              <w:t>15,968</w:t>
            </w:r>
          </w:p>
        </w:tc>
      </w:tr>
    </w:tbl>
    <w:p>
      <w:pPr>
        <w:spacing w:after="0" w:line="2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60" w:right="1240" w:firstLine="241"/>
        <w:spacing w:after="0" w:line="252" w:lineRule="auto"/>
        <w:rPr>
          <w:sz w:val="20"/>
          <w:szCs w:val="20"/>
          <w:color w:val="auto"/>
        </w:rPr>
      </w:pPr>
      <w:r>
        <w:rPr>
          <w:rFonts w:ascii="Calibri" w:cs="Calibri" w:eastAsia="Calibri" w:hAnsi="Calibri"/>
          <w:sz w:val="18"/>
          <w:szCs w:val="18"/>
          <w:color w:val="auto"/>
        </w:rPr>
        <w:t>The following table summarizes the location and aggregate gain (loss) of all derivative financial instruments recorded in the consolidated statements of income for the periods presented (in thousands).</w:t>
      </w:r>
    </w:p>
    <w:p>
      <w:pPr>
        <w:spacing w:after="0" w:line="188" w:lineRule="exact"/>
        <w:rPr>
          <w:sz w:val="20"/>
          <w:szCs w:val="20"/>
          <w:color w:val="auto"/>
        </w:rPr>
      </w:pPr>
    </w:p>
    <w:tbl>
      <w:tblPr>
        <w:tblLayout w:type="fixed"/>
        <w:tblInd w:w="1160" w:type="dxa"/>
        <w:tblCellMar>
          <w:top w:w="0" w:type="dxa"/>
          <w:left w:w="0" w:type="dxa"/>
          <w:bottom w:w="0" w:type="dxa"/>
          <w:right w:w="0" w:type="dxa"/>
        </w:tblCellMar>
      </w:tblPr>
      <w:tr>
        <w:trPr>
          <w:trHeight w:val="193"/>
        </w:trPr>
        <w:tc>
          <w:tcPr>
            <w:tcW w:w="2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20" w:type="dxa"/>
            <w:vAlign w:val="bottom"/>
            <w:tcBorders>
              <w:bottom w:val="single" w:sz="8" w:color="214E93"/>
            </w:tcBorders>
          </w:tcPr>
          <w:p>
            <w:pPr>
              <w:spacing w:after="0"/>
              <w:rPr>
                <w:sz w:val="16"/>
                <w:szCs w:val="16"/>
                <w:color w:val="auto"/>
              </w:rPr>
            </w:pPr>
          </w:p>
        </w:tc>
        <w:tc>
          <w:tcPr>
            <w:tcW w:w="2760" w:type="dxa"/>
            <w:vAlign w:val="bottom"/>
            <w:tcBorders>
              <w:bottom w:val="single" w:sz="8" w:color="214E93"/>
            </w:tcBorders>
            <w:gridSpan w:val="5"/>
          </w:tcPr>
          <w:p>
            <w:pPr>
              <w:jc w:val="right"/>
              <w:ind w:right="503"/>
              <w:spacing w:after="0"/>
              <w:rPr>
                <w:sz w:val="20"/>
                <w:szCs w:val="20"/>
                <w:color w:val="auto"/>
              </w:rPr>
            </w:pPr>
            <w:r>
              <w:rPr>
                <w:rFonts w:ascii="Verdana" w:cs="Verdana" w:eastAsia="Verdana" w:hAnsi="Verdana"/>
                <w:sz w:val="14"/>
                <w:szCs w:val="14"/>
                <w:color w:val="auto"/>
              </w:rPr>
              <w:t>Year Ended December 31,</w:t>
            </w:r>
          </w:p>
        </w:tc>
      </w:tr>
      <w:tr>
        <w:trPr>
          <w:trHeight w:val="201"/>
        </w:trPr>
        <w:tc>
          <w:tcPr>
            <w:tcW w:w="2220" w:type="dxa"/>
            <w:vAlign w:val="bottom"/>
            <w:tcBorders>
              <w:bottom w:val="single" w:sz="8" w:color="214E93"/>
            </w:tcBorders>
          </w:tcPr>
          <w:p>
            <w:pPr>
              <w:ind w:left="40"/>
              <w:spacing w:after="0"/>
              <w:rPr>
                <w:sz w:val="20"/>
                <w:szCs w:val="20"/>
                <w:color w:val="auto"/>
              </w:rPr>
            </w:pPr>
            <w:r>
              <w:rPr>
                <w:rFonts w:ascii="Verdana" w:cs="Verdana" w:eastAsia="Verdana" w:hAnsi="Verdana"/>
                <w:sz w:val="14"/>
                <w:szCs w:val="14"/>
                <w:color w:val="auto"/>
              </w:rPr>
              <w:t>Type of Instrument</w:t>
            </w:r>
          </w:p>
        </w:tc>
        <w:tc>
          <w:tcPr>
            <w:tcW w:w="4360" w:type="dxa"/>
            <w:vAlign w:val="bottom"/>
            <w:tcBorders>
              <w:bottom w:val="single" w:sz="8" w:color="214E93"/>
            </w:tcBorders>
          </w:tcPr>
          <w:p>
            <w:pPr>
              <w:ind w:left="420"/>
              <w:spacing w:after="0"/>
              <w:rPr>
                <w:sz w:val="20"/>
                <w:szCs w:val="20"/>
                <w:color w:val="auto"/>
              </w:rPr>
            </w:pPr>
            <w:r>
              <w:rPr>
                <w:rFonts w:ascii="Verdana" w:cs="Verdana" w:eastAsia="Verdana" w:hAnsi="Verdana"/>
                <w:sz w:val="14"/>
                <w:szCs w:val="14"/>
                <w:color w:val="auto"/>
              </w:rPr>
              <w:t>Location in Statements of Income</w:t>
            </w:r>
          </w:p>
        </w:tc>
        <w:tc>
          <w:tcPr>
            <w:tcW w:w="220" w:type="dxa"/>
            <w:vAlign w:val="bottom"/>
            <w:tcBorders>
              <w:bottom w:val="single" w:sz="8" w:color="214E93"/>
            </w:tcBorders>
          </w:tcPr>
          <w:p>
            <w:pPr>
              <w:spacing w:after="0"/>
              <w:rPr>
                <w:sz w:val="17"/>
                <w:szCs w:val="17"/>
                <w:color w:val="auto"/>
              </w:rPr>
            </w:pPr>
          </w:p>
        </w:tc>
        <w:tc>
          <w:tcPr>
            <w:tcW w:w="780" w:type="dxa"/>
            <w:vAlign w:val="bottom"/>
            <w:tcBorders>
              <w:bottom w:val="single" w:sz="8" w:color="214E93"/>
            </w:tcBorders>
          </w:tcPr>
          <w:p>
            <w:pPr>
              <w:jc w:val="right"/>
              <w:ind w:right="284"/>
              <w:spacing w:after="0"/>
              <w:rPr>
                <w:sz w:val="20"/>
                <w:szCs w:val="20"/>
                <w:color w:val="auto"/>
              </w:rPr>
            </w:pPr>
            <w:r>
              <w:rPr>
                <w:rFonts w:ascii="Verdana" w:cs="Verdana" w:eastAsia="Verdana" w:hAnsi="Verdana"/>
                <w:sz w:val="14"/>
                <w:szCs w:val="14"/>
                <w:color w:val="214E93"/>
              </w:rPr>
              <w:t>2025</w:t>
            </w:r>
          </w:p>
        </w:tc>
        <w:tc>
          <w:tcPr>
            <w:tcW w:w="240" w:type="dxa"/>
            <w:vAlign w:val="bottom"/>
            <w:tcBorders>
              <w:bottom w:val="single" w:sz="8" w:color="214E93"/>
            </w:tcBorders>
          </w:tcPr>
          <w:p>
            <w:pPr>
              <w:spacing w:after="0"/>
              <w:rPr>
                <w:sz w:val="17"/>
                <w:szCs w:val="17"/>
                <w:color w:val="auto"/>
              </w:rPr>
            </w:pPr>
          </w:p>
        </w:tc>
        <w:tc>
          <w:tcPr>
            <w:tcW w:w="740" w:type="dxa"/>
            <w:vAlign w:val="bottom"/>
            <w:tcBorders>
              <w:bottom w:val="single" w:sz="8" w:color="214E93"/>
            </w:tcBorders>
          </w:tcPr>
          <w:p>
            <w:pPr>
              <w:jc w:val="right"/>
              <w:ind w:right="243"/>
              <w:spacing w:after="0"/>
              <w:rPr>
                <w:sz w:val="20"/>
                <w:szCs w:val="20"/>
                <w:color w:val="auto"/>
              </w:rPr>
            </w:pPr>
            <w:r>
              <w:rPr>
                <w:rFonts w:ascii="Verdana" w:cs="Verdana" w:eastAsia="Verdana" w:hAnsi="Verdana"/>
                <w:sz w:val="14"/>
                <w:szCs w:val="14"/>
                <w:color w:val="auto"/>
              </w:rPr>
              <w:t>2024</w:t>
            </w:r>
          </w:p>
        </w:tc>
        <w:tc>
          <w:tcPr>
            <w:tcW w:w="240" w:type="dxa"/>
            <w:vAlign w:val="bottom"/>
            <w:tcBorders>
              <w:bottom w:val="single" w:sz="8" w:color="214E93"/>
            </w:tcBorders>
          </w:tcPr>
          <w:p>
            <w:pPr>
              <w:spacing w:after="0"/>
              <w:rPr>
                <w:sz w:val="17"/>
                <w:szCs w:val="17"/>
                <w:color w:val="auto"/>
              </w:rPr>
            </w:pPr>
          </w:p>
        </w:tc>
        <w:tc>
          <w:tcPr>
            <w:tcW w:w="760" w:type="dxa"/>
            <w:vAlign w:val="bottom"/>
            <w:tcBorders>
              <w:bottom w:val="single" w:sz="8" w:color="214E93"/>
            </w:tcBorders>
          </w:tcPr>
          <w:p>
            <w:pPr>
              <w:jc w:val="right"/>
              <w:ind w:right="223"/>
              <w:spacing w:after="0"/>
              <w:rPr>
                <w:sz w:val="20"/>
                <w:szCs w:val="20"/>
                <w:color w:val="auto"/>
              </w:rPr>
            </w:pPr>
            <w:r>
              <w:rPr>
                <w:rFonts w:ascii="Verdana" w:cs="Verdana" w:eastAsia="Verdana" w:hAnsi="Verdana"/>
                <w:sz w:val="14"/>
                <w:szCs w:val="14"/>
                <w:color w:val="auto"/>
              </w:rPr>
              <w:t>2023</w:t>
            </w:r>
          </w:p>
        </w:tc>
      </w:tr>
      <w:tr>
        <w:trPr>
          <w:trHeight w:val="211"/>
        </w:trPr>
        <w:tc>
          <w:tcPr>
            <w:tcW w:w="2220" w:type="dxa"/>
            <w:vAlign w:val="bottom"/>
          </w:tcPr>
          <w:p>
            <w:pPr>
              <w:ind w:left="40"/>
              <w:spacing w:after="0"/>
              <w:rPr>
                <w:sz w:val="20"/>
                <w:szCs w:val="20"/>
                <w:color w:val="auto"/>
              </w:rPr>
            </w:pPr>
            <w:r>
              <w:rPr>
                <w:rFonts w:ascii="Verdana" w:cs="Verdana" w:eastAsia="Verdana" w:hAnsi="Verdana"/>
                <w:sz w:val="16"/>
                <w:szCs w:val="16"/>
                <w:color w:val="auto"/>
              </w:rPr>
              <w:t>Derivative Instrument</w:t>
            </w:r>
          </w:p>
        </w:tc>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40"/>
        </w:trPr>
        <w:tc>
          <w:tcPr>
            <w:tcW w:w="2220" w:type="dxa"/>
            <w:vAlign w:val="bottom"/>
            <w:tcBorders>
              <w:bottom w:val="single" w:sz="8" w:color="auto"/>
            </w:tcBorders>
          </w:tcPr>
          <w:p>
            <w:pPr>
              <w:ind w:left="160"/>
              <w:spacing w:after="0"/>
              <w:rPr>
                <w:sz w:val="20"/>
                <w:szCs w:val="20"/>
                <w:color w:val="auto"/>
              </w:rPr>
            </w:pPr>
            <w:r>
              <w:rPr>
                <w:rFonts w:ascii="Verdana" w:cs="Verdana" w:eastAsia="Verdana" w:hAnsi="Verdana"/>
                <w:sz w:val="16"/>
                <w:szCs w:val="16"/>
                <w:color w:val="auto"/>
              </w:rPr>
              <w:t>Natural Gas</w:t>
            </w:r>
          </w:p>
        </w:tc>
        <w:tc>
          <w:tcPr>
            <w:tcW w:w="4360" w:type="dxa"/>
            <w:vAlign w:val="bottom"/>
            <w:tcBorders>
              <w:bottom w:val="single" w:sz="8" w:color="auto"/>
            </w:tcBorders>
          </w:tcPr>
          <w:p>
            <w:pPr>
              <w:ind w:left="420"/>
              <w:spacing w:after="0"/>
              <w:rPr>
                <w:sz w:val="20"/>
                <w:szCs w:val="20"/>
                <w:color w:val="auto"/>
              </w:rPr>
            </w:pPr>
            <w:r>
              <w:rPr>
                <w:rFonts w:ascii="Verdana" w:cs="Verdana" w:eastAsia="Verdana" w:hAnsi="Verdana"/>
                <w:sz w:val="16"/>
                <w:szCs w:val="16"/>
                <w:color w:val="auto"/>
              </w:rPr>
              <w:t>Revenues: Realized gain (loss) on derivatives</w:t>
            </w:r>
          </w:p>
        </w:tc>
        <w:tc>
          <w:tcPr>
            <w:tcW w:w="22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214E93"/>
              </w:rPr>
              <w:t>$</w:t>
            </w:r>
          </w:p>
        </w:tc>
        <w:tc>
          <w:tcPr>
            <w:tcW w:w="780" w:type="dxa"/>
            <w:vAlign w:val="bottom"/>
            <w:tcBorders>
              <w:bottom w:val="single" w:sz="8" w:color="auto"/>
            </w:tcBorders>
          </w:tcPr>
          <w:p>
            <w:pPr>
              <w:jc w:val="right"/>
              <w:ind w:right="64"/>
              <w:spacing w:after="0"/>
              <w:rPr>
                <w:sz w:val="20"/>
                <w:szCs w:val="20"/>
                <w:color w:val="auto"/>
              </w:rPr>
            </w:pPr>
            <w:r>
              <w:rPr>
                <w:rFonts w:ascii="Verdana" w:cs="Verdana" w:eastAsia="Verdana" w:hAnsi="Verdana"/>
                <w:sz w:val="16"/>
                <w:szCs w:val="16"/>
                <w:color w:val="214E93"/>
              </w:rPr>
              <w:t>21,679</w:t>
            </w:r>
          </w:p>
        </w:tc>
        <w:tc>
          <w:tcPr>
            <w:tcW w:w="2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131313"/>
              </w:rPr>
              <w:t>$</w:t>
            </w:r>
          </w:p>
        </w:tc>
        <w:tc>
          <w:tcPr>
            <w:tcW w:w="740" w:type="dxa"/>
            <w:vAlign w:val="bottom"/>
            <w:tcBorders>
              <w:bottom w:val="single" w:sz="8" w:color="auto"/>
            </w:tcBorders>
          </w:tcPr>
          <w:p>
            <w:pPr>
              <w:jc w:val="right"/>
              <w:ind w:right="23"/>
              <w:spacing w:after="0"/>
              <w:rPr>
                <w:sz w:val="20"/>
                <w:szCs w:val="20"/>
                <w:color w:val="auto"/>
              </w:rPr>
            </w:pPr>
            <w:r>
              <w:rPr>
                <w:rFonts w:ascii="Verdana" w:cs="Verdana" w:eastAsia="Verdana" w:hAnsi="Verdana"/>
                <w:sz w:val="16"/>
                <w:szCs w:val="16"/>
                <w:color w:val="131313"/>
              </w:rPr>
              <w:t>12,724</w:t>
            </w:r>
          </w:p>
        </w:tc>
        <w:tc>
          <w:tcPr>
            <w:tcW w:w="2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131313"/>
              </w:rPr>
              <w:t>$</w:t>
            </w:r>
          </w:p>
        </w:tc>
        <w:tc>
          <w:tcPr>
            <w:tcW w:w="76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131313"/>
              </w:rPr>
              <w:t>(9,575)</w:t>
            </w:r>
          </w:p>
        </w:tc>
      </w:tr>
      <w:tr>
        <w:trPr>
          <w:trHeight w:val="211"/>
        </w:trPr>
        <w:tc>
          <w:tcPr>
            <w:tcW w:w="6580" w:type="dxa"/>
            <w:vAlign w:val="bottom"/>
            <w:gridSpan w:val="2"/>
          </w:tcPr>
          <w:p>
            <w:pPr>
              <w:ind w:left="280"/>
              <w:spacing w:after="0"/>
              <w:rPr>
                <w:sz w:val="20"/>
                <w:szCs w:val="20"/>
                <w:color w:val="auto"/>
              </w:rPr>
            </w:pPr>
            <w:r>
              <w:rPr>
                <w:rFonts w:ascii="Verdana" w:cs="Verdana" w:eastAsia="Verdana" w:hAnsi="Verdana"/>
                <w:sz w:val="16"/>
                <w:szCs w:val="16"/>
                <w:color w:val="auto"/>
              </w:rPr>
              <w:t>Realized gain (loss) on derivatives</w:t>
            </w:r>
          </w:p>
        </w:tc>
        <w:tc>
          <w:tcPr>
            <w:tcW w:w="220" w:type="dxa"/>
            <w:vAlign w:val="bottom"/>
          </w:tcPr>
          <w:p>
            <w:pPr>
              <w:spacing w:after="0"/>
              <w:rPr>
                <w:sz w:val="18"/>
                <w:szCs w:val="18"/>
                <w:color w:val="auto"/>
              </w:rPr>
            </w:pPr>
          </w:p>
        </w:tc>
        <w:tc>
          <w:tcPr>
            <w:tcW w:w="780" w:type="dxa"/>
            <w:vAlign w:val="bottom"/>
          </w:tcPr>
          <w:p>
            <w:pPr>
              <w:jc w:val="right"/>
              <w:ind w:right="64"/>
              <w:spacing w:after="0"/>
              <w:rPr>
                <w:sz w:val="20"/>
                <w:szCs w:val="20"/>
                <w:color w:val="auto"/>
              </w:rPr>
            </w:pPr>
            <w:r>
              <w:rPr>
                <w:rFonts w:ascii="Verdana" w:cs="Verdana" w:eastAsia="Verdana" w:hAnsi="Verdana"/>
                <w:sz w:val="16"/>
                <w:szCs w:val="16"/>
                <w:color w:val="214E93"/>
              </w:rPr>
              <w:t>21,679</w:t>
            </w:r>
          </w:p>
        </w:tc>
        <w:tc>
          <w:tcPr>
            <w:tcW w:w="240" w:type="dxa"/>
            <w:vAlign w:val="bottom"/>
          </w:tcPr>
          <w:p>
            <w:pPr>
              <w:spacing w:after="0"/>
              <w:rPr>
                <w:sz w:val="18"/>
                <w:szCs w:val="18"/>
                <w:color w:val="auto"/>
              </w:rPr>
            </w:pPr>
          </w:p>
        </w:tc>
        <w:tc>
          <w:tcPr>
            <w:tcW w:w="740" w:type="dxa"/>
            <w:vAlign w:val="bottom"/>
          </w:tcPr>
          <w:p>
            <w:pPr>
              <w:jc w:val="right"/>
              <w:ind w:right="23"/>
              <w:spacing w:after="0"/>
              <w:rPr>
                <w:sz w:val="20"/>
                <w:szCs w:val="20"/>
                <w:color w:val="auto"/>
              </w:rPr>
            </w:pPr>
            <w:r>
              <w:rPr>
                <w:rFonts w:ascii="Verdana" w:cs="Verdana" w:eastAsia="Verdana" w:hAnsi="Verdana"/>
                <w:sz w:val="16"/>
                <w:szCs w:val="16"/>
                <w:color w:val="131313"/>
              </w:rPr>
              <w:t>12,724</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Verdana" w:cs="Verdana" w:eastAsia="Verdana" w:hAnsi="Verdana"/>
                <w:sz w:val="16"/>
                <w:szCs w:val="16"/>
                <w:color w:val="131313"/>
              </w:rPr>
              <w:t>(9,575)</w:t>
            </w:r>
          </w:p>
        </w:tc>
      </w:tr>
      <w:tr>
        <w:trPr>
          <w:trHeight w:val="236"/>
        </w:trPr>
        <w:tc>
          <w:tcPr>
            <w:tcW w:w="2220" w:type="dxa"/>
            <w:vAlign w:val="bottom"/>
          </w:tcPr>
          <w:p>
            <w:pPr>
              <w:ind w:left="40"/>
              <w:spacing w:after="0"/>
              <w:rPr>
                <w:sz w:val="20"/>
                <w:szCs w:val="20"/>
                <w:color w:val="auto"/>
              </w:rPr>
            </w:pPr>
            <w:r>
              <w:rPr>
                <w:rFonts w:ascii="Verdana" w:cs="Verdana" w:eastAsia="Verdana" w:hAnsi="Verdana"/>
                <w:sz w:val="16"/>
                <w:szCs w:val="16"/>
                <w:color w:val="auto"/>
              </w:rPr>
              <w:t>Oil</w:t>
            </w:r>
          </w:p>
        </w:tc>
        <w:tc>
          <w:tcPr>
            <w:tcW w:w="4360" w:type="dxa"/>
            <w:vAlign w:val="bottom"/>
          </w:tcPr>
          <w:p>
            <w:pPr>
              <w:ind w:left="420"/>
              <w:spacing w:after="0"/>
              <w:rPr>
                <w:sz w:val="20"/>
                <w:szCs w:val="20"/>
                <w:color w:val="auto"/>
              </w:rPr>
            </w:pPr>
            <w:r>
              <w:rPr>
                <w:rFonts w:ascii="Verdana" w:cs="Verdana" w:eastAsia="Verdana" w:hAnsi="Verdana"/>
                <w:sz w:val="16"/>
                <w:szCs w:val="16"/>
                <w:color w:val="auto"/>
              </w:rPr>
              <w:t>Revenues: Unrealized (loss) gain on derivatives</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Verdana" w:cs="Verdana" w:eastAsia="Verdana" w:hAnsi="Verdana"/>
                <w:sz w:val="16"/>
                <w:szCs w:val="16"/>
                <w:color w:val="214E93"/>
              </w:rPr>
              <w:t>(2,958)</w:t>
            </w:r>
          </w:p>
        </w:tc>
        <w:tc>
          <w:tcPr>
            <w:tcW w:w="240" w:type="dxa"/>
            <w:vAlign w:val="bottom"/>
          </w:tcPr>
          <w:p>
            <w:pPr>
              <w:spacing w:after="0"/>
              <w:rPr>
                <w:sz w:val="20"/>
                <w:szCs w:val="20"/>
                <w:color w:val="auto"/>
              </w:rPr>
            </w:pPr>
          </w:p>
        </w:tc>
        <w:tc>
          <w:tcPr>
            <w:tcW w:w="740" w:type="dxa"/>
            <w:vAlign w:val="bottom"/>
          </w:tcPr>
          <w:p>
            <w:pPr>
              <w:jc w:val="right"/>
              <w:ind w:right="23"/>
              <w:spacing w:after="0"/>
              <w:rPr>
                <w:sz w:val="20"/>
                <w:szCs w:val="20"/>
                <w:color w:val="auto"/>
              </w:rPr>
            </w:pPr>
            <w:r>
              <w:rPr>
                <w:rFonts w:ascii="Verdana" w:cs="Verdana" w:eastAsia="Verdana" w:hAnsi="Verdana"/>
                <w:sz w:val="16"/>
                <w:szCs w:val="16"/>
                <w:color w:val="131313"/>
              </w:rPr>
              <w:t>3,676</w:t>
            </w:r>
          </w:p>
        </w:tc>
        <w:tc>
          <w:tcPr>
            <w:tcW w:w="240" w:type="dxa"/>
            <w:vAlign w:val="bottom"/>
          </w:tcPr>
          <w:p>
            <w:pPr>
              <w:spacing w:after="0"/>
              <w:rPr>
                <w:sz w:val="20"/>
                <w:szCs w:val="20"/>
                <w:color w:val="auto"/>
              </w:rPr>
            </w:pPr>
          </w:p>
        </w:tc>
        <w:tc>
          <w:tcPr>
            <w:tcW w:w="760" w:type="dxa"/>
            <w:vAlign w:val="bottom"/>
          </w:tcPr>
          <w:p>
            <w:pPr>
              <w:jc w:val="right"/>
              <w:ind w:right="3"/>
              <w:spacing w:after="0"/>
              <w:rPr>
                <w:sz w:val="20"/>
                <w:szCs w:val="20"/>
                <w:color w:val="auto"/>
              </w:rPr>
            </w:pPr>
            <w:r>
              <w:rPr>
                <w:rFonts w:ascii="Verdana" w:cs="Verdana" w:eastAsia="Verdana" w:hAnsi="Verdana"/>
                <w:sz w:val="16"/>
                <w:szCs w:val="16"/>
                <w:color w:val="131313"/>
              </w:rPr>
              <w:t>—</w:t>
            </w:r>
          </w:p>
        </w:tc>
      </w:tr>
      <w:tr>
        <w:trPr>
          <w:trHeight w:val="242"/>
        </w:trPr>
        <w:tc>
          <w:tcPr>
            <w:tcW w:w="222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Natural Gas</w:t>
            </w:r>
          </w:p>
        </w:tc>
        <w:tc>
          <w:tcPr>
            <w:tcW w:w="4360" w:type="dxa"/>
            <w:vAlign w:val="bottom"/>
            <w:tcBorders>
              <w:bottom w:val="single" w:sz="8" w:color="auto"/>
            </w:tcBorders>
          </w:tcPr>
          <w:p>
            <w:pPr>
              <w:ind w:left="420"/>
              <w:spacing w:after="0"/>
              <w:rPr>
                <w:sz w:val="20"/>
                <w:szCs w:val="20"/>
                <w:color w:val="auto"/>
              </w:rPr>
            </w:pPr>
            <w:r>
              <w:rPr>
                <w:rFonts w:ascii="Verdana" w:cs="Verdana" w:eastAsia="Verdana" w:hAnsi="Verdana"/>
                <w:sz w:val="16"/>
                <w:szCs w:val="16"/>
                <w:color w:val="auto"/>
              </w:rPr>
              <w:t>Revenues: Unrealized gain (loss) on derivatives</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4"/>
              <w:spacing w:after="0"/>
              <w:rPr>
                <w:sz w:val="20"/>
                <w:szCs w:val="20"/>
                <w:color w:val="auto"/>
              </w:rPr>
            </w:pPr>
            <w:r>
              <w:rPr>
                <w:rFonts w:ascii="Verdana" w:cs="Verdana" w:eastAsia="Verdana" w:hAnsi="Verdana"/>
                <w:sz w:val="16"/>
                <w:szCs w:val="16"/>
                <w:color w:val="214E93"/>
              </w:rPr>
              <w:t>21,042</w:t>
            </w: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3"/>
              <w:spacing w:after="0"/>
              <w:rPr>
                <w:sz w:val="20"/>
                <w:szCs w:val="20"/>
                <w:color w:val="auto"/>
              </w:rPr>
            </w:pPr>
            <w:r>
              <w:rPr>
                <w:rFonts w:ascii="Verdana" w:cs="Verdana" w:eastAsia="Verdana" w:hAnsi="Verdana"/>
                <w:sz w:val="16"/>
                <w:szCs w:val="16"/>
                <w:color w:val="131313"/>
              </w:rPr>
              <w:t>9,623</w:t>
            </w: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131313"/>
              </w:rPr>
              <w:t>(1,261)</w:t>
            </w:r>
          </w:p>
        </w:tc>
      </w:tr>
      <w:tr>
        <w:trPr>
          <w:trHeight w:val="216"/>
        </w:trPr>
        <w:tc>
          <w:tcPr>
            <w:tcW w:w="6580" w:type="dxa"/>
            <w:vAlign w:val="bottom"/>
            <w:tcBorders>
              <w:bottom w:val="single" w:sz="8" w:color="auto"/>
            </w:tcBorders>
            <w:gridSpan w:val="2"/>
          </w:tcPr>
          <w:p>
            <w:pPr>
              <w:ind w:left="280"/>
              <w:spacing w:after="0"/>
              <w:rPr>
                <w:sz w:val="20"/>
                <w:szCs w:val="20"/>
                <w:color w:val="auto"/>
              </w:rPr>
            </w:pPr>
            <w:r>
              <w:rPr>
                <w:rFonts w:ascii="Verdana" w:cs="Verdana" w:eastAsia="Verdana" w:hAnsi="Verdana"/>
                <w:sz w:val="16"/>
                <w:szCs w:val="16"/>
                <w:color w:val="auto"/>
              </w:rPr>
              <w:t>Unrealized gain (loss) on derivatives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64"/>
              <w:spacing w:after="0"/>
              <w:rPr>
                <w:sz w:val="20"/>
                <w:szCs w:val="20"/>
                <w:color w:val="auto"/>
              </w:rPr>
            </w:pPr>
            <w:r>
              <w:rPr>
                <w:rFonts w:ascii="Verdana" w:cs="Verdana" w:eastAsia="Verdana" w:hAnsi="Verdana"/>
                <w:sz w:val="16"/>
                <w:szCs w:val="16"/>
                <w:color w:val="214E93"/>
              </w:rPr>
              <w:t>18,084</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
              <w:spacing w:after="0"/>
              <w:rPr>
                <w:sz w:val="20"/>
                <w:szCs w:val="20"/>
                <w:color w:val="auto"/>
              </w:rPr>
            </w:pPr>
            <w:r>
              <w:rPr>
                <w:rFonts w:ascii="Verdana" w:cs="Verdana" w:eastAsia="Verdana" w:hAnsi="Verdana"/>
                <w:sz w:val="16"/>
                <w:szCs w:val="16"/>
                <w:color w:val="131313"/>
              </w:rPr>
              <w:t>13,299</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131313"/>
              </w:rPr>
              <w:t>(1,261)</w:t>
            </w:r>
          </w:p>
        </w:tc>
      </w:tr>
      <w:tr>
        <w:trPr>
          <w:trHeight w:val="217"/>
        </w:trPr>
        <w:tc>
          <w:tcPr>
            <w:tcW w:w="2220" w:type="dxa"/>
            <w:vAlign w:val="bottom"/>
            <w:tcBorders>
              <w:bottom w:val="single" w:sz="8" w:color="214E93"/>
            </w:tcBorders>
          </w:tcPr>
          <w:p>
            <w:pPr>
              <w:ind w:left="400"/>
              <w:spacing w:after="0"/>
              <w:rPr>
                <w:sz w:val="20"/>
                <w:szCs w:val="20"/>
                <w:color w:val="auto"/>
              </w:rPr>
            </w:pPr>
            <w:r>
              <w:rPr>
                <w:rFonts w:ascii="Verdana" w:cs="Verdana" w:eastAsia="Verdana" w:hAnsi="Verdana"/>
                <w:sz w:val="16"/>
                <w:szCs w:val="16"/>
                <w:color w:val="auto"/>
              </w:rPr>
              <w:t>Total</w:t>
            </w:r>
          </w:p>
        </w:tc>
        <w:tc>
          <w:tcPr>
            <w:tcW w:w="4360" w:type="dxa"/>
            <w:vAlign w:val="bottom"/>
            <w:tcBorders>
              <w:bottom w:val="single" w:sz="8" w:color="214E93"/>
            </w:tcBorders>
          </w:tcPr>
          <w:p>
            <w:pPr>
              <w:spacing w:after="0"/>
              <w:rPr>
                <w:sz w:val="18"/>
                <w:szCs w:val="18"/>
                <w:color w:val="auto"/>
              </w:rPr>
            </w:pPr>
          </w:p>
        </w:tc>
        <w:tc>
          <w:tcPr>
            <w:tcW w:w="22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w:t>
            </w:r>
          </w:p>
        </w:tc>
        <w:tc>
          <w:tcPr>
            <w:tcW w:w="780" w:type="dxa"/>
            <w:vAlign w:val="bottom"/>
            <w:tcBorders>
              <w:bottom w:val="single" w:sz="8" w:color="214E93"/>
            </w:tcBorders>
          </w:tcPr>
          <w:p>
            <w:pPr>
              <w:jc w:val="right"/>
              <w:ind w:right="64"/>
              <w:spacing w:after="0"/>
              <w:rPr>
                <w:sz w:val="20"/>
                <w:szCs w:val="20"/>
                <w:color w:val="auto"/>
              </w:rPr>
            </w:pPr>
            <w:r>
              <w:rPr>
                <w:rFonts w:ascii="Verdana" w:cs="Verdana" w:eastAsia="Verdana" w:hAnsi="Verdana"/>
                <w:sz w:val="16"/>
                <w:szCs w:val="16"/>
                <w:color w:val="214E93"/>
              </w:rPr>
              <w:t>39,763</w:t>
            </w:r>
          </w:p>
        </w:tc>
        <w:tc>
          <w:tcPr>
            <w:tcW w:w="24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131313"/>
              </w:rPr>
              <w:t>$</w:t>
            </w:r>
          </w:p>
        </w:tc>
        <w:tc>
          <w:tcPr>
            <w:tcW w:w="740" w:type="dxa"/>
            <w:vAlign w:val="bottom"/>
            <w:tcBorders>
              <w:bottom w:val="single" w:sz="8" w:color="214E93"/>
            </w:tcBorders>
          </w:tcPr>
          <w:p>
            <w:pPr>
              <w:jc w:val="right"/>
              <w:ind w:right="23"/>
              <w:spacing w:after="0"/>
              <w:rPr>
                <w:sz w:val="20"/>
                <w:szCs w:val="20"/>
                <w:color w:val="auto"/>
              </w:rPr>
            </w:pPr>
            <w:r>
              <w:rPr>
                <w:rFonts w:ascii="Verdana" w:cs="Verdana" w:eastAsia="Verdana" w:hAnsi="Verdana"/>
                <w:sz w:val="16"/>
                <w:szCs w:val="16"/>
                <w:color w:val="131313"/>
              </w:rPr>
              <w:t>26,023</w:t>
            </w:r>
          </w:p>
        </w:tc>
        <w:tc>
          <w:tcPr>
            <w:tcW w:w="24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131313"/>
              </w:rPr>
              <w:t>$</w:t>
            </w:r>
          </w:p>
        </w:tc>
        <w:tc>
          <w:tcPr>
            <w:tcW w:w="76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131313"/>
              </w:rPr>
              <w:t>(10,836)</w:t>
            </w:r>
          </w:p>
        </w:tc>
      </w:tr>
    </w:tbl>
    <w:p>
      <w:pPr>
        <w:spacing w:after="0" w:line="20" w:lineRule="exact"/>
        <w:rPr>
          <w:sz w:val="20"/>
          <w:szCs w:val="20"/>
          <w:color w:val="auto"/>
        </w:rPr>
      </w:pPr>
    </w:p>
    <w:p>
      <w:pPr>
        <w:sectPr>
          <w:pgSz w:w="11880" w:h="15480" w:orient="portrait"/>
          <w:cols w:equalWidth="0" w:num="1">
            <w:col w:w="11500"/>
          </w:cols>
          <w:pgMar w:left="0" w:top="498"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060"/>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1500"/>
          </w:cols>
          <w:pgMar w:left="0" w:top="498" w:right="380" w:bottom="0" w:gutter="0" w:footer="0" w:header="0"/>
          <w:type w:val="continuous"/>
        </w:sectPr>
      </w:pPr>
    </w:p>
    <w:bookmarkStart w:id="167" w:name="page168"/>
    <w:bookmarkEnd w:id="167"/>
    <w:p>
      <w:pPr>
        <w:spacing w:after="0"/>
        <w:tabs>
          <w:tab w:leader="none" w:pos="800" w:val="left"/>
        </w:tabs>
        <w:rPr>
          <w:sz w:val="20"/>
          <w:szCs w:val="20"/>
          <w:color w:val="auto"/>
        </w:rPr>
      </w:pPr>
      <w:r>
        <w:rPr>
          <w:rFonts w:ascii="Calibri" w:cs="Calibri" w:eastAsia="Calibri" w:hAnsi="Calibri"/>
          <w:sz w:val="18"/>
          <w:szCs w:val="18"/>
          <w:color w:val="auto"/>
        </w:rPr>
        <w:t>F-37</w:t>
      </w:r>
      <w:r>
        <w:rPr>
          <w:sz w:val="20"/>
          <w:szCs w:val="20"/>
          <w:color w:val="auto"/>
        </w:rPr>
        <w:tab/>
      </w:r>
      <w:r>
        <w:rPr>
          <w:rFonts w:ascii="Calibri" w:cs="Calibri" w:eastAsia="Calibri" w:hAnsi="Calibri"/>
          <w:sz w:val="17"/>
          <w:szCs w:val="17"/>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490220</wp:posOffset>
                </wp:positionH>
                <wp:positionV relativeFrom="paragraph">
                  <wp:posOffset>320675</wp:posOffset>
                </wp:positionV>
                <wp:extent cx="6812280" cy="0"/>
                <wp:wrapNone/>
                <wp:docPr id="330" name="Shape 3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30" o:spid="_x0000_s13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25.25pt" to="57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490220</wp:posOffset>
                </wp:positionH>
                <wp:positionV relativeFrom="paragraph">
                  <wp:posOffset>320675</wp:posOffset>
                </wp:positionV>
                <wp:extent cx="6812280" cy="0"/>
                <wp:wrapNone/>
                <wp:docPr id="331" name="Shape 3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31" o:spid="_x0000_s13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25.25pt" to="57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80"/>
        <w:spacing w:after="0"/>
        <w:rPr>
          <w:sz w:val="20"/>
          <w:szCs w:val="20"/>
          <w:color w:val="auto"/>
        </w:rPr>
      </w:pPr>
      <w:r>
        <w:rPr>
          <w:rFonts w:ascii="Verdana" w:cs="Verdana" w:eastAsia="Verdana" w:hAnsi="Verdana"/>
          <w:sz w:val="20"/>
          <w:szCs w:val="20"/>
          <w:color w:val="214E93"/>
        </w:rPr>
        <w:t>NOTE 13 — FAIR VALUE MEASUREMENTS</w:t>
      </w:r>
    </w:p>
    <w:p>
      <w:pPr>
        <w:spacing w:after="0" w:line="209" w:lineRule="exact"/>
        <w:rPr>
          <w:sz w:val="20"/>
          <w:szCs w:val="20"/>
          <w:color w:val="auto"/>
        </w:rPr>
      </w:pPr>
    </w:p>
    <w:p>
      <w:pPr>
        <w:ind w:left="780" w:right="780" w:firstLine="241"/>
        <w:spacing w:after="0" w:line="283" w:lineRule="auto"/>
        <w:rPr>
          <w:sz w:val="20"/>
          <w:szCs w:val="20"/>
          <w:color w:val="auto"/>
        </w:rPr>
      </w:pPr>
      <w:r>
        <w:rPr>
          <w:rFonts w:ascii="Calibri" w:cs="Calibri" w:eastAsia="Calibri" w:hAnsi="Calibri"/>
          <w:sz w:val="17"/>
          <w:szCs w:val="17"/>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Fair value measurements are classified and disclosed in one of the following categories.</w:t>
      </w:r>
    </w:p>
    <w:p>
      <w:pPr>
        <w:spacing w:after="0" w:line="188" w:lineRule="exact"/>
        <w:rPr>
          <w:sz w:val="20"/>
          <w:szCs w:val="20"/>
          <w:color w:val="auto"/>
        </w:rPr>
      </w:pPr>
    </w:p>
    <w:p>
      <w:pPr>
        <w:ind w:left="1020"/>
        <w:spacing w:after="0"/>
        <w:tabs>
          <w:tab w:leader="none" w:pos="1700" w:val="left"/>
        </w:tabs>
        <w:rPr>
          <w:sz w:val="20"/>
          <w:szCs w:val="20"/>
          <w:color w:val="auto"/>
        </w:rPr>
      </w:pPr>
      <w:r>
        <w:rPr>
          <w:rFonts w:ascii="Calibri" w:cs="Calibri" w:eastAsia="Calibri" w:hAnsi="Calibri"/>
          <w:sz w:val="18"/>
          <w:szCs w:val="18"/>
          <w:color w:val="auto"/>
        </w:rPr>
        <w:t>Level 1</w:t>
      </w:r>
      <w:r>
        <w:rPr>
          <w:sz w:val="20"/>
          <w:szCs w:val="20"/>
          <w:color w:val="auto"/>
        </w:rPr>
        <w:tab/>
      </w:r>
      <w:r>
        <w:rPr>
          <w:rFonts w:ascii="Calibri" w:cs="Calibri" w:eastAsia="Calibri" w:hAnsi="Calibri"/>
          <w:sz w:val="17"/>
          <w:szCs w:val="17"/>
          <w:color w:val="auto"/>
        </w:rPr>
        <w:t>Unadjusted quoted prices for identical, unrestricted assets or liabilities in active markets.</w:t>
      </w:r>
    </w:p>
    <w:p>
      <w:pPr>
        <w:spacing w:after="0" w:line="241" w:lineRule="exact"/>
        <w:rPr>
          <w:sz w:val="20"/>
          <w:szCs w:val="20"/>
          <w:color w:val="auto"/>
        </w:rPr>
      </w:pPr>
    </w:p>
    <w:p>
      <w:pPr>
        <w:ind w:left="780" w:right="700" w:firstLine="241"/>
        <w:spacing w:after="0" w:line="267" w:lineRule="auto"/>
        <w:rPr>
          <w:sz w:val="20"/>
          <w:szCs w:val="20"/>
          <w:color w:val="auto"/>
        </w:rPr>
      </w:pPr>
      <w:r>
        <w:rPr>
          <w:rFonts w:ascii="Calibri" w:cs="Calibri" w:eastAsia="Calibri" w:hAnsi="Calibri"/>
          <w:sz w:val="18"/>
          <w:szCs w:val="18"/>
          <w:color w:val="auto"/>
        </w:rPr>
        <w:t>Level 2 Quoted prices in markets that are not active, or inputs that are observable, either directly or indirectly, for substantially the full term of the asset or liability. This category includes those derivative instruments that are valued with industry standard models that consider various inputs, including: (i) quoted forward prices for commodities, (ii) time value of money and (iii) current market and contractual prices for the underlying instruments, as well as other relevant economic measures. Substantially all of these inputs are observable in the marketplace throughout the full term of the derivative instrument and can be derived from observable data or supported by observable levels at which transactions are executed in the marketplace.</w:t>
      </w:r>
    </w:p>
    <w:p>
      <w:pPr>
        <w:spacing w:after="0" w:line="200" w:lineRule="exact"/>
        <w:rPr>
          <w:sz w:val="20"/>
          <w:szCs w:val="20"/>
          <w:color w:val="auto"/>
        </w:rPr>
      </w:pPr>
    </w:p>
    <w:p>
      <w:pPr>
        <w:ind w:left="1020"/>
        <w:spacing w:after="0"/>
        <w:tabs>
          <w:tab w:leader="none" w:pos="1700" w:val="left"/>
        </w:tabs>
        <w:rPr>
          <w:sz w:val="20"/>
          <w:szCs w:val="20"/>
          <w:color w:val="auto"/>
        </w:rPr>
      </w:pPr>
      <w:r>
        <w:rPr>
          <w:rFonts w:ascii="Calibri" w:cs="Calibri" w:eastAsia="Calibri" w:hAnsi="Calibri"/>
          <w:sz w:val="18"/>
          <w:szCs w:val="18"/>
          <w:color w:val="auto"/>
        </w:rPr>
        <w:t>Level 3</w:t>
      </w:r>
      <w:r>
        <w:rPr>
          <w:sz w:val="20"/>
          <w:szCs w:val="20"/>
          <w:color w:val="auto"/>
        </w:rPr>
        <w:tab/>
      </w:r>
      <w:r>
        <w:rPr>
          <w:rFonts w:ascii="Calibri" w:cs="Calibri" w:eastAsia="Calibri" w:hAnsi="Calibri"/>
          <w:sz w:val="17"/>
          <w:szCs w:val="17"/>
          <w:color w:val="auto"/>
        </w:rPr>
        <w:t>Unobservable inputs that are not corroborated by market data that reflect a company’s own market assumptions.</w:t>
      </w:r>
    </w:p>
    <w:p>
      <w:pPr>
        <w:spacing w:after="0" w:line="241" w:lineRule="exact"/>
        <w:rPr>
          <w:sz w:val="20"/>
          <w:szCs w:val="20"/>
          <w:color w:val="auto"/>
        </w:rPr>
      </w:pPr>
    </w:p>
    <w:p>
      <w:pPr>
        <w:jc w:val="both"/>
        <w:ind w:left="780" w:right="720" w:firstLine="241"/>
        <w:spacing w:after="0" w:line="261" w:lineRule="auto"/>
        <w:rPr>
          <w:sz w:val="20"/>
          <w:szCs w:val="20"/>
          <w:color w:val="auto"/>
        </w:rPr>
      </w:pPr>
      <w:r>
        <w:rPr>
          <w:rFonts w:ascii="Calibri" w:cs="Calibri" w:eastAsia="Calibri" w:hAnsi="Calibri"/>
          <w:sz w:val="18"/>
          <w:szCs w:val="18"/>
          <w:color w:val="auto"/>
        </w:rPr>
        <w:t>Financial and non-financial assets and liabilities are classified based on the lowest level of input that is significant to the fair value measurement. The assessment of the significance of a particular input to the fair value measurement requires judgment, which may affect the valuation of the fair value of assets and liabilities and their placement within the fair value hierarchy levels.</w:t>
      </w:r>
    </w:p>
    <w:p>
      <w:pPr>
        <w:spacing w:after="0" w:line="223" w:lineRule="exact"/>
        <w:rPr>
          <w:sz w:val="20"/>
          <w:szCs w:val="20"/>
          <w:color w:val="auto"/>
        </w:rPr>
      </w:pPr>
    </w:p>
    <w:p>
      <w:pPr>
        <w:ind w:left="780" w:right="1060" w:firstLine="241"/>
        <w:spacing w:after="0" w:line="261" w:lineRule="auto"/>
        <w:rPr>
          <w:sz w:val="20"/>
          <w:szCs w:val="20"/>
          <w:color w:val="auto"/>
        </w:rPr>
      </w:pPr>
      <w:r>
        <w:rPr>
          <w:rFonts w:ascii="Calibri" w:cs="Calibri" w:eastAsia="Calibri" w:hAnsi="Calibri"/>
          <w:sz w:val="18"/>
          <w:szCs w:val="18"/>
          <w:color w:val="auto"/>
        </w:rPr>
        <w:t>The following tables summarize the valuation of the Company’s financial assets and liabilities that were accounted for at fair value on a recurring basis in accordance with the classifications provided above as of December 31, 2025 and 2024 (in thousands).</w:t>
      </w:r>
    </w:p>
    <w:p>
      <w:pPr>
        <w:spacing w:after="0" w:line="192"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5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20" w:type="dxa"/>
            <w:vAlign w:val="bottom"/>
            <w:gridSpan w:val="4"/>
          </w:tcPr>
          <w:p>
            <w:pPr>
              <w:jc w:val="center"/>
              <w:spacing w:after="0"/>
              <w:rPr>
                <w:sz w:val="20"/>
                <w:szCs w:val="20"/>
                <w:color w:val="auto"/>
              </w:rPr>
            </w:pPr>
            <w:r>
              <w:rPr>
                <w:rFonts w:ascii="Verdana" w:cs="Verdana" w:eastAsia="Verdana" w:hAnsi="Verdana"/>
                <w:sz w:val="14"/>
                <w:szCs w:val="14"/>
                <w:color w:val="auto"/>
                <w:w w:val="98"/>
              </w:rPr>
              <w:t>Fair Value Measurements at</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93"/>
        </w:trPr>
        <w:tc>
          <w:tcPr>
            <w:tcW w:w="5860" w:type="dxa"/>
            <w:vAlign w:val="bottom"/>
          </w:tcPr>
          <w:p>
            <w:pPr>
              <w:spacing w:after="0"/>
              <w:rPr>
                <w:sz w:val="16"/>
                <w:szCs w:val="16"/>
                <w:color w:val="auto"/>
              </w:rPr>
            </w:pPr>
          </w:p>
        </w:tc>
        <w:tc>
          <w:tcPr>
            <w:tcW w:w="160" w:type="dxa"/>
            <w:vAlign w:val="bottom"/>
            <w:tcBorders>
              <w:bottom w:val="single" w:sz="8" w:color="214E93"/>
            </w:tcBorders>
          </w:tcPr>
          <w:p>
            <w:pPr>
              <w:spacing w:after="0"/>
              <w:rPr>
                <w:sz w:val="16"/>
                <w:szCs w:val="16"/>
                <w:color w:val="auto"/>
              </w:rPr>
            </w:pPr>
          </w:p>
        </w:tc>
        <w:tc>
          <w:tcPr>
            <w:tcW w:w="680" w:type="dxa"/>
            <w:vAlign w:val="bottom"/>
            <w:tcBorders>
              <w:bottom w:val="single" w:sz="8" w:color="214E93"/>
            </w:tcBorders>
          </w:tcPr>
          <w:p>
            <w:pPr>
              <w:spacing w:after="0"/>
              <w:rPr>
                <w:sz w:val="16"/>
                <w:szCs w:val="16"/>
                <w:color w:val="auto"/>
              </w:rPr>
            </w:pPr>
          </w:p>
        </w:tc>
        <w:tc>
          <w:tcPr>
            <w:tcW w:w="2020" w:type="dxa"/>
            <w:vAlign w:val="bottom"/>
            <w:tcBorders>
              <w:bottom w:val="single" w:sz="8" w:color="214E93"/>
            </w:tcBorders>
            <w:gridSpan w:val="4"/>
          </w:tcPr>
          <w:p>
            <w:pPr>
              <w:jc w:val="center"/>
              <w:spacing w:after="0"/>
              <w:rPr>
                <w:sz w:val="20"/>
                <w:szCs w:val="20"/>
                <w:color w:val="auto"/>
              </w:rPr>
            </w:pPr>
            <w:r>
              <w:rPr>
                <w:rFonts w:ascii="Verdana" w:cs="Verdana" w:eastAsia="Verdana" w:hAnsi="Verdana"/>
                <w:sz w:val="14"/>
                <w:szCs w:val="14"/>
                <w:color w:val="auto"/>
                <w:w w:val="97"/>
              </w:rPr>
              <w:t>December 31, 2025 using</w:t>
            </w:r>
          </w:p>
        </w:tc>
        <w:tc>
          <w:tcPr>
            <w:tcW w:w="160" w:type="dxa"/>
            <w:vAlign w:val="bottom"/>
            <w:tcBorders>
              <w:bottom w:val="single" w:sz="8" w:color="214E93"/>
            </w:tcBorders>
          </w:tcPr>
          <w:p>
            <w:pPr>
              <w:spacing w:after="0"/>
              <w:rPr>
                <w:sz w:val="16"/>
                <w:szCs w:val="16"/>
                <w:color w:val="auto"/>
              </w:rPr>
            </w:pPr>
          </w:p>
        </w:tc>
        <w:tc>
          <w:tcPr>
            <w:tcW w:w="680" w:type="dxa"/>
            <w:vAlign w:val="bottom"/>
            <w:tcBorders>
              <w:bottom w:val="single" w:sz="8" w:color="214E93"/>
            </w:tcBorders>
          </w:tcPr>
          <w:p>
            <w:pPr>
              <w:spacing w:after="0"/>
              <w:rPr>
                <w:sz w:val="16"/>
                <w:szCs w:val="16"/>
                <w:color w:val="auto"/>
              </w:rPr>
            </w:pPr>
          </w:p>
        </w:tc>
      </w:tr>
      <w:tr>
        <w:trPr>
          <w:trHeight w:val="201"/>
        </w:trPr>
        <w:tc>
          <w:tcPr>
            <w:tcW w:w="5860" w:type="dxa"/>
            <w:vAlign w:val="bottom"/>
            <w:tcBorders>
              <w:bottom w:val="single" w:sz="8" w:color="214E93"/>
            </w:tcBorders>
          </w:tcPr>
          <w:p>
            <w:pPr>
              <w:ind w:left="40"/>
              <w:spacing w:after="0"/>
              <w:rPr>
                <w:sz w:val="20"/>
                <w:szCs w:val="20"/>
                <w:color w:val="auto"/>
              </w:rPr>
            </w:pPr>
            <w:r>
              <w:rPr>
                <w:rFonts w:ascii="Verdana" w:cs="Verdana" w:eastAsia="Verdana" w:hAnsi="Verdana"/>
                <w:sz w:val="14"/>
                <w:szCs w:val="14"/>
                <w:color w:val="auto"/>
              </w:rPr>
              <w:t>Description</w:t>
            </w:r>
          </w:p>
        </w:tc>
        <w:tc>
          <w:tcPr>
            <w:tcW w:w="160" w:type="dxa"/>
            <w:vAlign w:val="bottom"/>
            <w:tcBorders>
              <w:bottom w:val="single" w:sz="8" w:color="214E93"/>
            </w:tcBorders>
          </w:tcPr>
          <w:p>
            <w:pPr>
              <w:spacing w:after="0"/>
              <w:rPr>
                <w:sz w:val="17"/>
                <w:szCs w:val="17"/>
                <w:color w:val="auto"/>
              </w:rPr>
            </w:pPr>
          </w:p>
        </w:tc>
        <w:tc>
          <w:tcPr>
            <w:tcW w:w="680" w:type="dxa"/>
            <w:vAlign w:val="bottom"/>
            <w:tcBorders>
              <w:bottom w:val="single" w:sz="8" w:color="214E93"/>
            </w:tcBorders>
          </w:tcPr>
          <w:p>
            <w:pPr>
              <w:ind w:left="20"/>
              <w:spacing w:after="0"/>
              <w:rPr>
                <w:sz w:val="20"/>
                <w:szCs w:val="20"/>
                <w:color w:val="auto"/>
              </w:rPr>
            </w:pPr>
            <w:r>
              <w:rPr>
                <w:rFonts w:ascii="Verdana" w:cs="Verdana" w:eastAsia="Verdana" w:hAnsi="Verdana"/>
                <w:sz w:val="14"/>
                <w:szCs w:val="14"/>
                <w:color w:val="auto"/>
              </w:rPr>
              <w:t>Level 1</w:t>
            </w:r>
          </w:p>
        </w:tc>
        <w:tc>
          <w:tcPr>
            <w:tcW w:w="280" w:type="dxa"/>
            <w:vAlign w:val="bottom"/>
            <w:tcBorders>
              <w:bottom w:val="single" w:sz="8" w:color="214E93"/>
            </w:tcBorders>
          </w:tcPr>
          <w:p>
            <w:pPr>
              <w:spacing w:after="0"/>
              <w:rPr>
                <w:sz w:val="17"/>
                <w:szCs w:val="17"/>
                <w:color w:val="auto"/>
              </w:rPr>
            </w:pPr>
          </w:p>
        </w:tc>
        <w:tc>
          <w:tcPr>
            <w:tcW w:w="720" w:type="dxa"/>
            <w:vAlign w:val="bottom"/>
            <w:tcBorders>
              <w:bottom w:val="single" w:sz="8" w:color="214E93"/>
            </w:tcBorders>
          </w:tcPr>
          <w:p>
            <w:pPr>
              <w:jc w:val="right"/>
              <w:ind w:right="144"/>
              <w:spacing w:after="0"/>
              <w:rPr>
                <w:sz w:val="20"/>
                <w:szCs w:val="20"/>
                <w:color w:val="auto"/>
              </w:rPr>
            </w:pPr>
            <w:r>
              <w:rPr>
                <w:rFonts w:ascii="Verdana" w:cs="Verdana" w:eastAsia="Verdana" w:hAnsi="Verdana"/>
                <w:sz w:val="14"/>
                <w:szCs w:val="14"/>
                <w:color w:val="auto"/>
                <w:w w:val="94"/>
              </w:rPr>
              <w:t>Level 2</w:t>
            </w:r>
          </w:p>
        </w:tc>
        <w:tc>
          <w:tcPr>
            <w:tcW w:w="220" w:type="dxa"/>
            <w:vAlign w:val="bottom"/>
            <w:tcBorders>
              <w:bottom w:val="single" w:sz="8" w:color="214E93"/>
            </w:tcBorders>
          </w:tcPr>
          <w:p>
            <w:pPr>
              <w:spacing w:after="0"/>
              <w:rPr>
                <w:sz w:val="17"/>
                <w:szCs w:val="17"/>
                <w:color w:val="auto"/>
              </w:rPr>
            </w:pPr>
          </w:p>
        </w:tc>
        <w:tc>
          <w:tcPr>
            <w:tcW w:w="800" w:type="dxa"/>
            <w:vAlign w:val="bottom"/>
            <w:tcBorders>
              <w:bottom w:val="single" w:sz="8" w:color="214E93"/>
            </w:tcBorders>
          </w:tcPr>
          <w:p>
            <w:pPr>
              <w:ind w:left="20"/>
              <w:spacing w:after="0"/>
              <w:rPr>
                <w:sz w:val="20"/>
                <w:szCs w:val="20"/>
                <w:color w:val="auto"/>
              </w:rPr>
            </w:pPr>
            <w:r>
              <w:rPr>
                <w:rFonts w:ascii="Verdana" w:cs="Verdana" w:eastAsia="Verdana" w:hAnsi="Verdana"/>
                <w:sz w:val="14"/>
                <w:szCs w:val="14"/>
                <w:color w:val="auto"/>
              </w:rPr>
              <w:t>Level 3</w:t>
            </w:r>
          </w:p>
        </w:tc>
        <w:tc>
          <w:tcPr>
            <w:tcW w:w="160" w:type="dxa"/>
            <w:vAlign w:val="bottom"/>
            <w:tcBorders>
              <w:bottom w:val="single" w:sz="8" w:color="214E93"/>
            </w:tcBorders>
          </w:tcPr>
          <w:p>
            <w:pPr>
              <w:spacing w:after="0"/>
              <w:rPr>
                <w:sz w:val="17"/>
                <w:szCs w:val="17"/>
                <w:color w:val="auto"/>
              </w:rPr>
            </w:pPr>
          </w:p>
        </w:tc>
        <w:tc>
          <w:tcPr>
            <w:tcW w:w="680" w:type="dxa"/>
            <w:vAlign w:val="bottom"/>
            <w:tcBorders>
              <w:bottom w:val="single" w:sz="8" w:color="214E93"/>
            </w:tcBorders>
          </w:tcPr>
          <w:p>
            <w:pPr>
              <w:jc w:val="right"/>
              <w:ind w:right="183"/>
              <w:spacing w:after="0"/>
              <w:rPr>
                <w:sz w:val="20"/>
                <w:szCs w:val="20"/>
                <w:color w:val="auto"/>
              </w:rPr>
            </w:pPr>
            <w:r>
              <w:rPr>
                <w:rFonts w:ascii="Verdana" w:cs="Verdana" w:eastAsia="Verdana" w:hAnsi="Verdana"/>
                <w:sz w:val="14"/>
                <w:szCs w:val="14"/>
                <w:color w:val="auto"/>
              </w:rPr>
              <w:t>Total</w:t>
            </w:r>
          </w:p>
        </w:tc>
      </w:tr>
      <w:tr>
        <w:trPr>
          <w:trHeight w:val="211"/>
        </w:trPr>
        <w:tc>
          <w:tcPr>
            <w:tcW w:w="5860" w:type="dxa"/>
            <w:vAlign w:val="bottom"/>
          </w:tcPr>
          <w:p>
            <w:pPr>
              <w:ind w:left="40"/>
              <w:spacing w:after="0"/>
              <w:rPr>
                <w:sz w:val="20"/>
                <w:szCs w:val="20"/>
                <w:color w:val="auto"/>
              </w:rPr>
            </w:pPr>
            <w:r>
              <w:rPr>
                <w:rFonts w:ascii="Verdana" w:cs="Verdana" w:eastAsia="Verdana" w:hAnsi="Verdana"/>
                <w:sz w:val="16"/>
                <w:szCs w:val="16"/>
                <w:color w:val="auto"/>
              </w:rPr>
              <w:t>Assets (Liabilities)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5"/>
        </w:trPr>
        <w:tc>
          <w:tcPr>
            <w:tcW w:w="5860" w:type="dxa"/>
            <w:vAlign w:val="bottom"/>
          </w:tcPr>
          <w:p>
            <w:pPr>
              <w:ind w:left="160"/>
              <w:spacing w:after="0"/>
              <w:rPr>
                <w:sz w:val="20"/>
                <w:szCs w:val="20"/>
                <w:color w:val="auto"/>
              </w:rPr>
            </w:pPr>
            <w:r>
              <w:rPr>
                <w:rFonts w:ascii="Verdana" w:cs="Verdana" w:eastAsia="Verdana" w:hAnsi="Verdana"/>
                <w:sz w:val="16"/>
                <w:szCs w:val="16"/>
                <w:color w:val="auto"/>
              </w:rPr>
              <w:t>Oil costless collars</w:t>
            </w:r>
          </w:p>
        </w:tc>
        <w:tc>
          <w:tcPr>
            <w:tcW w:w="16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680" w:type="dxa"/>
            <w:vAlign w:val="bottom"/>
          </w:tcPr>
          <w:p>
            <w:pPr>
              <w:ind w:left="460"/>
              <w:spacing w:after="0"/>
              <w:rPr>
                <w:sz w:val="20"/>
                <w:szCs w:val="20"/>
                <w:color w:val="auto"/>
              </w:rPr>
            </w:pPr>
            <w:r>
              <w:rPr>
                <w:rFonts w:ascii="Verdana" w:cs="Verdana" w:eastAsia="Verdana" w:hAnsi="Verdana"/>
                <w:sz w:val="16"/>
                <w:szCs w:val="16"/>
                <w:color w:val="214E93"/>
              </w:rPr>
              <w:t>—</w:t>
            </w:r>
          </w:p>
        </w:tc>
        <w:tc>
          <w:tcPr>
            <w:tcW w:w="28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720" w:type="dxa"/>
            <w:vAlign w:val="bottom"/>
          </w:tcPr>
          <w:p>
            <w:pPr>
              <w:jc w:val="right"/>
              <w:ind w:right="44"/>
              <w:spacing w:after="0"/>
              <w:rPr>
                <w:sz w:val="20"/>
                <w:szCs w:val="20"/>
                <w:color w:val="auto"/>
              </w:rPr>
            </w:pPr>
            <w:r>
              <w:rPr>
                <w:rFonts w:ascii="Verdana" w:cs="Verdana" w:eastAsia="Verdana" w:hAnsi="Verdana"/>
                <w:sz w:val="16"/>
                <w:szCs w:val="16"/>
                <w:color w:val="214E93"/>
              </w:rPr>
              <w:t>717</w:t>
            </w:r>
          </w:p>
        </w:tc>
        <w:tc>
          <w:tcPr>
            <w:tcW w:w="22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800" w:type="dxa"/>
            <w:vAlign w:val="bottom"/>
          </w:tcPr>
          <w:p>
            <w:pPr>
              <w:ind w:left="460"/>
              <w:spacing w:after="0"/>
              <w:rPr>
                <w:sz w:val="20"/>
                <w:szCs w:val="20"/>
                <w:color w:val="auto"/>
              </w:rPr>
            </w:pPr>
            <w:r>
              <w:rPr>
                <w:rFonts w:ascii="Verdana" w:cs="Verdana" w:eastAsia="Verdana" w:hAnsi="Verdana"/>
                <w:sz w:val="16"/>
                <w:szCs w:val="16"/>
                <w:color w:val="214E93"/>
              </w:rPr>
              <w:t>—</w:t>
            </w:r>
          </w:p>
        </w:tc>
        <w:tc>
          <w:tcPr>
            <w:tcW w:w="160" w:type="dxa"/>
            <w:vAlign w:val="bottom"/>
          </w:tcPr>
          <w:p>
            <w:pPr>
              <w:jc w:val="right"/>
              <w:spacing w:after="0"/>
              <w:rPr>
                <w:sz w:val="20"/>
                <w:szCs w:val="20"/>
                <w:color w:val="auto"/>
              </w:rPr>
            </w:pPr>
            <w:r>
              <w:rPr>
                <w:rFonts w:ascii="Verdana" w:cs="Verdana" w:eastAsia="Verdana" w:hAnsi="Verdana"/>
                <w:sz w:val="16"/>
                <w:szCs w:val="16"/>
                <w:color w:val="214E93"/>
                <w:w w:val="97"/>
              </w:rPr>
              <w:t>$</w:t>
            </w:r>
          </w:p>
        </w:tc>
        <w:tc>
          <w:tcPr>
            <w:tcW w:w="680" w:type="dxa"/>
            <w:vAlign w:val="bottom"/>
          </w:tcPr>
          <w:p>
            <w:pPr>
              <w:jc w:val="right"/>
              <w:ind w:right="3"/>
              <w:spacing w:after="0"/>
              <w:rPr>
                <w:sz w:val="20"/>
                <w:szCs w:val="20"/>
                <w:color w:val="auto"/>
              </w:rPr>
            </w:pPr>
            <w:r>
              <w:rPr>
                <w:rFonts w:ascii="Verdana" w:cs="Verdana" w:eastAsia="Verdana" w:hAnsi="Verdana"/>
                <w:sz w:val="16"/>
                <w:szCs w:val="16"/>
                <w:color w:val="214E93"/>
              </w:rPr>
              <w:t>717</w:t>
            </w:r>
          </w:p>
        </w:tc>
      </w:tr>
      <w:tr>
        <w:trPr>
          <w:trHeight w:val="236"/>
        </w:trPr>
        <w:tc>
          <w:tcPr>
            <w:tcW w:w="5860" w:type="dxa"/>
            <w:vAlign w:val="bottom"/>
          </w:tcPr>
          <w:p>
            <w:pPr>
              <w:ind w:left="160"/>
              <w:spacing w:after="0"/>
              <w:rPr>
                <w:sz w:val="20"/>
                <w:szCs w:val="20"/>
                <w:color w:val="auto"/>
              </w:rPr>
            </w:pPr>
            <w:r>
              <w:rPr>
                <w:rFonts w:ascii="Verdana" w:cs="Verdana" w:eastAsia="Verdana" w:hAnsi="Verdana"/>
                <w:sz w:val="16"/>
                <w:szCs w:val="16"/>
                <w:color w:val="auto"/>
              </w:rPr>
              <w:t>Natural gas costless collars</w:t>
            </w:r>
          </w:p>
        </w:tc>
        <w:tc>
          <w:tcPr>
            <w:tcW w:w="160" w:type="dxa"/>
            <w:vAlign w:val="bottom"/>
          </w:tcPr>
          <w:p>
            <w:pPr>
              <w:spacing w:after="0"/>
              <w:rPr>
                <w:sz w:val="20"/>
                <w:szCs w:val="20"/>
                <w:color w:val="auto"/>
              </w:rPr>
            </w:pPr>
          </w:p>
        </w:tc>
        <w:tc>
          <w:tcPr>
            <w:tcW w:w="680" w:type="dxa"/>
            <w:vAlign w:val="bottom"/>
          </w:tcPr>
          <w:p>
            <w:pPr>
              <w:ind w:left="460"/>
              <w:spacing w:after="0"/>
              <w:rPr>
                <w:sz w:val="20"/>
                <w:szCs w:val="20"/>
                <w:color w:val="auto"/>
              </w:rPr>
            </w:pPr>
            <w:r>
              <w:rPr>
                <w:rFonts w:ascii="Verdana" w:cs="Verdana" w:eastAsia="Verdana" w:hAnsi="Verdana"/>
                <w:sz w:val="16"/>
                <w:szCs w:val="16"/>
                <w:color w:val="214E93"/>
              </w:rPr>
              <w:t>—</w:t>
            </w:r>
          </w:p>
        </w:tc>
        <w:tc>
          <w:tcPr>
            <w:tcW w:w="280" w:type="dxa"/>
            <w:vAlign w:val="bottom"/>
          </w:tcPr>
          <w:p>
            <w:pPr>
              <w:spacing w:after="0"/>
              <w:rPr>
                <w:sz w:val="20"/>
                <w:szCs w:val="20"/>
                <w:color w:val="auto"/>
              </w:rPr>
            </w:pPr>
          </w:p>
        </w:tc>
        <w:tc>
          <w:tcPr>
            <w:tcW w:w="720" w:type="dxa"/>
            <w:vAlign w:val="bottom"/>
          </w:tcPr>
          <w:p>
            <w:pPr>
              <w:jc w:val="right"/>
              <w:ind w:right="44"/>
              <w:spacing w:after="0"/>
              <w:rPr>
                <w:sz w:val="20"/>
                <w:szCs w:val="20"/>
                <w:color w:val="auto"/>
              </w:rPr>
            </w:pPr>
            <w:r>
              <w:rPr>
                <w:rFonts w:ascii="Verdana" w:cs="Verdana" w:eastAsia="Verdana" w:hAnsi="Verdana"/>
                <w:sz w:val="16"/>
                <w:szCs w:val="16"/>
                <w:color w:val="214E93"/>
              </w:rPr>
              <w:t>17,396</w:t>
            </w:r>
          </w:p>
        </w:tc>
        <w:tc>
          <w:tcPr>
            <w:tcW w:w="220" w:type="dxa"/>
            <w:vAlign w:val="bottom"/>
          </w:tcPr>
          <w:p>
            <w:pPr>
              <w:spacing w:after="0"/>
              <w:rPr>
                <w:sz w:val="20"/>
                <w:szCs w:val="20"/>
                <w:color w:val="auto"/>
              </w:rPr>
            </w:pPr>
          </w:p>
        </w:tc>
        <w:tc>
          <w:tcPr>
            <w:tcW w:w="800" w:type="dxa"/>
            <w:vAlign w:val="bottom"/>
          </w:tcPr>
          <w:p>
            <w:pPr>
              <w:ind w:left="460"/>
              <w:spacing w:after="0"/>
              <w:rPr>
                <w:sz w:val="20"/>
                <w:szCs w:val="20"/>
                <w:color w:val="auto"/>
              </w:rPr>
            </w:pPr>
            <w:r>
              <w:rPr>
                <w:rFonts w:ascii="Verdana" w:cs="Verdana" w:eastAsia="Verdana" w:hAnsi="Verdana"/>
                <w:sz w:val="16"/>
                <w:szCs w:val="16"/>
                <w:color w:val="214E93"/>
              </w:rPr>
              <w:t>—</w:t>
            </w:r>
          </w:p>
        </w:tc>
        <w:tc>
          <w:tcPr>
            <w:tcW w:w="160" w:type="dxa"/>
            <w:vAlign w:val="bottom"/>
          </w:tcPr>
          <w:p>
            <w:pPr>
              <w:spacing w:after="0"/>
              <w:rPr>
                <w:sz w:val="20"/>
                <w:szCs w:val="20"/>
                <w:color w:val="auto"/>
              </w:rPr>
            </w:pPr>
          </w:p>
        </w:tc>
        <w:tc>
          <w:tcPr>
            <w:tcW w:w="680" w:type="dxa"/>
            <w:vAlign w:val="bottom"/>
          </w:tcPr>
          <w:p>
            <w:pPr>
              <w:jc w:val="right"/>
              <w:ind w:right="3"/>
              <w:spacing w:after="0"/>
              <w:rPr>
                <w:sz w:val="20"/>
                <w:szCs w:val="20"/>
                <w:color w:val="auto"/>
              </w:rPr>
            </w:pPr>
            <w:r>
              <w:rPr>
                <w:rFonts w:ascii="Verdana" w:cs="Verdana" w:eastAsia="Verdana" w:hAnsi="Verdana"/>
                <w:sz w:val="16"/>
                <w:szCs w:val="16"/>
                <w:color w:val="214E93"/>
              </w:rPr>
              <w:t>17,396</w:t>
            </w:r>
          </w:p>
        </w:tc>
      </w:tr>
      <w:tr>
        <w:trPr>
          <w:trHeight w:val="242"/>
        </w:trPr>
        <w:tc>
          <w:tcPr>
            <w:tcW w:w="5860" w:type="dxa"/>
            <w:vAlign w:val="bottom"/>
            <w:tcBorders>
              <w:bottom w:val="single" w:sz="8" w:color="auto"/>
            </w:tcBorders>
          </w:tcPr>
          <w:p>
            <w:pPr>
              <w:ind w:left="160"/>
              <w:spacing w:after="0"/>
              <w:rPr>
                <w:sz w:val="20"/>
                <w:szCs w:val="20"/>
                <w:color w:val="auto"/>
              </w:rPr>
            </w:pPr>
            <w:r>
              <w:rPr>
                <w:rFonts w:ascii="Verdana" w:cs="Verdana" w:eastAsia="Verdana" w:hAnsi="Verdana"/>
                <w:sz w:val="16"/>
                <w:szCs w:val="16"/>
                <w:color w:val="auto"/>
              </w:rPr>
              <w:t>Natural gas basis differential swaps</w:t>
            </w: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ind w:left="460"/>
              <w:spacing w:after="0"/>
              <w:rPr>
                <w:sz w:val="20"/>
                <w:szCs w:val="20"/>
                <w:color w:val="auto"/>
              </w:rPr>
            </w:pPr>
            <w:r>
              <w:rPr>
                <w:rFonts w:ascii="Verdana" w:cs="Verdana" w:eastAsia="Verdana" w:hAnsi="Verdana"/>
                <w:sz w:val="16"/>
                <w:szCs w:val="16"/>
                <w:color w:val="214E93"/>
              </w:rPr>
              <w:t>—</w:t>
            </w: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4"/>
              <w:spacing w:after="0"/>
              <w:rPr>
                <w:sz w:val="20"/>
                <w:szCs w:val="20"/>
                <w:color w:val="auto"/>
              </w:rPr>
            </w:pPr>
            <w:r>
              <w:rPr>
                <w:rFonts w:ascii="Verdana" w:cs="Verdana" w:eastAsia="Verdana" w:hAnsi="Verdana"/>
                <w:sz w:val="16"/>
                <w:szCs w:val="16"/>
                <w:color w:val="214E93"/>
              </w:rPr>
              <w:t>15,939</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ind w:left="460"/>
              <w:spacing w:after="0"/>
              <w:rPr>
                <w:sz w:val="20"/>
                <w:szCs w:val="20"/>
                <w:color w:val="auto"/>
              </w:rPr>
            </w:pPr>
            <w:r>
              <w:rPr>
                <w:rFonts w:ascii="Verdana" w:cs="Verdana" w:eastAsia="Verdana" w:hAnsi="Verdana"/>
                <w:sz w:val="16"/>
                <w:szCs w:val="16"/>
                <w:color w:val="214E93"/>
              </w:rPr>
              <w:t>—</w:t>
            </w: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
              <w:spacing w:after="0"/>
              <w:rPr>
                <w:sz w:val="20"/>
                <w:szCs w:val="20"/>
                <w:color w:val="auto"/>
              </w:rPr>
            </w:pPr>
            <w:r>
              <w:rPr>
                <w:rFonts w:ascii="Verdana" w:cs="Verdana" w:eastAsia="Verdana" w:hAnsi="Verdana"/>
                <w:sz w:val="16"/>
                <w:szCs w:val="16"/>
                <w:color w:val="214E93"/>
              </w:rPr>
              <w:t>15,939</w:t>
            </w:r>
          </w:p>
        </w:tc>
      </w:tr>
      <w:tr>
        <w:trPr>
          <w:trHeight w:val="217"/>
        </w:trPr>
        <w:tc>
          <w:tcPr>
            <w:tcW w:w="5860" w:type="dxa"/>
            <w:vAlign w:val="bottom"/>
            <w:tcBorders>
              <w:bottom w:val="single" w:sz="8" w:color="214E93"/>
            </w:tcBorders>
          </w:tcPr>
          <w:p>
            <w:pPr>
              <w:ind w:left="280"/>
              <w:spacing w:after="0"/>
              <w:rPr>
                <w:sz w:val="20"/>
                <w:szCs w:val="20"/>
                <w:color w:val="auto"/>
              </w:rPr>
            </w:pPr>
            <w:r>
              <w:rPr>
                <w:rFonts w:ascii="Verdana" w:cs="Verdana" w:eastAsia="Verdana" w:hAnsi="Verdana"/>
                <w:sz w:val="16"/>
                <w:szCs w:val="16"/>
                <w:color w:val="auto"/>
              </w:rPr>
              <w:t>Total</w:t>
            </w:r>
          </w:p>
        </w:tc>
        <w:tc>
          <w:tcPr>
            <w:tcW w:w="16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w:t>
            </w:r>
          </w:p>
        </w:tc>
        <w:tc>
          <w:tcPr>
            <w:tcW w:w="680" w:type="dxa"/>
            <w:vAlign w:val="bottom"/>
            <w:tcBorders>
              <w:bottom w:val="single" w:sz="8" w:color="214E93"/>
            </w:tcBorders>
          </w:tcPr>
          <w:p>
            <w:pPr>
              <w:ind w:left="460"/>
              <w:spacing w:after="0"/>
              <w:rPr>
                <w:sz w:val="20"/>
                <w:szCs w:val="20"/>
                <w:color w:val="auto"/>
              </w:rPr>
            </w:pPr>
            <w:r>
              <w:rPr>
                <w:rFonts w:ascii="Verdana" w:cs="Verdana" w:eastAsia="Verdana" w:hAnsi="Verdana"/>
                <w:sz w:val="16"/>
                <w:szCs w:val="16"/>
                <w:color w:val="214E93"/>
              </w:rPr>
              <w:t>—</w:t>
            </w:r>
          </w:p>
        </w:tc>
        <w:tc>
          <w:tcPr>
            <w:tcW w:w="1000" w:type="dxa"/>
            <w:vAlign w:val="bottom"/>
            <w:tcBorders>
              <w:bottom w:val="single" w:sz="8" w:color="214E93"/>
            </w:tcBorders>
            <w:gridSpan w:val="2"/>
          </w:tcPr>
          <w:p>
            <w:pPr>
              <w:jc w:val="right"/>
              <w:ind w:right="44"/>
              <w:spacing w:after="0"/>
              <w:rPr>
                <w:sz w:val="20"/>
                <w:szCs w:val="20"/>
                <w:color w:val="auto"/>
              </w:rPr>
            </w:pPr>
            <w:r>
              <w:rPr>
                <w:rFonts w:ascii="Verdana" w:cs="Verdana" w:eastAsia="Verdana" w:hAnsi="Verdana"/>
                <w:sz w:val="16"/>
                <w:szCs w:val="16"/>
                <w:color w:val="214E93"/>
              </w:rPr>
              <w:t>$ 34,052</w:t>
            </w:r>
          </w:p>
        </w:tc>
        <w:tc>
          <w:tcPr>
            <w:tcW w:w="22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w:t>
            </w:r>
          </w:p>
        </w:tc>
        <w:tc>
          <w:tcPr>
            <w:tcW w:w="800" w:type="dxa"/>
            <w:vAlign w:val="bottom"/>
            <w:tcBorders>
              <w:bottom w:val="single" w:sz="8" w:color="214E93"/>
            </w:tcBorders>
          </w:tcPr>
          <w:p>
            <w:pPr>
              <w:ind w:left="460"/>
              <w:spacing w:after="0"/>
              <w:rPr>
                <w:sz w:val="20"/>
                <w:szCs w:val="20"/>
                <w:color w:val="auto"/>
              </w:rPr>
            </w:pPr>
            <w:r>
              <w:rPr>
                <w:rFonts w:ascii="Verdana" w:cs="Verdana" w:eastAsia="Verdana" w:hAnsi="Verdana"/>
                <w:sz w:val="16"/>
                <w:szCs w:val="16"/>
                <w:color w:val="214E93"/>
              </w:rPr>
              <w:t>—</w:t>
            </w:r>
          </w:p>
        </w:tc>
        <w:tc>
          <w:tcPr>
            <w:tcW w:w="16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w w:val="97"/>
              </w:rPr>
              <w:t>$</w:t>
            </w:r>
          </w:p>
        </w:tc>
        <w:tc>
          <w:tcPr>
            <w:tcW w:w="680" w:type="dxa"/>
            <w:vAlign w:val="bottom"/>
            <w:tcBorders>
              <w:bottom w:val="single" w:sz="8" w:color="214E93"/>
            </w:tcBorders>
          </w:tcPr>
          <w:p>
            <w:pPr>
              <w:jc w:val="right"/>
              <w:ind w:right="3"/>
              <w:spacing w:after="0"/>
              <w:rPr>
                <w:sz w:val="20"/>
                <w:szCs w:val="20"/>
                <w:color w:val="auto"/>
              </w:rPr>
            </w:pPr>
            <w:r>
              <w:rPr>
                <w:rFonts w:ascii="Verdana" w:cs="Verdana" w:eastAsia="Verdana" w:hAnsi="Verdana"/>
                <w:sz w:val="16"/>
                <w:szCs w:val="16"/>
                <w:color w:val="214E93"/>
              </w:rPr>
              <w:t>34,052</w:t>
            </w:r>
          </w:p>
        </w:tc>
      </w:tr>
      <w:tr>
        <w:trPr>
          <w:trHeight w:val="565"/>
        </w:trPr>
        <w:tc>
          <w:tcPr>
            <w:tcW w:w="5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20" w:type="dxa"/>
            <w:vAlign w:val="bottom"/>
            <w:gridSpan w:val="4"/>
          </w:tcPr>
          <w:p>
            <w:pPr>
              <w:jc w:val="center"/>
              <w:spacing w:after="0"/>
              <w:rPr>
                <w:sz w:val="20"/>
                <w:szCs w:val="20"/>
                <w:color w:val="auto"/>
              </w:rPr>
            </w:pPr>
            <w:r>
              <w:rPr>
                <w:rFonts w:ascii="Verdana" w:cs="Verdana" w:eastAsia="Verdana" w:hAnsi="Verdana"/>
                <w:sz w:val="14"/>
                <w:szCs w:val="14"/>
                <w:color w:val="auto"/>
                <w:w w:val="98"/>
              </w:rPr>
              <w:t>Fair Value Measurements at</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3"/>
        </w:trPr>
        <w:tc>
          <w:tcPr>
            <w:tcW w:w="5860" w:type="dxa"/>
            <w:vAlign w:val="bottom"/>
          </w:tcPr>
          <w:p>
            <w:pPr>
              <w:spacing w:after="0"/>
              <w:rPr>
                <w:sz w:val="16"/>
                <w:szCs w:val="16"/>
                <w:color w:val="auto"/>
              </w:rPr>
            </w:pPr>
          </w:p>
        </w:tc>
        <w:tc>
          <w:tcPr>
            <w:tcW w:w="160" w:type="dxa"/>
            <w:vAlign w:val="bottom"/>
            <w:tcBorders>
              <w:bottom w:val="single" w:sz="8" w:color="214E93"/>
            </w:tcBorders>
          </w:tcPr>
          <w:p>
            <w:pPr>
              <w:spacing w:after="0"/>
              <w:rPr>
                <w:sz w:val="16"/>
                <w:szCs w:val="16"/>
                <w:color w:val="auto"/>
              </w:rPr>
            </w:pPr>
          </w:p>
        </w:tc>
        <w:tc>
          <w:tcPr>
            <w:tcW w:w="680" w:type="dxa"/>
            <w:vAlign w:val="bottom"/>
            <w:tcBorders>
              <w:bottom w:val="single" w:sz="8" w:color="214E93"/>
            </w:tcBorders>
          </w:tcPr>
          <w:p>
            <w:pPr>
              <w:spacing w:after="0"/>
              <w:rPr>
                <w:sz w:val="16"/>
                <w:szCs w:val="16"/>
                <w:color w:val="auto"/>
              </w:rPr>
            </w:pPr>
          </w:p>
        </w:tc>
        <w:tc>
          <w:tcPr>
            <w:tcW w:w="2020" w:type="dxa"/>
            <w:vAlign w:val="bottom"/>
            <w:tcBorders>
              <w:bottom w:val="single" w:sz="8" w:color="214E93"/>
            </w:tcBorders>
            <w:gridSpan w:val="4"/>
          </w:tcPr>
          <w:p>
            <w:pPr>
              <w:jc w:val="center"/>
              <w:spacing w:after="0"/>
              <w:rPr>
                <w:sz w:val="20"/>
                <w:szCs w:val="20"/>
                <w:color w:val="auto"/>
              </w:rPr>
            </w:pPr>
            <w:r>
              <w:rPr>
                <w:rFonts w:ascii="Verdana" w:cs="Verdana" w:eastAsia="Verdana" w:hAnsi="Verdana"/>
                <w:sz w:val="14"/>
                <w:szCs w:val="14"/>
                <w:color w:val="auto"/>
                <w:w w:val="97"/>
              </w:rPr>
              <w:t>December 31, 2024 using</w:t>
            </w:r>
          </w:p>
        </w:tc>
        <w:tc>
          <w:tcPr>
            <w:tcW w:w="160" w:type="dxa"/>
            <w:vAlign w:val="bottom"/>
            <w:tcBorders>
              <w:bottom w:val="single" w:sz="8" w:color="214E93"/>
            </w:tcBorders>
          </w:tcPr>
          <w:p>
            <w:pPr>
              <w:spacing w:after="0"/>
              <w:rPr>
                <w:sz w:val="16"/>
                <w:szCs w:val="16"/>
                <w:color w:val="auto"/>
              </w:rPr>
            </w:pPr>
          </w:p>
        </w:tc>
        <w:tc>
          <w:tcPr>
            <w:tcW w:w="680" w:type="dxa"/>
            <w:vAlign w:val="bottom"/>
            <w:tcBorders>
              <w:bottom w:val="single" w:sz="8" w:color="214E93"/>
            </w:tcBorders>
          </w:tcPr>
          <w:p>
            <w:pPr>
              <w:spacing w:after="0"/>
              <w:rPr>
                <w:sz w:val="16"/>
                <w:szCs w:val="16"/>
                <w:color w:val="auto"/>
              </w:rPr>
            </w:pPr>
          </w:p>
        </w:tc>
      </w:tr>
      <w:tr>
        <w:trPr>
          <w:trHeight w:val="201"/>
        </w:trPr>
        <w:tc>
          <w:tcPr>
            <w:tcW w:w="5860" w:type="dxa"/>
            <w:vAlign w:val="bottom"/>
            <w:tcBorders>
              <w:bottom w:val="single" w:sz="8" w:color="214E93"/>
            </w:tcBorders>
          </w:tcPr>
          <w:p>
            <w:pPr>
              <w:ind w:left="40"/>
              <w:spacing w:after="0"/>
              <w:rPr>
                <w:sz w:val="20"/>
                <w:szCs w:val="20"/>
                <w:color w:val="auto"/>
              </w:rPr>
            </w:pPr>
            <w:r>
              <w:rPr>
                <w:rFonts w:ascii="Verdana" w:cs="Verdana" w:eastAsia="Verdana" w:hAnsi="Verdana"/>
                <w:sz w:val="14"/>
                <w:szCs w:val="14"/>
                <w:color w:val="auto"/>
              </w:rPr>
              <w:t>Description</w:t>
            </w:r>
          </w:p>
        </w:tc>
        <w:tc>
          <w:tcPr>
            <w:tcW w:w="160" w:type="dxa"/>
            <w:vAlign w:val="bottom"/>
            <w:tcBorders>
              <w:bottom w:val="single" w:sz="8" w:color="214E93"/>
            </w:tcBorders>
          </w:tcPr>
          <w:p>
            <w:pPr>
              <w:spacing w:after="0"/>
              <w:rPr>
                <w:sz w:val="17"/>
                <w:szCs w:val="17"/>
                <w:color w:val="auto"/>
              </w:rPr>
            </w:pPr>
          </w:p>
        </w:tc>
        <w:tc>
          <w:tcPr>
            <w:tcW w:w="680" w:type="dxa"/>
            <w:vAlign w:val="bottom"/>
            <w:tcBorders>
              <w:bottom w:val="single" w:sz="8" w:color="214E93"/>
            </w:tcBorders>
          </w:tcPr>
          <w:p>
            <w:pPr>
              <w:ind w:left="20"/>
              <w:spacing w:after="0"/>
              <w:rPr>
                <w:sz w:val="20"/>
                <w:szCs w:val="20"/>
                <w:color w:val="auto"/>
              </w:rPr>
            </w:pPr>
            <w:r>
              <w:rPr>
                <w:rFonts w:ascii="Verdana" w:cs="Verdana" w:eastAsia="Verdana" w:hAnsi="Verdana"/>
                <w:sz w:val="14"/>
                <w:szCs w:val="14"/>
                <w:color w:val="auto"/>
              </w:rPr>
              <w:t>Level 1</w:t>
            </w:r>
          </w:p>
        </w:tc>
        <w:tc>
          <w:tcPr>
            <w:tcW w:w="280" w:type="dxa"/>
            <w:vAlign w:val="bottom"/>
            <w:tcBorders>
              <w:bottom w:val="single" w:sz="8" w:color="214E93"/>
            </w:tcBorders>
          </w:tcPr>
          <w:p>
            <w:pPr>
              <w:spacing w:after="0"/>
              <w:rPr>
                <w:sz w:val="17"/>
                <w:szCs w:val="17"/>
                <w:color w:val="auto"/>
              </w:rPr>
            </w:pPr>
          </w:p>
        </w:tc>
        <w:tc>
          <w:tcPr>
            <w:tcW w:w="720" w:type="dxa"/>
            <w:vAlign w:val="bottom"/>
            <w:tcBorders>
              <w:bottom w:val="single" w:sz="8" w:color="214E93"/>
            </w:tcBorders>
          </w:tcPr>
          <w:p>
            <w:pPr>
              <w:jc w:val="right"/>
              <w:ind w:right="144"/>
              <w:spacing w:after="0"/>
              <w:rPr>
                <w:sz w:val="20"/>
                <w:szCs w:val="20"/>
                <w:color w:val="auto"/>
              </w:rPr>
            </w:pPr>
            <w:r>
              <w:rPr>
                <w:rFonts w:ascii="Verdana" w:cs="Verdana" w:eastAsia="Verdana" w:hAnsi="Verdana"/>
                <w:sz w:val="14"/>
                <w:szCs w:val="14"/>
                <w:color w:val="auto"/>
                <w:w w:val="94"/>
              </w:rPr>
              <w:t>Level 2</w:t>
            </w:r>
          </w:p>
        </w:tc>
        <w:tc>
          <w:tcPr>
            <w:tcW w:w="220" w:type="dxa"/>
            <w:vAlign w:val="bottom"/>
            <w:tcBorders>
              <w:bottom w:val="single" w:sz="8" w:color="214E93"/>
            </w:tcBorders>
          </w:tcPr>
          <w:p>
            <w:pPr>
              <w:spacing w:after="0"/>
              <w:rPr>
                <w:sz w:val="17"/>
                <w:szCs w:val="17"/>
                <w:color w:val="auto"/>
              </w:rPr>
            </w:pPr>
          </w:p>
        </w:tc>
        <w:tc>
          <w:tcPr>
            <w:tcW w:w="800" w:type="dxa"/>
            <w:vAlign w:val="bottom"/>
            <w:tcBorders>
              <w:bottom w:val="single" w:sz="8" w:color="214E93"/>
            </w:tcBorders>
          </w:tcPr>
          <w:p>
            <w:pPr>
              <w:ind w:left="20"/>
              <w:spacing w:after="0"/>
              <w:rPr>
                <w:sz w:val="20"/>
                <w:szCs w:val="20"/>
                <w:color w:val="auto"/>
              </w:rPr>
            </w:pPr>
            <w:r>
              <w:rPr>
                <w:rFonts w:ascii="Verdana" w:cs="Verdana" w:eastAsia="Verdana" w:hAnsi="Verdana"/>
                <w:sz w:val="14"/>
                <w:szCs w:val="14"/>
                <w:color w:val="auto"/>
              </w:rPr>
              <w:t>Level 3</w:t>
            </w:r>
          </w:p>
        </w:tc>
        <w:tc>
          <w:tcPr>
            <w:tcW w:w="160" w:type="dxa"/>
            <w:vAlign w:val="bottom"/>
            <w:tcBorders>
              <w:bottom w:val="single" w:sz="8" w:color="214E93"/>
            </w:tcBorders>
          </w:tcPr>
          <w:p>
            <w:pPr>
              <w:spacing w:after="0"/>
              <w:rPr>
                <w:sz w:val="17"/>
                <w:szCs w:val="17"/>
                <w:color w:val="auto"/>
              </w:rPr>
            </w:pPr>
          </w:p>
        </w:tc>
        <w:tc>
          <w:tcPr>
            <w:tcW w:w="680" w:type="dxa"/>
            <w:vAlign w:val="bottom"/>
            <w:tcBorders>
              <w:bottom w:val="single" w:sz="8" w:color="214E93"/>
            </w:tcBorders>
          </w:tcPr>
          <w:p>
            <w:pPr>
              <w:jc w:val="right"/>
              <w:ind w:right="183"/>
              <w:spacing w:after="0"/>
              <w:rPr>
                <w:sz w:val="20"/>
                <w:szCs w:val="20"/>
                <w:color w:val="auto"/>
              </w:rPr>
            </w:pPr>
            <w:r>
              <w:rPr>
                <w:rFonts w:ascii="Verdana" w:cs="Verdana" w:eastAsia="Verdana" w:hAnsi="Verdana"/>
                <w:sz w:val="14"/>
                <w:szCs w:val="14"/>
                <w:color w:val="auto"/>
              </w:rPr>
              <w:t>Total</w:t>
            </w:r>
          </w:p>
        </w:tc>
      </w:tr>
      <w:tr>
        <w:trPr>
          <w:trHeight w:val="211"/>
        </w:trPr>
        <w:tc>
          <w:tcPr>
            <w:tcW w:w="5860" w:type="dxa"/>
            <w:vAlign w:val="bottom"/>
          </w:tcPr>
          <w:p>
            <w:pPr>
              <w:ind w:left="40"/>
              <w:spacing w:after="0"/>
              <w:rPr>
                <w:sz w:val="20"/>
                <w:szCs w:val="20"/>
                <w:color w:val="auto"/>
              </w:rPr>
            </w:pPr>
            <w:r>
              <w:rPr>
                <w:rFonts w:ascii="Verdana" w:cs="Verdana" w:eastAsia="Verdana" w:hAnsi="Verdana"/>
                <w:sz w:val="16"/>
                <w:szCs w:val="16"/>
                <w:color w:val="auto"/>
              </w:rPr>
              <w:t>Assets (Liabilities)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5"/>
        </w:trPr>
        <w:tc>
          <w:tcPr>
            <w:tcW w:w="5860" w:type="dxa"/>
            <w:vAlign w:val="bottom"/>
          </w:tcPr>
          <w:p>
            <w:pPr>
              <w:ind w:left="160"/>
              <w:spacing w:after="0"/>
              <w:rPr>
                <w:sz w:val="20"/>
                <w:szCs w:val="20"/>
                <w:color w:val="auto"/>
              </w:rPr>
            </w:pPr>
            <w:r>
              <w:rPr>
                <w:rFonts w:ascii="Verdana" w:cs="Verdana" w:eastAsia="Verdana" w:hAnsi="Verdana"/>
                <w:sz w:val="16"/>
                <w:szCs w:val="16"/>
                <w:color w:val="auto"/>
              </w:rPr>
              <w:t>Oil costless collars</w:t>
            </w:r>
          </w:p>
        </w:tc>
        <w:tc>
          <w:tcPr>
            <w:tcW w:w="160" w:type="dxa"/>
            <w:vAlign w:val="bottom"/>
          </w:tcPr>
          <w:p>
            <w:pPr>
              <w:jc w:val="right"/>
              <w:spacing w:after="0"/>
              <w:rPr>
                <w:sz w:val="20"/>
                <w:szCs w:val="20"/>
                <w:color w:val="auto"/>
              </w:rPr>
            </w:pPr>
            <w:r>
              <w:rPr>
                <w:rFonts w:ascii="Verdana" w:cs="Verdana" w:eastAsia="Verdana" w:hAnsi="Verdana"/>
                <w:sz w:val="16"/>
                <w:szCs w:val="16"/>
                <w:color w:val="131313"/>
              </w:rPr>
              <w:t>$</w:t>
            </w:r>
          </w:p>
        </w:tc>
        <w:tc>
          <w:tcPr>
            <w:tcW w:w="680" w:type="dxa"/>
            <w:vAlign w:val="bottom"/>
          </w:tcPr>
          <w:p>
            <w:pPr>
              <w:ind w:left="460"/>
              <w:spacing w:after="0"/>
              <w:rPr>
                <w:sz w:val="20"/>
                <w:szCs w:val="20"/>
                <w:color w:val="auto"/>
              </w:rPr>
            </w:pPr>
            <w:r>
              <w:rPr>
                <w:rFonts w:ascii="Verdana" w:cs="Verdana" w:eastAsia="Verdana" w:hAnsi="Verdana"/>
                <w:sz w:val="16"/>
                <w:szCs w:val="16"/>
                <w:color w:val="131313"/>
              </w:rPr>
              <w:t>—</w:t>
            </w:r>
          </w:p>
        </w:tc>
        <w:tc>
          <w:tcPr>
            <w:tcW w:w="280" w:type="dxa"/>
            <w:vAlign w:val="bottom"/>
          </w:tcPr>
          <w:p>
            <w:pPr>
              <w:jc w:val="right"/>
              <w:spacing w:after="0"/>
              <w:rPr>
                <w:sz w:val="20"/>
                <w:szCs w:val="20"/>
                <w:color w:val="auto"/>
              </w:rPr>
            </w:pPr>
            <w:r>
              <w:rPr>
                <w:rFonts w:ascii="Verdana" w:cs="Verdana" w:eastAsia="Verdana" w:hAnsi="Verdana"/>
                <w:sz w:val="16"/>
                <w:szCs w:val="16"/>
                <w:color w:val="131313"/>
              </w:rPr>
              <w:t>$</w:t>
            </w:r>
          </w:p>
        </w:tc>
        <w:tc>
          <w:tcPr>
            <w:tcW w:w="720" w:type="dxa"/>
            <w:vAlign w:val="bottom"/>
          </w:tcPr>
          <w:p>
            <w:pPr>
              <w:jc w:val="right"/>
              <w:ind w:right="44"/>
              <w:spacing w:after="0"/>
              <w:rPr>
                <w:sz w:val="20"/>
                <w:szCs w:val="20"/>
                <w:color w:val="auto"/>
              </w:rPr>
            </w:pPr>
            <w:r>
              <w:rPr>
                <w:rFonts w:ascii="Verdana" w:cs="Verdana" w:eastAsia="Verdana" w:hAnsi="Verdana"/>
                <w:sz w:val="16"/>
                <w:szCs w:val="16"/>
                <w:color w:val="131313"/>
              </w:rPr>
              <w:t>3,676</w:t>
            </w:r>
          </w:p>
        </w:tc>
        <w:tc>
          <w:tcPr>
            <w:tcW w:w="220" w:type="dxa"/>
            <w:vAlign w:val="bottom"/>
          </w:tcPr>
          <w:p>
            <w:pPr>
              <w:jc w:val="right"/>
              <w:spacing w:after="0"/>
              <w:rPr>
                <w:sz w:val="20"/>
                <w:szCs w:val="20"/>
                <w:color w:val="auto"/>
              </w:rPr>
            </w:pPr>
            <w:r>
              <w:rPr>
                <w:rFonts w:ascii="Verdana" w:cs="Verdana" w:eastAsia="Verdana" w:hAnsi="Verdana"/>
                <w:sz w:val="16"/>
                <w:szCs w:val="16"/>
                <w:color w:val="131313"/>
              </w:rPr>
              <w:t>$</w:t>
            </w:r>
          </w:p>
        </w:tc>
        <w:tc>
          <w:tcPr>
            <w:tcW w:w="800" w:type="dxa"/>
            <w:vAlign w:val="bottom"/>
          </w:tcPr>
          <w:p>
            <w:pPr>
              <w:ind w:left="460"/>
              <w:spacing w:after="0"/>
              <w:rPr>
                <w:sz w:val="20"/>
                <w:szCs w:val="20"/>
                <w:color w:val="auto"/>
              </w:rPr>
            </w:pPr>
            <w:r>
              <w:rPr>
                <w:rFonts w:ascii="Verdana" w:cs="Verdana" w:eastAsia="Verdana" w:hAnsi="Verdana"/>
                <w:sz w:val="16"/>
                <w:szCs w:val="16"/>
                <w:color w:val="131313"/>
              </w:rPr>
              <w:t>—</w:t>
            </w:r>
          </w:p>
        </w:tc>
        <w:tc>
          <w:tcPr>
            <w:tcW w:w="160" w:type="dxa"/>
            <w:vAlign w:val="bottom"/>
          </w:tcPr>
          <w:p>
            <w:pPr>
              <w:jc w:val="right"/>
              <w:spacing w:after="0"/>
              <w:rPr>
                <w:sz w:val="20"/>
                <w:szCs w:val="20"/>
                <w:color w:val="auto"/>
              </w:rPr>
            </w:pPr>
            <w:r>
              <w:rPr>
                <w:rFonts w:ascii="Verdana" w:cs="Verdana" w:eastAsia="Verdana" w:hAnsi="Verdana"/>
                <w:sz w:val="16"/>
                <w:szCs w:val="16"/>
                <w:color w:val="131313"/>
                <w:w w:val="97"/>
              </w:rPr>
              <w:t>$</w:t>
            </w:r>
          </w:p>
        </w:tc>
        <w:tc>
          <w:tcPr>
            <w:tcW w:w="680" w:type="dxa"/>
            <w:vAlign w:val="bottom"/>
          </w:tcPr>
          <w:p>
            <w:pPr>
              <w:jc w:val="right"/>
              <w:ind w:right="3"/>
              <w:spacing w:after="0"/>
              <w:rPr>
                <w:sz w:val="20"/>
                <w:szCs w:val="20"/>
                <w:color w:val="auto"/>
              </w:rPr>
            </w:pPr>
            <w:r>
              <w:rPr>
                <w:rFonts w:ascii="Verdana" w:cs="Verdana" w:eastAsia="Verdana" w:hAnsi="Verdana"/>
                <w:sz w:val="16"/>
                <w:szCs w:val="16"/>
                <w:color w:val="131313"/>
              </w:rPr>
              <w:t>3,676</w:t>
            </w:r>
          </w:p>
        </w:tc>
      </w:tr>
      <w:tr>
        <w:trPr>
          <w:trHeight w:val="242"/>
        </w:trPr>
        <w:tc>
          <w:tcPr>
            <w:tcW w:w="5860" w:type="dxa"/>
            <w:vAlign w:val="bottom"/>
            <w:tcBorders>
              <w:bottom w:val="single" w:sz="8" w:color="auto"/>
            </w:tcBorders>
          </w:tcPr>
          <w:p>
            <w:pPr>
              <w:ind w:left="160"/>
              <w:spacing w:after="0"/>
              <w:rPr>
                <w:sz w:val="20"/>
                <w:szCs w:val="20"/>
                <w:color w:val="auto"/>
              </w:rPr>
            </w:pPr>
            <w:r>
              <w:rPr>
                <w:rFonts w:ascii="Verdana" w:cs="Verdana" w:eastAsia="Verdana" w:hAnsi="Verdana"/>
                <w:sz w:val="16"/>
                <w:szCs w:val="16"/>
                <w:color w:val="auto"/>
              </w:rPr>
              <w:t>Natural gas basis differential swaps</w:t>
            </w: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ind w:left="460"/>
              <w:spacing w:after="0"/>
              <w:rPr>
                <w:sz w:val="20"/>
                <w:szCs w:val="20"/>
                <w:color w:val="auto"/>
              </w:rPr>
            </w:pPr>
            <w:r>
              <w:rPr>
                <w:rFonts w:ascii="Verdana" w:cs="Verdana" w:eastAsia="Verdana" w:hAnsi="Verdana"/>
                <w:sz w:val="16"/>
                <w:szCs w:val="16"/>
                <w:color w:val="131313"/>
              </w:rPr>
              <w:t>—</w:t>
            </w: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4"/>
              <w:spacing w:after="0"/>
              <w:rPr>
                <w:sz w:val="20"/>
                <w:szCs w:val="20"/>
                <w:color w:val="auto"/>
              </w:rPr>
            </w:pPr>
            <w:r>
              <w:rPr>
                <w:rFonts w:ascii="Verdana" w:cs="Verdana" w:eastAsia="Verdana" w:hAnsi="Verdana"/>
                <w:sz w:val="16"/>
                <w:szCs w:val="16"/>
                <w:color w:val="131313"/>
              </w:rPr>
              <w:t>12,292</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ind w:left="460"/>
              <w:spacing w:after="0"/>
              <w:rPr>
                <w:sz w:val="20"/>
                <w:szCs w:val="20"/>
                <w:color w:val="auto"/>
              </w:rPr>
            </w:pPr>
            <w:r>
              <w:rPr>
                <w:rFonts w:ascii="Verdana" w:cs="Verdana" w:eastAsia="Verdana" w:hAnsi="Verdana"/>
                <w:sz w:val="16"/>
                <w:szCs w:val="16"/>
                <w:color w:val="131313"/>
              </w:rPr>
              <w:t>—</w:t>
            </w: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
              <w:spacing w:after="0"/>
              <w:rPr>
                <w:sz w:val="20"/>
                <w:szCs w:val="20"/>
                <w:color w:val="auto"/>
              </w:rPr>
            </w:pPr>
            <w:r>
              <w:rPr>
                <w:rFonts w:ascii="Verdana" w:cs="Verdana" w:eastAsia="Verdana" w:hAnsi="Verdana"/>
                <w:sz w:val="16"/>
                <w:szCs w:val="16"/>
                <w:color w:val="131313"/>
              </w:rPr>
              <w:t>12,292</w:t>
            </w:r>
          </w:p>
        </w:tc>
      </w:tr>
      <w:tr>
        <w:trPr>
          <w:trHeight w:val="217"/>
        </w:trPr>
        <w:tc>
          <w:tcPr>
            <w:tcW w:w="5860" w:type="dxa"/>
            <w:vAlign w:val="bottom"/>
            <w:tcBorders>
              <w:bottom w:val="single" w:sz="8" w:color="214E93"/>
            </w:tcBorders>
          </w:tcPr>
          <w:p>
            <w:pPr>
              <w:ind w:left="280"/>
              <w:spacing w:after="0"/>
              <w:rPr>
                <w:sz w:val="20"/>
                <w:szCs w:val="20"/>
                <w:color w:val="auto"/>
              </w:rPr>
            </w:pPr>
            <w:r>
              <w:rPr>
                <w:rFonts w:ascii="Verdana" w:cs="Verdana" w:eastAsia="Verdana" w:hAnsi="Verdana"/>
                <w:sz w:val="16"/>
                <w:szCs w:val="16"/>
                <w:color w:val="auto"/>
              </w:rPr>
              <w:t>Total</w:t>
            </w:r>
          </w:p>
        </w:tc>
        <w:tc>
          <w:tcPr>
            <w:tcW w:w="16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w:t>
            </w:r>
          </w:p>
        </w:tc>
        <w:tc>
          <w:tcPr>
            <w:tcW w:w="680" w:type="dxa"/>
            <w:vAlign w:val="bottom"/>
            <w:tcBorders>
              <w:bottom w:val="single" w:sz="8" w:color="214E93"/>
            </w:tcBorders>
          </w:tcPr>
          <w:p>
            <w:pPr>
              <w:ind w:left="460"/>
              <w:spacing w:after="0"/>
              <w:rPr>
                <w:sz w:val="20"/>
                <w:szCs w:val="20"/>
                <w:color w:val="auto"/>
              </w:rPr>
            </w:pPr>
            <w:r>
              <w:rPr>
                <w:rFonts w:ascii="Verdana" w:cs="Verdana" w:eastAsia="Verdana" w:hAnsi="Verdana"/>
                <w:sz w:val="16"/>
                <w:szCs w:val="16"/>
                <w:color w:val="auto"/>
              </w:rPr>
              <w:t>—</w:t>
            </w:r>
          </w:p>
        </w:tc>
        <w:tc>
          <w:tcPr>
            <w:tcW w:w="1000" w:type="dxa"/>
            <w:vAlign w:val="bottom"/>
            <w:tcBorders>
              <w:bottom w:val="single" w:sz="8" w:color="214E93"/>
            </w:tcBorders>
            <w:gridSpan w:val="2"/>
          </w:tcPr>
          <w:p>
            <w:pPr>
              <w:jc w:val="right"/>
              <w:ind w:right="44"/>
              <w:spacing w:after="0"/>
              <w:rPr>
                <w:sz w:val="20"/>
                <w:szCs w:val="20"/>
                <w:color w:val="auto"/>
              </w:rPr>
            </w:pPr>
            <w:r>
              <w:rPr>
                <w:rFonts w:ascii="Verdana" w:cs="Verdana" w:eastAsia="Verdana" w:hAnsi="Verdana"/>
                <w:sz w:val="16"/>
                <w:szCs w:val="16"/>
                <w:color w:val="auto"/>
              </w:rPr>
              <w:t>$ 15,968</w:t>
            </w:r>
          </w:p>
        </w:tc>
        <w:tc>
          <w:tcPr>
            <w:tcW w:w="22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w:t>
            </w:r>
          </w:p>
        </w:tc>
        <w:tc>
          <w:tcPr>
            <w:tcW w:w="800" w:type="dxa"/>
            <w:vAlign w:val="bottom"/>
            <w:tcBorders>
              <w:bottom w:val="single" w:sz="8" w:color="214E93"/>
            </w:tcBorders>
          </w:tcPr>
          <w:p>
            <w:pPr>
              <w:ind w:left="460"/>
              <w:spacing w:after="0"/>
              <w:rPr>
                <w:sz w:val="20"/>
                <w:szCs w:val="20"/>
                <w:color w:val="auto"/>
              </w:rPr>
            </w:pPr>
            <w:r>
              <w:rPr>
                <w:rFonts w:ascii="Verdana" w:cs="Verdana" w:eastAsia="Verdana" w:hAnsi="Verdana"/>
                <w:sz w:val="16"/>
                <w:szCs w:val="16"/>
                <w:color w:val="auto"/>
              </w:rPr>
              <w:t>—</w:t>
            </w:r>
          </w:p>
        </w:tc>
        <w:tc>
          <w:tcPr>
            <w:tcW w:w="16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w w:val="97"/>
              </w:rPr>
              <w:t>$</w:t>
            </w:r>
          </w:p>
        </w:tc>
        <w:tc>
          <w:tcPr>
            <w:tcW w:w="680" w:type="dxa"/>
            <w:vAlign w:val="bottom"/>
            <w:tcBorders>
              <w:bottom w:val="single" w:sz="8" w:color="214E93"/>
            </w:tcBorders>
          </w:tcPr>
          <w:p>
            <w:pPr>
              <w:jc w:val="right"/>
              <w:ind w:right="3"/>
              <w:spacing w:after="0"/>
              <w:rPr>
                <w:sz w:val="20"/>
                <w:szCs w:val="20"/>
                <w:color w:val="auto"/>
              </w:rPr>
            </w:pPr>
            <w:r>
              <w:rPr>
                <w:rFonts w:ascii="Verdana" w:cs="Verdana" w:eastAsia="Verdana" w:hAnsi="Verdana"/>
                <w:sz w:val="16"/>
                <w:szCs w:val="16"/>
                <w:color w:val="auto"/>
              </w:rPr>
              <w:t>15,968</w:t>
            </w:r>
          </w:p>
        </w:tc>
      </w:tr>
    </w:tbl>
    <w:p>
      <w:pPr>
        <w:spacing w:after="0" w:line="20" w:lineRule="exact"/>
        <w:rPr>
          <w:sz w:val="20"/>
          <w:szCs w:val="20"/>
          <w:color w:val="auto"/>
        </w:rPr>
      </w:pPr>
    </w:p>
    <w:p>
      <w:pPr>
        <w:spacing w:after="0" w:line="211" w:lineRule="exact"/>
        <w:rPr>
          <w:sz w:val="20"/>
          <w:szCs w:val="20"/>
          <w:color w:val="auto"/>
        </w:rPr>
      </w:pPr>
    </w:p>
    <w:p>
      <w:pPr>
        <w:ind w:left="1020"/>
        <w:spacing w:after="0"/>
        <w:rPr>
          <w:sz w:val="20"/>
          <w:szCs w:val="20"/>
          <w:color w:val="auto"/>
        </w:rPr>
      </w:pPr>
      <w:r>
        <w:rPr>
          <w:rFonts w:ascii="Calibri" w:cs="Calibri" w:eastAsia="Calibri" w:hAnsi="Calibri"/>
          <w:sz w:val="18"/>
          <w:szCs w:val="18"/>
          <w:color w:val="auto"/>
        </w:rPr>
        <w:t>Additional disclosures related to derivative financial instruments are provided in Note 12.</w:t>
      </w:r>
    </w:p>
    <w:p>
      <w:pPr>
        <w:spacing w:after="0" w:line="227" w:lineRule="exact"/>
        <w:rPr>
          <w:sz w:val="20"/>
          <w:szCs w:val="20"/>
          <w:color w:val="auto"/>
        </w:rPr>
      </w:pPr>
    </w:p>
    <w:p>
      <w:pPr>
        <w:ind w:left="780"/>
        <w:spacing w:after="0"/>
        <w:rPr>
          <w:sz w:val="20"/>
          <w:szCs w:val="20"/>
          <w:color w:val="auto"/>
        </w:rPr>
      </w:pPr>
      <w:r>
        <w:rPr>
          <w:rFonts w:ascii="Calibri" w:cs="Calibri" w:eastAsia="Calibri" w:hAnsi="Calibri"/>
          <w:sz w:val="19"/>
          <w:szCs w:val="19"/>
          <w:i w:val="1"/>
          <w:iCs w:val="1"/>
          <w:color w:val="214E93"/>
        </w:rPr>
        <w:t>Other Fair Value Measurements</w:t>
      </w:r>
    </w:p>
    <w:p>
      <w:pPr>
        <w:spacing w:after="0" w:line="208" w:lineRule="exact"/>
        <w:rPr>
          <w:sz w:val="20"/>
          <w:szCs w:val="20"/>
          <w:color w:val="auto"/>
        </w:rPr>
      </w:pPr>
    </w:p>
    <w:p>
      <w:pPr>
        <w:ind w:left="780" w:right="900" w:firstLine="281"/>
        <w:spacing w:after="0" w:line="283" w:lineRule="auto"/>
        <w:rPr>
          <w:sz w:val="20"/>
          <w:szCs w:val="20"/>
          <w:color w:val="auto"/>
        </w:rPr>
      </w:pPr>
      <w:r>
        <w:rPr>
          <w:rFonts w:ascii="Calibri" w:cs="Calibri" w:eastAsia="Calibri" w:hAnsi="Calibri"/>
          <w:sz w:val="17"/>
          <w:szCs w:val="17"/>
          <w:color w:val="auto"/>
        </w:rPr>
        <w:t>At December 31, 2025 and 2024, the carrying values reported on the consolidated balance sheets for accounts receivable, prepaid expenses and other current assets, accounts payable, accrued liabilities, royalties payable, amounts due to affiliates, advances from joint interest owners and other current liabilities approximated their fair values due to their short-term maturities.</w:t>
      </w:r>
    </w:p>
    <w:p>
      <w:pPr>
        <w:spacing w:after="0" w:line="206" w:lineRule="exact"/>
        <w:rPr>
          <w:sz w:val="20"/>
          <w:szCs w:val="20"/>
          <w:color w:val="auto"/>
        </w:rPr>
      </w:pPr>
    </w:p>
    <w:p>
      <w:pPr>
        <w:ind w:left="780" w:right="780" w:firstLine="241"/>
        <w:spacing w:after="0" w:line="261" w:lineRule="auto"/>
        <w:rPr>
          <w:sz w:val="20"/>
          <w:szCs w:val="20"/>
          <w:color w:val="auto"/>
        </w:rPr>
      </w:pPr>
      <w:r>
        <w:rPr>
          <w:rFonts w:ascii="Calibri" w:cs="Calibri" w:eastAsia="Calibri" w:hAnsi="Calibri"/>
          <w:sz w:val="18"/>
          <w:szCs w:val="18"/>
          <w:color w:val="auto"/>
        </w:rPr>
        <w:t>At December 31, 2025 and 2024, the carrying value of borrowings under the Credit Agreement and the San Mateo Credit Facility approximated their fair value as both are subject to short-term floating interest rates that reflect market rates available to the Company at the time and are classified at Level 2 in the fair value hierarchy.</w:t>
      </w:r>
    </w:p>
    <w:p>
      <w:pPr>
        <w:sectPr>
          <w:pgSz w:w="11880" w:h="15480" w:orient="portrait"/>
          <w:cols w:equalWidth="0" w:num="1">
            <w:col w:w="11020"/>
          </w:cols>
          <w:pgMar w:left="380" w:top="498"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680"/>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1020"/>
          </w:cols>
          <w:pgMar w:left="380" w:top="498" w:right="480" w:bottom="0" w:gutter="0" w:footer="0" w:header="0"/>
          <w:type w:val="continuous"/>
        </w:sectPr>
      </w:pPr>
    </w:p>
    <w:bookmarkStart w:id="168" w:name="page169"/>
    <w:bookmarkEnd w:id="168"/>
    <w:tbl>
      <w:tblPr>
        <w:tblLayout w:type="fixed"/>
        <w:tblInd w:w="7880" w:type="dxa"/>
        <w:tblCellMar>
          <w:top w:w="0" w:type="dxa"/>
          <w:left w:w="0" w:type="dxa"/>
          <w:bottom w:w="0" w:type="dxa"/>
          <w:right w:w="0" w:type="dxa"/>
        </w:tblCellMar>
      </w:tblPr>
      <w:tr>
        <w:trPr>
          <w:trHeight w:val="220"/>
        </w:trPr>
        <w:tc>
          <w:tcPr>
            <w:tcW w:w="188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580" w:type="dxa"/>
            <w:vAlign w:val="bottom"/>
          </w:tcPr>
          <w:p>
            <w:pPr>
              <w:ind w:left="260"/>
              <w:spacing w:after="0"/>
              <w:rPr>
                <w:sz w:val="20"/>
                <w:szCs w:val="20"/>
                <w:color w:val="auto"/>
              </w:rPr>
            </w:pPr>
            <w:r>
              <w:rPr>
                <w:rFonts w:ascii="Calibri" w:cs="Calibri" w:eastAsia="Calibri" w:hAnsi="Calibri"/>
                <w:sz w:val="18"/>
                <w:szCs w:val="18"/>
                <w:color w:val="auto"/>
                <w:w w:val="93"/>
              </w:rPr>
              <w:t>F-38</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332" name="Shape 3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32" o:spid="_x0000_s13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333" name="Shape 3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33" o:spid="_x0000_s13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Verdana" w:cs="Verdana" w:eastAsia="Verdana" w:hAnsi="Verdana"/>
          <w:sz w:val="20"/>
          <w:szCs w:val="20"/>
          <w:color w:val="214E93"/>
        </w:rPr>
        <w:t>NOTE 13 — FAIR VALUE MEASUREMENTS — Continued</w:t>
      </w:r>
    </w:p>
    <w:p>
      <w:pPr>
        <w:spacing w:after="0" w:line="209" w:lineRule="exact"/>
        <w:rPr>
          <w:sz w:val="20"/>
          <w:szCs w:val="20"/>
          <w:color w:val="auto"/>
        </w:rPr>
      </w:pPr>
    </w:p>
    <w:p>
      <w:pPr>
        <w:ind w:right="1040" w:firstLine="241"/>
        <w:spacing w:after="0" w:line="252" w:lineRule="auto"/>
        <w:rPr>
          <w:sz w:val="20"/>
          <w:szCs w:val="20"/>
          <w:color w:val="auto"/>
        </w:rPr>
      </w:pPr>
      <w:r>
        <w:rPr>
          <w:rFonts w:ascii="Calibri" w:cs="Calibri" w:eastAsia="Calibri" w:hAnsi="Calibri"/>
          <w:sz w:val="18"/>
          <w:szCs w:val="18"/>
          <w:color w:val="auto"/>
        </w:rPr>
        <w:t>The following table summarizes the carrying value and fair value of outstanding senior unsecured notes at December 31, 2025 and 2024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420" w:type="dxa"/>
            <w:vAlign w:val="bottom"/>
            <w:tcBorders>
              <w:bottom w:val="single" w:sz="8" w:color="214E93"/>
            </w:tcBorders>
            <w:gridSpan w:val="2"/>
          </w:tcPr>
          <w:p>
            <w:pPr>
              <w:ind w:left="520"/>
              <w:spacing w:after="0"/>
              <w:rPr>
                <w:sz w:val="20"/>
                <w:szCs w:val="20"/>
                <w:color w:val="auto"/>
              </w:rPr>
            </w:pPr>
            <w:r>
              <w:rPr>
                <w:rFonts w:ascii="Verdana" w:cs="Verdana" w:eastAsia="Verdana" w:hAnsi="Verdana"/>
                <w:sz w:val="14"/>
                <w:szCs w:val="14"/>
                <w:color w:val="auto"/>
              </w:rPr>
              <w:t>December 31, 2025</w:t>
            </w:r>
          </w:p>
        </w:tc>
        <w:tc>
          <w:tcPr>
            <w:tcW w:w="60" w:type="dxa"/>
            <w:vAlign w:val="bottom"/>
          </w:tcPr>
          <w:p>
            <w:pPr>
              <w:spacing w:after="0"/>
              <w:rPr>
                <w:sz w:val="16"/>
                <w:szCs w:val="16"/>
                <w:color w:val="auto"/>
              </w:rPr>
            </w:pPr>
          </w:p>
        </w:tc>
        <w:tc>
          <w:tcPr>
            <w:tcW w:w="2420" w:type="dxa"/>
            <w:vAlign w:val="bottom"/>
            <w:tcBorders>
              <w:bottom w:val="single" w:sz="8" w:color="214E93"/>
            </w:tcBorders>
            <w:gridSpan w:val="2"/>
          </w:tcPr>
          <w:p>
            <w:pPr>
              <w:ind w:left="520"/>
              <w:spacing w:after="0"/>
              <w:rPr>
                <w:sz w:val="20"/>
                <w:szCs w:val="20"/>
                <w:color w:val="auto"/>
              </w:rPr>
            </w:pPr>
            <w:r>
              <w:rPr>
                <w:rFonts w:ascii="Verdana" w:cs="Verdana" w:eastAsia="Verdana" w:hAnsi="Verdana"/>
                <w:sz w:val="14"/>
                <w:szCs w:val="14"/>
                <w:color w:val="auto"/>
              </w:rPr>
              <w:t>December 31, 2024</w:t>
            </w:r>
          </w:p>
        </w:tc>
      </w:tr>
      <w:tr>
        <w:trPr>
          <w:trHeight w:val="186"/>
        </w:trPr>
        <w:tc>
          <w:tcPr>
            <w:tcW w:w="2280" w:type="dxa"/>
            <w:vAlign w:val="bottom"/>
          </w:tcPr>
          <w:p>
            <w:pPr>
              <w:spacing w:after="0"/>
              <w:rPr>
                <w:sz w:val="16"/>
                <w:szCs w:val="16"/>
                <w:color w:val="auto"/>
              </w:rPr>
            </w:pPr>
          </w:p>
        </w:tc>
        <w:tc>
          <w:tcPr>
            <w:tcW w:w="2380" w:type="dxa"/>
            <w:vAlign w:val="bottom"/>
          </w:tcPr>
          <w:p>
            <w:pPr>
              <w:jc w:val="center"/>
              <w:ind w:left="905"/>
              <w:spacing w:after="0"/>
              <w:rPr>
                <w:sz w:val="20"/>
                <w:szCs w:val="20"/>
                <w:color w:val="auto"/>
              </w:rPr>
            </w:pPr>
            <w:r>
              <w:rPr>
                <w:rFonts w:ascii="Verdana" w:cs="Verdana" w:eastAsia="Verdana" w:hAnsi="Verdana"/>
                <w:sz w:val="14"/>
                <w:szCs w:val="14"/>
                <w:color w:val="auto"/>
                <w:w w:val="96"/>
              </w:rPr>
              <w:t>Fair Value</w:t>
            </w:r>
          </w:p>
        </w:tc>
        <w:tc>
          <w:tcPr>
            <w:tcW w:w="128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Verdana" w:cs="Verdana" w:eastAsia="Verdana" w:hAnsi="Verdana"/>
                <w:sz w:val="14"/>
                <w:szCs w:val="14"/>
                <w:color w:val="auto"/>
                <w:w w:val="98"/>
              </w:rPr>
              <w:t>Fair</w:t>
            </w:r>
          </w:p>
        </w:tc>
        <w:tc>
          <w:tcPr>
            <w:tcW w:w="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Verdana" w:cs="Verdana" w:eastAsia="Verdana" w:hAnsi="Verdana"/>
                <w:sz w:val="14"/>
                <w:szCs w:val="14"/>
                <w:color w:val="auto"/>
                <w:w w:val="98"/>
              </w:rPr>
              <w:t>Fair</w:t>
            </w:r>
          </w:p>
        </w:tc>
      </w:tr>
      <w:tr>
        <w:trPr>
          <w:trHeight w:val="193"/>
        </w:trPr>
        <w:tc>
          <w:tcPr>
            <w:tcW w:w="2280" w:type="dxa"/>
            <w:vAlign w:val="bottom"/>
            <w:tcBorders>
              <w:bottom w:val="single" w:sz="8" w:color="214E93"/>
            </w:tcBorders>
          </w:tcPr>
          <w:p>
            <w:pPr>
              <w:spacing w:after="0"/>
              <w:rPr>
                <w:sz w:val="16"/>
                <w:szCs w:val="16"/>
                <w:color w:val="auto"/>
              </w:rPr>
            </w:pPr>
          </w:p>
        </w:tc>
        <w:tc>
          <w:tcPr>
            <w:tcW w:w="2380" w:type="dxa"/>
            <w:vAlign w:val="bottom"/>
            <w:tcBorders>
              <w:bottom w:val="single" w:sz="8" w:color="214E93"/>
            </w:tcBorders>
          </w:tcPr>
          <w:p>
            <w:pPr>
              <w:jc w:val="center"/>
              <w:ind w:left="905"/>
              <w:spacing w:after="0"/>
              <w:rPr>
                <w:sz w:val="20"/>
                <w:szCs w:val="20"/>
                <w:color w:val="auto"/>
              </w:rPr>
            </w:pPr>
            <w:r>
              <w:rPr>
                <w:rFonts w:ascii="Verdana" w:cs="Verdana" w:eastAsia="Verdana" w:hAnsi="Verdana"/>
                <w:sz w:val="14"/>
                <w:szCs w:val="14"/>
                <w:color w:val="auto"/>
              </w:rPr>
              <w:t>Hierarchy</w:t>
            </w:r>
          </w:p>
        </w:tc>
        <w:tc>
          <w:tcPr>
            <w:tcW w:w="1280" w:type="dxa"/>
            <w:vAlign w:val="bottom"/>
            <w:tcBorders>
              <w:bottom w:val="single" w:sz="8" w:color="214E93"/>
            </w:tcBorders>
          </w:tcPr>
          <w:p>
            <w:pPr>
              <w:jc w:val="center"/>
              <w:ind w:right="25"/>
              <w:spacing w:after="0"/>
              <w:rPr>
                <w:sz w:val="20"/>
                <w:szCs w:val="20"/>
                <w:color w:val="auto"/>
              </w:rPr>
            </w:pPr>
            <w:r>
              <w:rPr>
                <w:rFonts w:ascii="Verdana" w:cs="Verdana" w:eastAsia="Verdana" w:hAnsi="Verdana"/>
                <w:sz w:val="14"/>
                <w:szCs w:val="14"/>
                <w:color w:val="auto"/>
                <w:w w:val="98"/>
              </w:rPr>
              <w:t>Carrying Value</w:t>
            </w:r>
          </w:p>
        </w:tc>
        <w:tc>
          <w:tcPr>
            <w:tcW w:w="114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auto"/>
                <w:w w:val="97"/>
              </w:rPr>
              <w:t>Value</w:t>
            </w:r>
          </w:p>
        </w:tc>
        <w:tc>
          <w:tcPr>
            <w:tcW w:w="60" w:type="dxa"/>
            <w:vAlign w:val="bottom"/>
            <w:tcBorders>
              <w:bottom w:val="single" w:sz="8" w:color="214E93"/>
            </w:tcBorders>
          </w:tcPr>
          <w:p>
            <w:pPr>
              <w:spacing w:after="0"/>
              <w:rPr>
                <w:sz w:val="16"/>
                <w:szCs w:val="16"/>
                <w:color w:val="auto"/>
              </w:rPr>
            </w:pPr>
          </w:p>
        </w:tc>
        <w:tc>
          <w:tcPr>
            <w:tcW w:w="1280" w:type="dxa"/>
            <w:vAlign w:val="bottom"/>
            <w:tcBorders>
              <w:bottom w:val="single" w:sz="8" w:color="214E93"/>
            </w:tcBorders>
          </w:tcPr>
          <w:p>
            <w:pPr>
              <w:jc w:val="center"/>
              <w:ind w:right="31"/>
              <w:spacing w:after="0"/>
              <w:rPr>
                <w:sz w:val="20"/>
                <w:szCs w:val="20"/>
                <w:color w:val="auto"/>
              </w:rPr>
            </w:pPr>
            <w:r>
              <w:rPr>
                <w:rFonts w:ascii="Verdana" w:cs="Verdana" w:eastAsia="Verdana" w:hAnsi="Verdana"/>
                <w:sz w:val="14"/>
                <w:szCs w:val="14"/>
                <w:color w:val="auto"/>
                <w:w w:val="98"/>
              </w:rPr>
              <w:t>Carrying Value</w:t>
            </w:r>
          </w:p>
        </w:tc>
        <w:tc>
          <w:tcPr>
            <w:tcW w:w="114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auto"/>
                <w:w w:val="97"/>
              </w:rPr>
              <w:t>Value</w:t>
            </w:r>
          </w:p>
        </w:tc>
      </w:tr>
      <w:tr>
        <w:trPr>
          <w:trHeight w:val="211"/>
        </w:trPr>
        <w:tc>
          <w:tcPr>
            <w:tcW w:w="2280" w:type="dxa"/>
            <w:vAlign w:val="bottom"/>
          </w:tcPr>
          <w:p>
            <w:pPr>
              <w:ind w:left="40"/>
              <w:spacing w:after="0"/>
              <w:rPr>
                <w:sz w:val="20"/>
                <w:szCs w:val="20"/>
                <w:color w:val="auto"/>
              </w:rPr>
            </w:pPr>
            <w:r>
              <w:rPr>
                <w:rFonts w:ascii="Verdana" w:cs="Verdana" w:eastAsia="Verdana" w:hAnsi="Verdana"/>
                <w:sz w:val="16"/>
                <w:szCs w:val="16"/>
                <w:color w:val="auto"/>
              </w:rPr>
              <w:t>2028 Notes</w:t>
            </w:r>
          </w:p>
        </w:tc>
        <w:tc>
          <w:tcPr>
            <w:tcW w:w="2380" w:type="dxa"/>
            <w:vAlign w:val="bottom"/>
          </w:tcPr>
          <w:p>
            <w:pPr>
              <w:jc w:val="center"/>
              <w:ind w:left="945"/>
              <w:spacing w:after="0"/>
              <w:rPr>
                <w:sz w:val="20"/>
                <w:szCs w:val="20"/>
                <w:color w:val="auto"/>
              </w:rPr>
            </w:pPr>
            <w:r>
              <w:rPr>
                <w:rFonts w:ascii="Verdana" w:cs="Verdana" w:eastAsia="Verdana" w:hAnsi="Verdana"/>
                <w:sz w:val="16"/>
                <w:szCs w:val="16"/>
                <w:color w:val="auto"/>
                <w:w w:val="96"/>
              </w:rPr>
              <w:t>Level 1</w:t>
            </w:r>
          </w:p>
        </w:tc>
        <w:tc>
          <w:tcPr>
            <w:tcW w:w="1280" w:type="dxa"/>
            <w:vAlign w:val="bottom"/>
          </w:tcPr>
          <w:p>
            <w:pPr>
              <w:jc w:val="center"/>
              <w:spacing w:after="0"/>
              <w:rPr>
                <w:sz w:val="20"/>
                <w:szCs w:val="20"/>
                <w:color w:val="auto"/>
              </w:rPr>
            </w:pPr>
            <w:r>
              <w:rPr>
                <w:rFonts w:ascii="Verdana" w:cs="Verdana" w:eastAsia="Verdana" w:hAnsi="Verdana"/>
                <w:sz w:val="16"/>
                <w:szCs w:val="16"/>
                <w:color w:val="214E93"/>
                <w:w w:val="95"/>
              </w:rPr>
              <w:t>$500,000</w:t>
            </w:r>
          </w:p>
        </w:tc>
        <w:tc>
          <w:tcPr>
            <w:tcW w:w="1140" w:type="dxa"/>
            <w:vAlign w:val="bottom"/>
          </w:tcPr>
          <w:p>
            <w:pPr>
              <w:jc w:val="center"/>
              <w:spacing w:after="0"/>
              <w:rPr>
                <w:sz w:val="20"/>
                <w:szCs w:val="20"/>
                <w:color w:val="auto"/>
              </w:rPr>
            </w:pPr>
            <w:r>
              <w:rPr>
                <w:rFonts w:ascii="Verdana" w:cs="Verdana" w:eastAsia="Verdana" w:hAnsi="Verdana"/>
                <w:sz w:val="16"/>
                <w:szCs w:val="16"/>
                <w:color w:val="214E93"/>
                <w:w w:val="95"/>
              </w:rPr>
              <w:t>$511,585</w:t>
            </w:r>
          </w:p>
        </w:tc>
        <w:tc>
          <w:tcPr>
            <w:tcW w:w="1340" w:type="dxa"/>
            <w:vAlign w:val="bottom"/>
            <w:gridSpan w:val="2"/>
          </w:tcPr>
          <w:p>
            <w:pPr>
              <w:jc w:val="center"/>
              <w:spacing w:after="0"/>
              <w:rPr>
                <w:sz w:val="20"/>
                <w:szCs w:val="20"/>
                <w:color w:val="auto"/>
              </w:rPr>
            </w:pPr>
            <w:r>
              <w:rPr>
                <w:rFonts w:ascii="Verdana" w:cs="Verdana" w:eastAsia="Verdana" w:hAnsi="Verdana"/>
                <w:sz w:val="16"/>
                <w:szCs w:val="16"/>
                <w:color w:val="131313"/>
                <w:w w:val="95"/>
              </w:rPr>
              <w:t>$500,000</w:t>
            </w:r>
          </w:p>
        </w:tc>
        <w:tc>
          <w:tcPr>
            <w:tcW w:w="1140" w:type="dxa"/>
            <w:vAlign w:val="bottom"/>
          </w:tcPr>
          <w:p>
            <w:pPr>
              <w:jc w:val="center"/>
              <w:spacing w:after="0"/>
              <w:rPr>
                <w:sz w:val="20"/>
                <w:szCs w:val="20"/>
                <w:color w:val="auto"/>
              </w:rPr>
            </w:pPr>
            <w:r>
              <w:rPr>
                <w:rFonts w:ascii="Verdana" w:cs="Verdana" w:eastAsia="Verdana" w:hAnsi="Verdana"/>
                <w:sz w:val="16"/>
                <w:szCs w:val="16"/>
                <w:color w:val="131313"/>
                <w:w w:val="95"/>
              </w:rPr>
              <w:t>$505,380</w:t>
            </w:r>
          </w:p>
        </w:tc>
      </w:tr>
      <w:tr>
        <w:trPr>
          <w:trHeight w:val="235"/>
        </w:trPr>
        <w:tc>
          <w:tcPr>
            <w:tcW w:w="2280" w:type="dxa"/>
            <w:vAlign w:val="bottom"/>
          </w:tcPr>
          <w:p>
            <w:pPr>
              <w:ind w:left="40"/>
              <w:spacing w:after="0"/>
              <w:rPr>
                <w:sz w:val="20"/>
                <w:szCs w:val="20"/>
                <w:color w:val="auto"/>
              </w:rPr>
            </w:pPr>
            <w:r>
              <w:rPr>
                <w:rFonts w:ascii="Verdana" w:cs="Verdana" w:eastAsia="Verdana" w:hAnsi="Verdana"/>
                <w:sz w:val="16"/>
                <w:szCs w:val="16"/>
                <w:color w:val="auto"/>
              </w:rPr>
              <w:t>2032 Notes</w:t>
            </w:r>
          </w:p>
        </w:tc>
        <w:tc>
          <w:tcPr>
            <w:tcW w:w="2380" w:type="dxa"/>
            <w:vAlign w:val="bottom"/>
          </w:tcPr>
          <w:p>
            <w:pPr>
              <w:jc w:val="center"/>
              <w:ind w:left="945"/>
              <w:spacing w:after="0"/>
              <w:rPr>
                <w:sz w:val="20"/>
                <w:szCs w:val="20"/>
                <w:color w:val="auto"/>
              </w:rPr>
            </w:pPr>
            <w:r>
              <w:rPr>
                <w:rFonts w:ascii="Verdana" w:cs="Verdana" w:eastAsia="Verdana" w:hAnsi="Verdana"/>
                <w:sz w:val="16"/>
                <w:szCs w:val="16"/>
                <w:color w:val="auto"/>
                <w:w w:val="96"/>
              </w:rPr>
              <w:t>Level 1</w:t>
            </w:r>
          </w:p>
        </w:tc>
        <w:tc>
          <w:tcPr>
            <w:tcW w:w="1280" w:type="dxa"/>
            <w:vAlign w:val="bottom"/>
          </w:tcPr>
          <w:p>
            <w:pPr>
              <w:jc w:val="center"/>
              <w:spacing w:after="0"/>
              <w:rPr>
                <w:sz w:val="20"/>
                <w:szCs w:val="20"/>
                <w:color w:val="auto"/>
              </w:rPr>
            </w:pPr>
            <w:r>
              <w:rPr>
                <w:rFonts w:ascii="Verdana" w:cs="Verdana" w:eastAsia="Verdana" w:hAnsi="Verdana"/>
                <w:sz w:val="16"/>
                <w:szCs w:val="16"/>
                <w:color w:val="214E93"/>
                <w:w w:val="95"/>
              </w:rPr>
              <w:t>$900,000</w:t>
            </w:r>
          </w:p>
        </w:tc>
        <w:tc>
          <w:tcPr>
            <w:tcW w:w="1140" w:type="dxa"/>
            <w:vAlign w:val="bottom"/>
          </w:tcPr>
          <w:p>
            <w:pPr>
              <w:jc w:val="center"/>
              <w:spacing w:after="0"/>
              <w:rPr>
                <w:sz w:val="20"/>
                <w:szCs w:val="20"/>
                <w:color w:val="auto"/>
              </w:rPr>
            </w:pPr>
            <w:r>
              <w:rPr>
                <w:rFonts w:ascii="Verdana" w:cs="Verdana" w:eastAsia="Verdana" w:hAnsi="Verdana"/>
                <w:sz w:val="16"/>
                <w:szCs w:val="16"/>
                <w:color w:val="214E93"/>
                <w:w w:val="95"/>
              </w:rPr>
              <w:t>$914,265</w:t>
            </w:r>
          </w:p>
        </w:tc>
        <w:tc>
          <w:tcPr>
            <w:tcW w:w="1340" w:type="dxa"/>
            <w:vAlign w:val="bottom"/>
            <w:gridSpan w:val="2"/>
          </w:tcPr>
          <w:p>
            <w:pPr>
              <w:jc w:val="center"/>
              <w:spacing w:after="0"/>
              <w:rPr>
                <w:sz w:val="20"/>
                <w:szCs w:val="20"/>
                <w:color w:val="auto"/>
              </w:rPr>
            </w:pPr>
            <w:r>
              <w:rPr>
                <w:rFonts w:ascii="Verdana" w:cs="Verdana" w:eastAsia="Verdana" w:hAnsi="Verdana"/>
                <w:sz w:val="16"/>
                <w:szCs w:val="16"/>
                <w:color w:val="131313"/>
                <w:w w:val="95"/>
              </w:rPr>
              <w:t>$900,000</w:t>
            </w:r>
          </w:p>
        </w:tc>
        <w:tc>
          <w:tcPr>
            <w:tcW w:w="1140" w:type="dxa"/>
            <w:vAlign w:val="bottom"/>
          </w:tcPr>
          <w:p>
            <w:pPr>
              <w:jc w:val="center"/>
              <w:spacing w:after="0"/>
              <w:rPr>
                <w:sz w:val="20"/>
                <w:szCs w:val="20"/>
                <w:color w:val="auto"/>
              </w:rPr>
            </w:pPr>
            <w:r>
              <w:rPr>
                <w:rFonts w:ascii="Verdana" w:cs="Verdana" w:eastAsia="Verdana" w:hAnsi="Verdana"/>
                <w:sz w:val="16"/>
                <w:szCs w:val="16"/>
                <w:color w:val="131313"/>
                <w:w w:val="95"/>
              </w:rPr>
              <w:t>$890,667</w:t>
            </w:r>
          </w:p>
        </w:tc>
      </w:tr>
      <w:tr>
        <w:trPr>
          <w:trHeight w:val="236"/>
        </w:trPr>
        <w:tc>
          <w:tcPr>
            <w:tcW w:w="2280" w:type="dxa"/>
            <w:vAlign w:val="bottom"/>
          </w:tcPr>
          <w:p>
            <w:pPr>
              <w:ind w:left="40"/>
              <w:spacing w:after="0"/>
              <w:rPr>
                <w:sz w:val="20"/>
                <w:szCs w:val="20"/>
                <w:color w:val="auto"/>
              </w:rPr>
            </w:pPr>
            <w:r>
              <w:rPr>
                <w:rFonts w:ascii="Verdana" w:cs="Verdana" w:eastAsia="Verdana" w:hAnsi="Verdana"/>
                <w:sz w:val="16"/>
                <w:szCs w:val="16"/>
                <w:color w:val="auto"/>
              </w:rPr>
              <w:t>2033 Notes</w:t>
            </w:r>
          </w:p>
        </w:tc>
        <w:tc>
          <w:tcPr>
            <w:tcW w:w="2380" w:type="dxa"/>
            <w:vAlign w:val="bottom"/>
          </w:tcPr>
          <w:p>
            <w:pPr>
              <w:jc w:val="center"/>
              <w:ind w:left="945"/>
              <w:spacing w:after="0"/>
              <w:rPr>
                <w:sz w:val="20"/>
                <w:szCs w:val="20"/>
                <w:color w:val="auto"/>
              </w:rPr>
            </w:pPr>
            <w:r>
              <w:rPr>
                <w:rFonts w:ascii="Verdana" w:cs="Verdana" w:eastAsia="Verdana" w:hAnsi="Verdana"/>
                <w:sz w:val="16"/>
                <w:szCs w:val="16"/>
                <w:color w:val="auto"/>
                <w:w w:val="96"/>
              </w:rPr>
              <w:t>Level 1</w:t>
            </w:r>
          </w:p>
        </w:tc>
        <w:tc>
          <w:tcPr>
            <w:tcW w:w="1280" w:type="dxa"/>
            <w:vAlign w:val="bottom"/>
          </w:tcPr>
          <w:p>
            <w:pPr>
              <w:jc w:val="center"/>
              <w:spacing w:after="0"/>
              <w:rPr>
                <w:sz w:val="20"/>
                <w:szCs w:val="20"/>
                <w:color w:val="auto"/>
              </w:rPr>
            </w:pPr>
            <w:r>
              <w:rPr>
                <w:rFonts w:ascii="Verdana" w:cs="Verdana" w:eastAsia="Verdana" w:hAnsi="Verdana"/>
                <w:sz w:val="16"/>
                <w:szCs w:val="16"/>
                <w:color w:val="214E93"/>
                <w:w w:val="95"/>
              </w:rPr>
              <w:t>$750,000</w:t>
            </w:r>
          </w:p>
        </w:tc>
        <w:tc>
          <w:tcPr>
            <w:tcW w:w="1140" w:type="dxa"/>
            <w:vAlign w:val="bottom"/>
          </w:tcPr>
          <w:p>
            <w:pPr>
              <w:jc w:val="center"/>
              <w:spacing w:after="0"/>
              <w:rPr>
                <w:sz w:val="20"/>
                <w:szCs w:val="20"/>
                <w:color w:val="auto"/>
              </w:rPr>
            </w:pPr>
            <w:r>
              <w:rPr>
                <w:rFonts w:ascii="Verdana" w:cs="Verdana" w:eastAsia="Verdana" w:hAnsi="Verdana"/>
                <w:sz w:val="16"/>
                <w:szCs w:val="16"/>
                <w:color w:val="214E93"/>
                <w:w w:val="95"/>
              </w:rPr>
              <w:t>$751,920</w:t>
            </w:r>
          </w:p>
        </w:tc>
        <w:tc>
          <w:tcPr>
            <w:tcW w:w="1340" w:type="dxa"/>
            <w:vAlign w:val="bottom"/>
            <w:gridSpan w:val="2"/>
          </w:tcPr>
          <w:p>
            <w:pPr>
              <w:jc w:val="center"/>
              <w:spacing w:after="0"/>
              <w:rPr>
                <w:sz w:val="20"/>
                <w:szCs w:val="20"/>
                <w:color w:val="auto"/>
              </w:rPr>
            </w:pPr>
            <w:r>
              <w:rPr>
                <w:rFonts w:ascii="Verdana" w:cs="Verdana" w:eastAsia="Verdana" w:hAnsi="Verdana"/>
                <w:sz w:val="16"/>
                <w:szCs w:val="16"/>
                <w:color w:val="131313"/>
                <w:w w:val="95"/>
              </w:rPr>
              <w:t>$750,000</w:t>
            </w:r>
          </w:p>
        </w:tc>
        <w:tc>
          <w:tcPr>
            <w:tcW w:w="1140" w:type="dxa"/>
            <w:vAlign w:val="bottom"/>
          </w:tcPr>
          <w:p>
            <w:pPr>
              <w:jc w:val="center"/>
              <w:spacing w:after="0"/>
              <w:rPr>
                <w:sz w:val="20"/>
                <w:szCs w:val="20"/>
                <w:color w:val="auto"/>
              </w:rPr>
            </w:pPr>
            <w:r>
              <w:rPr>
                <w:rFonts w:ascii="Verdana" w:cs="Verdana" w:eastAsia="Verdana" w:hAnsi="Verdana"/>
                <w:sz w:val="16"/>
                <w:szCs w:val="16"/>
                <w:color w:val="131313"/>
                <w:w w:val="95"/>
              </w:rPr>
              <w:t>$730,568</w:t>
            </w:r>
          </w:p>
        </w:tc>
      </w:tr>
    </w:tbl>
    <w:p>
      <w:pPr>
        <w:spacing w:after="0" w:line="20" w:lineRule="exact"/>
        <w:rPr>
          <w:sz w:val="20"/>
          <w:szCs w:val="20"/>
          <w:color w:val="auto"/>
        </w:rPr>
      </w:pPr>
    </w:p>
    <w:p>
      <w:pPr>
        <w:spacing w:after="0" w:line="254" w:lineRule="exact"/>
        <w:rPr>
          <w:sz w:val="20"/>
          <w:szCs w:val="20"/>
          <w:color w:val="auto"/>
        </w:rPr>
      </w:pPr>
    </w:p>
    <w:p>
      <w:pPr>
        <w:ind w:right="1000" w:firstLine="241"/>
        <w:spacing w:after="0" w:line="284" w:lineRule="auto"/>
        <w:rPr>
          <w:sz w:val="20"/>
          <w:szCs w:val="20"/>
          <w:color w:val="auto"/>
        </w:rPr>
      </w:pPr>
      <w:r>
        <w:rPr>
          <w:rFonts w:ascii="Calibri" w:cs="Calibri" w:eastAsia="Calibri" w:hAnsi="Calibri"/>
          <w:sz w:val="17"/>
          <w:szCs w:val="17"/>
          <w:color w:val="auto"/>
        </w:rPr>
        <w:t>Certain assets and liabilities are measured at fair value on a nonrecurring basis, including assets and liabilities acquired in a business combination, lease and well equipment inventory when the market value is determined to be lower than the cost of the inventory and other property and equipment that are reduced to fair value when they are impaired or held for sale. The Company recorded no material impairments to its lease and well equipment inventory or other property and equipment in 2025 and 2024.</w:t>
      </w:r>
    </w:p>
    <w:p>
      <w:pPr>
        <w:spacing w:after="0" w:line="204" w:lineRule="exact"/>
        <w:rPr>
          <w:sz w:val="20"/>
          <w:szCs w:val="20"/>
          <w:color w:val="auto"/>
        </w:rPr>
      </w:pPr>
    </w:p>
    <w:p>
      <w:pPr>
        <w:spacing w:after="0"/>
        <w:rPr>
          <w:sz w:val="20"/>
          <w:szCs w:val="20"/>
          <w:color w:val="auto"/>
        </w:rPr>
      </w:pPr>
      <w:r>
        <w:rPr>
          <w:rFonts w:ascii="Verdana" w:cs="Verdana" w:eastAsia="Verdana" w:hAnsi="Verdana"/>
          <w:sz w:val="20"/>
          <w:szCs w:val="20"/>
          <w:color w:val="214E93"/>
        </w:rPr>
        <w:t>NOTE 14 — COMMITMENTS AND CONTINGENCIES</w:t>
      </w:r>
    </w:p>
    <w:p>
      <w:pPr>
        <w:spacing w:after="0" w:line="213" w:lineRule="exact"/>
        <w:rPr>
          <w:sz w:val="20"/>
          <w:szCs w:val="20"/>
          <w:color w:val="auto"/>
        </w:rPr>
      </w:pPr>
    </w:p>
    <w:p>
      <w:pPr>
        <w:ind w:right="4940"/>
        <w:spacing w:after="0" w:line="422" w:lineRule="auto"/>
        <w:rPr>
          <w:sz w:val="20"/>
          <w:szCs w:val="20"/>
          <w:color w:val="auto"/>
        </w:rPr>
      </w:pPr>
      <w:r>
        <w:rPr>
          <w:rFonts w:ascii="Calibri" w:cs="Calibri" w:eastAsia="Calibri" w:hAnsi="Calibri"/>
          <w:sz w:val="19"/>
          <w:szCs w:val="19"/>
          <w:i w:val="1"/>
          <w:iCs w:val="1"/>
          <w:color w:val="214E93"/>
        </w:rPr>
        <w:t xml:space="preserve">Processing, Transportation and Produced Water Disposal Commitments </w:t>
      </w:r>
      <w:r>
        <w:rPr>
          <w:rFonts w:ascii="Calibri" w:cs="Calibri" w:eastAsia="Calibri" w:hAnsi="Calibri"/>
          <w:sz w:val="19"/>
          <w:szCs w:val="19"/>
          <w:color w:val="214E93"/>
        </w:rPr>
        <w:t>Firm Commitments</w:t>
      </w:r>
    </w:p>
    <w:p>
      <w:pPr>
        <w:spacing w:after="0" w:line="44" w:lineRule="exact"/>
        <w:rPr>
          <w:sz w:val="20"/>
          <w:szCs w:val="20"/>
          <w:color w:val="auto"/>
        </w:rPr>
      </w:pPr>
    </w:p>
    <w:p>
      <w:pPr>
        <w:ind w:right="840" w:firstLine="241"/>
        <w:spacing w:after="0" w:line="268" w:lineRule="auto"/>
        <w:rPr>
          <w:sz w:val="20"/>
          <w:szCs w:val="20"/>
          <w:color w:val="auto"/>
        </w:rPr>
      </w:pPr>
      <w:r>
        <w:rPr>
          <w:rFonts w:ascii="Calibri" w:cs="Calibri" w:eastAsia="Calibri" w:hAnsi="Calibri"/>
          <w:sz w:val="18"/>
          <w:szCs w:val="18"/>
          <w:color w:val="auto"/>
        </w:rPr>
        <w:t>From time to time, the Company enters into agreements with third parties whereby the Company commits to deliver anticipated natural gas and oil production and produced water from certain portions of its acreage for gathering, transportation, processing, fractionation, sales and disposal. The Company paid approximately $85.8 million and $68.3 million for deliveries under these agreements during the years ended December 31, 2025 and 2024, respectively. Certain of these agreements contain minimum volume commitments, including agreements with Northwind that were entered into in connection with the Pronto Transaction in 2024 (see Note 6 for additional details), as well as contracts related to firm transportation on Energy Transfer’s Hugh Brinson Pipeline. If the Company does not meet the minimum volume commitments under these agreements, it will be required to pay deficiency fees. If the Company ceased operations in the areas subject to these agreements at December 31, 2025, the total deficiencies required to be paid by the Company under these agreements would be approximately $2.32 billion.</w:t>
      </w:r>
    </w:p>
    <w:p>
      <w:pPr>
        <w:spacing w:after="0" w:line="205" w:lineRule="exact"/>
        <w:rPr>
          <w:sz w:val="20"/>
          <w:szCs w:val="20"/>
          <w:color w:val="auto"/>
        </w:rPr>
      </w:pPr>
    </w:p>
    <w:p>
      <w:pPr>
        <w:spacing w:after="0"/>
        <w:rPr>
          <w:sz w:val="20"/>
          <w:szCs w:val="20"/>
          <w:color w:val="auto"/>
        </w:rPr>
      </w:pPr>
      <w:r>
        <w:rPr>
          <w:rFonts w:ascii="Calibri" w:cs="Calibri" w:eastAsia="Calibri" w:hAnsi="Calibri"/>
          <w:sz w:val="19"/>
          <w:szCs w:val="19"/>
          <w:color w:val="214E93"/>
        </w:rPr>
        <w:t>San Mateo Commitments</w:t>
      </w:r>
    </w:p>
    <w:p>
      <w:pPr>
        <w:spacing w:after="0" w:line="208" w:lineRule="exact"/>
        <w:rPr>
          <w:sz w:val="20"/>
          <w:szCs w:val="20"/>
          <w:color w:val="auto"/>
        </w:rPr>
      </w:pPr>
    </w:p>
    <w:p>
      <w:pPr>
        <w:ind w:right="800" w:firstLine="241"/>
        <w:spacing w:after="0" w:line="269" w:lineRule="auto"/>
        <w:rPr>
          <w:sz w:val="20"/>
          <w:szCs w:val="20"/>
          <w:color w:val="auto"/>
        </w:rPr>
      </w:pPr>
      <w:r>
        <w:rPr>
          <w:rFonts w:ascii="Calibri" w:cs="Calibri" w:eastAsia="Calibri" w:hAnsi="Calibri"/>
          <w:sz w:val="18"/>
          <w:szCs w:val="18"/>
          <w:color w:val="auto"/>
        </w:rPr>
        <w:t>The Company dedicated to San Mateo its current and certain future leasehold interests in the Rustler Breaks asset area and the Wolf portion of the West Texas asset area and acreage in the southern portion of its Arrowhead asset area (the “Greater Stebbins Area”) and the Stateline asset area pursuant to 15-year, fixed-fee oil transportation, oil, natural gas and produced water gathering and produced water disposal agreements. In addition, the Company dedicated to San Mateo its current and certain future leasehold interests in the Rustler Breaks asset area and acreage in the Greater Stebbins Area and Stateline asset area pursuant to 15-year, fixed-fee natural gas processing agreements. In connection with the Pronto Transaction, the Company also dedicated to San Mateo certain of its current and future leasehold interests in the Ranger and Antelope Ridge asset areas pursuant to 15-year, fixed-fee natural gas gathering, compression, treating and processing agreements (collectively with the transportation, gathering, produced water disposal and natural gas processing agreements, the “Operational Agreements”). San Mateo provides the Company with firm service under each of the Operational Agreements in exchange for certain minimum volume commitments. See Note 6 for additional details. The remaining minimum contractual obligation under the Operational Agreements at December 31, 2025 was approximately $743.9 million.</w:t>
      </w:r>
    </w:p>
    <w:p>
      <w:pPr>
        <w:sectPr>
          <w:pgSz w:w="11880" w:h="15480" w:orient="portrait"/>
          <w:cols w:equalWidth="0" w:num="1">
            <w:col w:w="10340"/>
          </w:cols>
          <w:pgMar w:left="1160" w:top="498"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900"/>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0340"/>
          </w:cols>
          <w:pgMar w:left="1160" w:top="498" w:right="380" w:bottom="0" w:gutter="0" w:footer="0" w:header="0"/>
          <w:type w:val="continuous"/>
        </w:sectPr>
      </w:pPr>
    </w:p>
    <w:bookmarkStart w:id="169" w:name="page170"/>
    <w:bookmarkEnd w:id="169"/>
    <w:p>
      <w:pPr>
        <w:spacing w:after="0"/>
        <w:tabs>
          <w:tab w:leader="none" w:pos="800" w:val="left"/>
        </w:tabs>
        <w:rPr>
          <w:sz w:val="20"/>
          <w:szCs w:val="20"/>
          <w:color w:val="auto"/>
        </w:rPr>
      </w:pPr>
      <w:r>
        <w:rPr>
          <w:rFonts w:ascii="Calibri" w:cs="Calibri" w:eastAsia="Calibri" w:hAnsi="Calibri"/>
          <w:sz w:val="18"/>
          <w:szCs w:val="18"/>
          <w:color w:val="auto"/>
        </w:rPr>
        <w:t>F-39</w:t>
      </w:r>
      <w:r>
        <w:rPr>
          <w:sz w:val="20"/>
          <w:szCs w:val="20"/>
          <w:color w:val="auto"/>
        </w:rPr>
        <w:tab/>
      </w:r>
      <w:r>
        <w:rPr>
          <w:rFonts w:ascii="Calibri" w:cs="Calibri" w:eastAsia="Calibri" w:hAnsi="Calibri"/>
          <w:sz w:val="17"/>
          <w:szCs w:val="17"/>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490220</wp:posOffset>
                </wp:positionH>
                <wp:positionV relativeFrom="paragraph">
                  <wp:posOffset>320675</wp:posOffset>
                </wp:positionV>
                <wp:extent cx="6812280" cy="0"/>
                <wp:wrapNone/>
                <wp:docPr id="334" name="Shape 3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34" o:spid="_x0000_s13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25.25pt" to="57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490220</wp:posOffset>
                </wp:positionH>
                <wp:positionV relativeFrom="paragraph">
                  <wp:posOffset>320675</wp:posOffset>
                </wp:positionV>
                <wp:extent cx="6812280" cy="0"/>
                <wp:wrapNone/>
                <wp:docPr id="335" name="Shape 3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35" o:spid="_x0000_s13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25.25pt" to="57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80"/>
        <w:spacing w:after="0"/>
        <w:rPr>
          <w:sz w:val="20"/>
          <w:szCs w:val="20"/>
          <w:color w:val="auto"/>
        </w:rPr>
      </w:pPr>
      <w:r>
        <w:rPr>
          <w:rFonts w:ascii="Verdana" w:cs="Verdana" w:eastAsia="Verdana" w:hAnsi="Verdana"/>
          <w:sz w:val="20"/>
          <w:szCs w:val="20"/>
          <w:color w:val="214E93"/>
        </w:rPr>
        <w:t>NOTE 14 — COMMITMENTS AND CONTINGENCIES — Continued</w:t>
      </w:r>
    </w:p>
    <w:p>
      <w:pPr>
        <w:spacing w:after="0" w:line="196" w:lineRule="exact"/>
        <w:rPr>
          <w:sz w:val="20"/>
          <w:szCs w:val="20"/>
          <w:color w:val="auto"/>
        </w:rPr>
      </w:pPr>
    </w:p>
    <w:p>
      <w:pPr>
        <w:ind w:left="780"/>
        <w:spacing w:after="0"/>
        <w:rPr>
          <w:sz w:val="20"/>
          <w:szCs w:val="20"/>
          <w:color w:val="auto"/>
        </w:rPr>
      </w:pPr>
      <w:r>
        <w:rPr>
          <w:rFonts w:ascii="Calibri" w:cs="Calibri" w:eastAsia="Calibri" w:hAnsi="Calibri"/>
          <w:sz w:val="19"/>
          <w:szCs w:val="19"/>
          <w:color w:val="214E93"/>
        </w:rPr>
        <w:t>Other Commitments</w:t>
      </w:r>
    </w:p>
    <w:p>
      <w:pPr>
        <w:spacing w:after="0" w:line="208" w:lineRule="exact"/>
        <w:rPr>
          <w:sz w:val="20"/>
          <w:szCs w:val="20"/>
          <w:color w:val="auto"/>
        </w:rPr>
      </w:pPr>
    </w:p>
    <w:p>
      <w:pPr>
        <w:ind w:left="780" w:right="140" w:firstLine="241"/>
        <w:spacing w:after="0" w:line="284" w:lineRule="auto"/>
        <w:rPr>
          <w:sz w:val="20"/>
          <w:szCs w:val="20"/>
          <w:color w:val="auto"/>
        </w:rPr>
      </w:pPr>
      <w:r>
        <w:rPr>
          <w:rFonts w:ascii="Calibri" w:cs="Calibri" w:eastAsia="Calibri" w:hAnsi="Calibri"/>
          <w:sz w:val="17"/>
          <w:szCs w:val="17"/>
          <w:color w:val="auto"/>
        </w:rPr>
        <w:t>The Company does not own or operate its own drilling rigs, but instead enters into contracts with third parties for such drilling rigs. These contracts establish daily rates for the drilling rigs and the term of the Company’s commitment for the drilling services to be provided. The Company would incur a termination obligation if the Company elected to terminate a contract and if the drilling contractor were unable to secure replacement work for the contracted drilling rigs at the same daily rates being charged to the</w:t>
      </w:r>
    </w:p>
    <w:p>
      <w:pPr>
        <w:spacing w:after="0" w:line="205" w:lineRule="exact"/>
        <w:rPr>
          <w:sz w:val="20"/>
          <w:szCs w:val="20"/>
          <w:color w:val="auto"/>
        </w:rPr>
      </w:pPr>
    </w:p>
    <w:p>
      <w:pPr>
        <w:ind w:left="780" w:right="420" w:firstLine="241"/>
        <w:spacing w:after="0" w:line="252" w:lineRule="auto"/>
        <w:rPr>
          <w:sz w:val="20"/>
          <w:szCs w:val="20"/>
          <w:color w:val="auto"/>
        </w:rPr>
      </w:pPr>
      <w:r>
        <w:rPr>
          <w:rFonts w:ascii="Calibri" w:cs="Calibri" w:eastAsia="Calibri" w:hAnsi="Calibri"/>
          <w:sz w:val="18"/>
          <w:szCs w:val="18"/>
          <w:color w:val="auto"/>
        </w:rPr>
        <w:t>Company prior to the end of their respective contract terms. The Company’s undiscounted minimum outstanding aggregate termination obligations under its drilling rig contracts were approximately $22.6 million at December 31, 2025.</w:t>
      </w:r>
    </w:p>
    <w:p>
      <w:pPr>
        <w:spacing w:after="0" w:line="230" w:lineRule="exact"/>
        <w:rPr>
          <w:sz w:val="20"/>
          <w:szCs w:val="20"/>
          <w:color w:val="auto"/>
        </w:rPr>
      </w:pPr>
    </w:p>
    <w:p>
      <w:pPr>
        <w:ind w:left="780" w:right="120" w:firstLine="241"/>
        <w:spacing w:after="0" w:line="264" w:lineRule="auto"/>
        <w:rPr>
          <w:sz w:val="20"/>
          <w:szCs w:val="20"/>
          <w:color w:val="auto"/>
        </w:rPr>
      </w:pPr>
      <w:r>
        <w:rPr>
          <w:rFonts w:ascii="Calibri" w:cs="Calibri" w:eastAsia="Calibri" w:hAnsi="Calibri"/>
          <w:sz w:val="18"/>
          <w:szCs w:val="18"/>
          <w:color w:val="auto"/>
        </w:rPr>
        <w:t>At December 31, 2025, the Company had outstanding commitments to participate in the drilling and completion of various non-operated wells. If all of these wells are drilled and completed as proposed, the Company’s undiscounted minimum outstanding aggregate commitments for its participation in these non-operated wells were approximately $79.0 million at December 31, 2025. The Company expects these costs to be incurred within the next year.</w:t>
      </w:r>
    </w:p>
    <w:p>
      <w:pPr>
        <w:spacing w:after="0" w:line="207" w:lineRule="exact"/>
        <w:rPr>
          <w:sz w:val="20"/>
          <w:szCs w:val="20"/>
          <w:color w:val="auto"/>
        </w:rPr>
      </w:pPr>
    </w:p>
    <w:p>
      <w:pPr>
        <w:ind w:left="780"/>
        <w:spacing w:after="0"/>
        <w:rPr>
          <w:sz w:val="20"/>
          <w:szCs w:val="20"/>
          <w:color w:val="auto"/>
        </w:rPr>
      </w:pPr>
      <w:r>
        <w:rPr>
          <w:rFonts w:ascii="Calibri" w:cs="Calibri" w:eastAsia="Calibri" w:hAnsi="Calibri"/>
          <w:sz w:val="19"/>
          <w:szCs w:val="19"/>
          <w:i w:val="1"/>
          <w:iCs w:val="1"/>
          <w:color w:val="214E93"/>
        </w:rPr>
        <w:t>Legal Proceedings</w:t>
      </w:r>
    </w:p>
    <w:p>
      <w:pPr>
        <w:spacing w:after="0" w:line="208" w:lineRule="exact"/>
        <w:rPr>
          <w:sz w:val="20"/>
          <w:szCs w:val="20"/>
          <w:color w:val="auto"/>
        </w:rPr>
      </w:pPr>
    </w:p>
    <w:p>
      <w:pPr>
        <w:ind w:left="780" w:right="20" w:firstLine="241"/>
        <w:spacing w:after="0" w:line="261" w:lineRule="auto"/>
        <w:rPr>
          <w:sz w:val="20"/>
          <w:szCs w:val="20"/>
          <w:color w:val="auto"/>
        </w:rPr>
      </w:pPr>
      <w:r>
        <w:rPr>
          <w:rFonts w:ascii="Calibri" w:cs="Calibri" w:eastAsia="Calibri" w:hAnsi="Calibri"/>
          <w:sz w:val="18"/>
          <w:szCs w:val="18"/>
          <w:color w:val="auto"/>
        </w:rPr>
        <w:t>The Company is a party to several legal proceedings encountered in the ordinary course of its business. While the ultimate outcome and impact to the Company cannot be predicted with certainty, in the opinion of management, it is remote that these legal proceedings will have a material adverse impact on the Company’s financial condition, results of operations or cash flows.</w:t>
      </w:r>
    </w:p>
    <w:p>
      <w:pPr>
        <w:spacing w:after="0" w:line="221" w:lineRule="exact"/>
        <w:rPr>
          <w:sz w:val="20"/>
          <w:szCs w:val="20"/>
          <w:color w:val="auto"/>
        </w:rPr>
      </w:pPr>
    </w:p>
    <w:p>
      <w:pPr>
        <w:ind w:left="780"/>
        <w:spacing w:after="0"/>
        <w:rPr>
          <w:sz w:val="20"/>
          <w:szCs w:val="20"/>
          <w:color w:val="auto"/>
        </w:rPr>
      </w:pPr>
      <w:r>
        <w:rPr>
          <w:rFonts w:ascii="Verdana" w:cs="Verdana" w:eastAsia="Verdana" w:hAnsi="Verdana"/>
          <w:sz w:val="20"/>
          <w:szCs w:val="20"/>
          <w:color w:val="214E93"/>
        </w:rPr>
        <w:t>NOTE 15 — SUPPLEMENTAL DISCLOSURES</w:t>
      </w:r>
    </w:p>
    <w:p>
      <w:pPr>
        <w:spacing w:after="0" w:line="196" w:lineRule="exact"/>
        <w:rPr>
          <w:sz w:val="20"/>
          <w:szCs w:val="20"/>
          <w:color w:val="auto"/>
        </w:rPr>
      </w:pPr>
    </w:p>
    <w:p>
      <w:pPr>
        <w:ind w:left="780"/>
        <w:spacing w:after="0"/>
        <w:rPr>
          <w:sz w:val="20"/>
          <w:szCs w:val="20"/>
          <w:color w:val="auto"/>
        </w:rPr>
      </w:pPr>
      <w:r>
        <w:rPr>
          <w:rFonts w:ascii="Calibri" w:cs="Calibri" w:eastAsia="Calibri" w:hAnsi="Calibri"/>
          <w:sz w:val="19"/>
          <w:szCs w:val="19"/>
          <w:i w:val="1"/>
          <w:iCs w:val="1"/>
          <w:color w:val="214E93"/>
        </w:rPr>
        <w:t>Accounts Payable and Accrued Liabilities</w:t>
      </w:r>
    </w:p>
    <w:p>
      <w:pPr>
        <w:spacing w:after="0" w:line="208" w:lineRule="exact"/>
        <w:rPr>
          <w:sz w:val="20"/>
          <w:szCs w:val="20"/>
          <w:color w:val="auto"/>
        </w:rPr>
      </w:pPr>
    </w:p>
    <w:p>
      <w:pPr>
        <w:ind w:left="780" w:right="140" w:firstLine="241"/>
        <w:spacing w:after="0" w:line="252" w:lineRule="auto"/>
        <w:rPr>
          <w:sz w:val="20"/>
          <w:szCs w:val="20"/>
          <w:color w:val="auto"/>
        </w:rPr>
      </w:pPr>
      <w:r>
        <w:rPr>
          <w:rFonts w:ascii="Calibri" w:cs="Calibri" w:eastAsia="Calibri" w:hAnsi="Calibri"/>
          <w:sz w:val="18"/>
          <w:szCs w:val="18"/>
          <w:color w:val="auto"/>
        </w:rPr>
        <w:t>The following table summarizes the Company’s current accounts payable and accrued liabilities at December 31, 2025 and 2024 (in thousands).</w:t>
      </w:r>
    </w:p>
    <w:p>
      <w:pPr>
        <w:spacing w:after="0" w:line="247" w:lineRule="exact"/>
        <w:rPr>
          <w:sz w:val="20"/>
          <w:szCs w:val="20"/>
          <w:color w:val="auto"/>
        </w:rPr>
      </w:pPr>
    </w:p>
    <w:tbl>
      <w:tblPr>
        <w:tblLayout w:type="fixed"/>
        <w:tblInd w:w="780" w:type="dxa"/>
        <w:tblCellMar>
          <w:top w:w="0" w:type="dxa"/>
          <w:left w:w="0" w:type="dxa"/>
          <w:bottom w:w="0" w:type="dxa"/>
          <w:right w:w="0" w:type="dxa"/>
        </w:tblCellMar>
      </w:tblPr>
      <w:tr>
        <w:trPr>
          <w:trHeight w:val="193"/>
        </w:trPr>
        <w:tc>
          <w:tcPr>
            <w:tcW w:w="7740" w:type="dxa"/>
            <w:vAlign w:val="bottom"/>
          </w:tcPr>
          <w:p>
            <w:pPr>
              <w:spacing w:after="0"/>
              <w:rPr>
                <w:sz w:val="16"/>
                <w:szCs w:val="16"/>
                <w:color w:val="auto"/>
              </w:rPr>
            </w:pPr>
          </w:p>
        </w:tc>
        <w:tc>
          <w:tcPr>
            <w:tcW w:w="1820" w:type="dxa"/>
            <w:vAlign w:val="bottom"/>
            <w:tcBorders>
              <w:bottom w:val="single" w:sz="8" w:color="214E93"/>
            </w:tcBorders>
            <w:gridSpan w:val="2"/>
          </w:tcPr>
          <w:p>
            <w:pPr>
              <w:jc w:val="right"/>
              <w:ind w:right="342"/>
              <w:spacing w:after="0"/>
              <w:rPr>
                <w:sz w:val="20"/>
                <w:szCs w:val="20"/>
                <w:color w:val="auto"/>
              </w:rPr>
            </w:pPr>
            <w:r>
              <w:rPr>
                <w:rFonts w:ascii="Verdana" w:cs="Verdana" w:eastAsia="Verdana" w:hAnsi="Verdana"/>
                <w:sz w:val="14"/>
                <w:szCs w:val="14"/>
                <w:color w:val="auto"/>
              </w:rPr>
              <w:t>December 31,</w:t>
            </w:r>
          </w:p>
        </w:tc>
      </w:tr>
      <w:tr>
        <w:trPr>
          <w:trHeight w:val="260"/>
        </w:trPr>
        <w:tc>
          <w:tcPr>
            <w:tcW w:w="7740" w:type="dxa"/>
            <w:vAlign w:val="bottom"/>
            <w:tcBorders>
              <w:bottom w:val="single" w:sz="8" w:color="214E93"/>
            </w:tcBorders>
          </w:tcPr>
          <w:p>
            <w:pPr>
              <w:spacing w:after="0"/>
              <w:rPr>
                <w:sz w:val="22"/>
                <w:szCs w:val="22"/>
                <w:color w:val="auto"/>
              </w:rPr>
            </w:pPr>
          </w:p>
        </w:tc>
        <w:tc>
          <w:tcPr>
            <w:tcW w:w="900" w:type="dxa"/>
            <w:vAlign w:val="bottom"/>
            <w:tcBorders>
              <w:bottom w:val="single" w:sz="8" w:color="214E93"/>
            </w:tcBorders>
          </w:tcPr>
          <w:p>
            <w:pPr>
              <w:jc w:val="right"/>
              <w:ind w:right="203"/>
              <w:spacing w:after="0"/>
              <w:rPr>
                <w:sz w:val="20"/>
                <w:szCs w:val="20"/>
                <w:color w:val="auto"/>
              </w:rPr>
            </w:pPr>
            <w:r>
              <w:rPr>
                <w:rFonts w:ascii="Verdana" w:cs="Verdana" w:eastAsia="Verdana" w:hAnsi="Verdana"/>
                <w:sz w:val="14"/>
                <w:szCs w:val="14"/>
                <w:color w:val="214E93"/>
              </w:rPr>
              <w:t>2025</w:t>
            </w:r>
          </w:p>
        </w:tc>
        <w:tc>
          <w:tcPr>
            <w:tcW w:w="920" w:type="dxa"/>
            <w:vAlign w:val="bottom"/>
            <w:tcBorders>
              <w:bottom w:val="single" w:sz="8" w:color="214E93"/>
            </w:tcBorders>
          </w:tcPr>
          <w:p>
            <w:pPr>
              <w:jc w:val="right"/>
              <w:ind w:right="182"/>
              <w:spacing w:after="0"/>
              <w:rPr>
                <w:sz w:val="20"/>
                <w:szCs w:val="20"/>
                <w:color w:val="auto"/>
              </w:rPr>
            </w:pPr>
            <w:r>
              <w:rPr>
                <w:rFonts w:ascii="Verdana" w:cs="Verdana" w:eastAsia="Verdana" w:hAnsi="Verdana"/>
                <w:sz w:val="14"/>
                <w:szCs w:val="14"/>
                <w:color w:val="auto"/>
              </w:rPr>
              <w:t>2024</w:t>
            </w:r>
          </w:p>
        </w:tc>
      </w:tr>
      <w:tr>
        <w:trPr>
          <w:trHeight w:val="254"/>
        </w:trPr>
        <w:tc>
          <w:tcPr>
            <w:tcW w:w="7740" w:type="dxa"/>
            <w:vAlign w:val="bottom"/>
          </w:tcPr>
          <w:p>
            <w:pPr>
              <w:ind w:left="40"/>
              <w:spacing w:after="0"/>
              <w:rPr>
                <w:sz w:val="20"/>
                <w:szCs w:val="20"/>
                <w:color w:val="auto"/>
              </w:rPr>
            </w:pPr>
            <w:r>
              <w:rPr>
                <w:rFonts w:ascii="Verdana" w:cs="Verdana" w:eastAsia="Verdana" w:hAnsi="Verdana"/>
                <w:sz w:val="16"/>
                <w:szCs w:val="16"/>
                <w:color w:val="auto"/>
              </w:rPr>
              <w:t>Accounts payable</w:t>
            </w:r>
          </w:p>
        </w:tc>
        <w:tc>
          <w:tcPr>
            <w:tcW w:w="900" w:type="dxa"/>
            <w:vAlign w:val="bottom"/>
          </w:tcPr>
          <w:p>
            <w:pPr>
              <w:jc w:val="right"/>
              <w:ind w:right="3"/>
              <w:spacing w:after="0"/>
              <w:rPr>
                <w:sz w:val="20"/>
                <w:szCs w:val="20"/>
                <w:color w:val="auto"/>
              </w:rPr>
            </w:pPr>
            <w:r>
              <w:rPr>
                <w:rFonts w:ascii="Verdana" w:cs="Verdana" w:eastAsia="Verdana" w:hAnsi="Verdana"/>
                <w:sz w:val="16"/>
                <w:szCs w:val="16"/>
                <w:color w:val="214E93"/>
              </w:rPr>
              <w:t>$179,337</w:t>
            </w:r>
          </w:p>
        </w:tc>
        <w:tc>
          <w:tcPr>
            <w:tcW w:w="920" w:type="dxa"/>
            <w:vAlign w:val="bottom"/>
          </w:tcPr>
          <w:p>
            <w:pPr>
              <w:jc w:val="right"/>
              <w:spacing w:after="0"/>
              <w:rPr>
                <w:sz w:val="20"/>
                <w:szCs w:val="20"/>
                <w:color w:val="auto"/>
              </w:rPr>
            </w:pPr>
            <w:r>
              <w:rPr>
                <w:rFonts w:ascii="Verdana" w:cs="Verdana" w:eastAsia="Verdana" w:hAnsi="Verdana"/>
                <w:sz w:val="16"/>
                <w:szCs w:val="16"/>
                <w:color w:val="auto"/>
              </w:rPr>
              <w:t>$147,139</w:t>
            </w:r>
          </w:p>
        </w:tc>
      </w:tr>
      <w:tr>
        <w:trPr>
          <w:trHeight w:val="280"/>
        </w:trPr>
        <w:tc>
          <w:tcPr>
            <w:tcW w:w="7740" w:type="dxa"/>
            <w:vAlign w:val="bottom"/>
          </w:tcPr>
          <w:p>
            <w:pPr>
              <w:ind w:left="40"/>
              <w:spacing w:after="0"/>
              <w:rPr>
                <w:sz w:val="20"/>
                <w:szCs w:val="20"/>
                <w:color w:val="auto"/>
              </w:rPr>
            </w:pPr>
            <w:r>
              <w:rPr>
                <w:rFonts w:ascii="Verdana" w:cs="Verdana" w:eastAsia="Verdana" w:hAnsi="Verdana"/>
                <w:sz w:val="16"/>
                <w:szCs w:val="16"/>
                <w:color w:val="auto"/>
              </w:rPr>
              <w:t>Accrued evaluated and unproved and unevaluated property costs</w:t>
            </w:r>
          </w:p>
        </w:tc>
        <w:tc>
          <w:tcPr>
            <w:tcW w:w="900" w:type="dxa"/>
            <w:vAlign w:val="bottom"/>
          </w:tcPr>
          <w:p>
            <w:pPr>
              <w:jc w:val="right"/>
              <w:ind w:right="23"/>
              <w:spacing w:after="0"/>
              <w:rPr>
                <w:sz w:val="20"/>
                <w:szCs w:val="20"/>
                <w:color w:val="auto"/>
              </w:rPr>
            </w:pPr>
            <w:r>
              <w:rPr>
                <w:rFonts w:ascii="Verdana" w:cs="Verdana" w:eastAsia="Verdana" w:hAnsi="Verdana"/>
                <w:sz w:val="16"/>
                <w:szCs w:val="16"/>
                <w:color w:val="214E93"/>
              </w:rPr>
              <w:t>151,680</w:t>
            </w:r>
          </w:p>
        </w:tc>
        <w:tc>
          <w:tcPr>
            <w:tcW w:w="920" w:type="dxa"/>
            <w:vAlign w:val="bottom"/>
          </w:tcPr>
          <w:p>
            <w:pPr>
              <w:jc w:val="right"/>
              <w:ind w:right="2"/>
              <w:spacing w:after="0"/>
              <w:rPr>
                <w:sz w:val="20"/>
                <w:szCs w:val="20"/>
                <w:color w:val="auto"/>
              </w:rPr>
            </w:pPr>
            <w:r>
              <w:rPr>
                <w:rFonts w:ascii="Verdana" w:cs="Verdana" w:eastAsia="Verdana" w:hAnsi="Verdana"/>
                <w:sz w:val="16"/>
                <w:szCs w:val="16"/>
                <w:color w:val="auto"/>
              </w:rPr>
              <w:t>197,817</w:t>
            </w:r>
          </w:p>
        </w:tc>
      </w:tr>
      <w:tr>
        <w:trPr>
          <w:trHeight w:val="280"/>
        </w:trPr>
        <w:tc>
          <w:tcPr>
            <w:tcW w:w="7740" w:type="dxa"/>
            <w:vAlign w:val="bottom"/>
          </w:tcPr>
          <w:p>
            <w:pPr>
              <w:ind w:left="40"/>
              <w:spacing w:after="0"/>
              <w:rPr>
                <w:sz w:val="20"/>
                <w:szCs w:val="20"/>
                <w:color w:val="auto"/>
              </w:rPr>
            </w:pPr>
            <w:r>
              <w:rPr>
                <w:rFonts w:ascii="Verdana" w:cs="Verdana" w:eastAsia="Verdana" w:hAnsi="Verdana"/>
                <w:sz w:val="16"/>
                <w:szCs w:val="16"/>
                <w:color w:val="auto"/>
              </w:rPr>
              <w:t>Accrued lease operating expenses</w:t>
            </w:r>
          </w:p>
        </w:tc>
        <w:tc>
          <w:tcPr>
            <w:tcW w:w="900" w:type="dxa"/>
            <w:vAlign w:val="bottom"/>
          </w:tcPr>
          <w:p>
            <w:pPr>
              <w:jc w:val="right"/>
              <w:ind w:right="23"/>
              <w:spacing w:after="0"/>
              <w:rPr>
                <w:sz w:val="20"/>
                <w:szCs w:val="20"/>
                <w:color w:val="auto"/>
              </w:rPr>
            </w:pPr>
            <w:r>
              <w:rPr>
                <w:rFonts w:ascii="Verdana" w:cs="Verdana" w:eastAsia="Verdana" w:hAnsi="Verdana"/>
                <w:sz w:val="16"/>
                <w:szCs w:val="16"/>
                <w:color w:val="214E93"/>
              </w:rPr>
              <w:t>85,009</w:t>
            </w:r>
          </w:p>
        </w:tc>
        <w:tc>
          <w:tcPr>
            <w:tcW w:w="920" w:type="dxa"/>
            <w:vAlign w:val="bottom"/>
          </w:tcPr>
          <w:p>
            <w:pPr>
              <w:jc w:val="right"/>
              <w:ind w:right="2"/>
              <w:spacing w:after="0"/>
              <w:rPr>
                <w:sz w:val="20"/>
                <w:szCs w:val="20"/>
                <w:color w:val="auto"/>
              </w:rPr>
            </w:pPr>
            <w:r>
              <w:rPr>
                <w:rFonts w:ascii="Verdana" w:cs="Verdana" w:eastAsia="Verdana" w:hAnsi="Verdana"/>
                <w:sz w:val="16"/>
                <w:szCs w:val="16"/>
                <w:color w:val="auto"/>
              </w:rPr>
              <w:t>92,364</w:t>
            </w:r>
          </w:p>
        </w:tc>
      </w:tr>
      <w:tr>
        <w:trPr>
          <w:trHeight w:val="280"/>
        </w:trPr>
        <w:tc>
          <w:tcPr>
            <w:tcW w:w="7740" w:type="dxa"/>
            <w:vAlign w:val="bottom"/>
          </w:tcPr>
          <w:p>
            <w:pPr>
              <w:ind w:left="40"/>
              <w:spacing w:after="0"/>
              <w:rPr>
                <w:sz w:val="20"/>
                <w:szCs w:val="20"/>
                <w:color w:val="auto"/>
              </w:rPr>
            </w:pPr>
            <w:r>
              <w:rPr>
                <w:rFonts w:ascii="Verdana" w:cs="Verdana" w:eastAsia="Verdana" w:hAnsi="Verdana"/>
                <w:sz w:val="16"/>
                <w:szCs w:val="16"/>
                <w:color w:val="auto"/>
              </w:rPr>
              <w:t>Accrued compensation and benefits</w:t>
            </w:r>
          </w:p>
        </w:tc>
        <w:tc>
          <w:tcPr>
            <w:tcW w:w="900" w:type="dxa"/>
            <w:vAlign w:val="bottom"/>
          </w:tcPr>
          <w:p>
            <w:pPr>
              <w:jc w:val="right"/>
              <w:ind w:right="23"/>
              <w:spacing w:after="0"/>
              <w:rPr>
                <w:sz w:val="20"/>
                <w:szCs w:val="20"/>
                <w:color w:val="auto"/>
              </w:rPr>
            </w:pPr>
            <w:r>
              <w:rPr>
                <w:rFonts w:ascii="Verdana" w:cs="Verdana" w:eastAsia="Verdana" w:hAnsi="Verdana"/>
                <w:sz w:val="16"/>
                <w:szCs w:val="16"/>
                <w:color w:val="214E93"/>
              </w:rPr>
              <w:t>33,162</w:t>
            </w:r>
          </w:p>
        </w:tc>
        <w:tc>
          <w:tcPr>
            <w:tcW w:w="920" w:type="dxa"/>
            <w:vAlign w:val="bottom"/>
          </w:tcPr>
          <w:p>
            <w:pPr>
              <w:jc w:val="right"/>
              <w:ind w:right="2"/>
              <w:spacing w:after="0"/>
              <w:rPr>
                <w:sz w:val="20"/>
                <w:szCs w:val="20"/>
                <w:color w:val="auto"/>
              </w:rPr>
            </w:pPr>
            <w:r>
              <w:rPr>
                <w:rFonts w:ascii="Verdana" w:cs="Verdana" w:eastAsia="Verdana" w:hAnsi="Verdana"/>
                <w:sz w:val="16"/>
                <w:szCs w:val="16"/>
                <w:color w:val="auto"/>
              </w:rPr>
              <w:t>30,544</w:t>
            </w:r>
          </w:p>
        </w:tc>
      </w:tr>
      <w:tr>
        <w:trPr>
          <w:trHeight w:val="280"/>
        </w:trPr>
        <w:tc>
          <w:tcPr>
            <w:tcW w:w="7740" w:type="dxa"/>
            <w:vAlign w:val="bottom"/>
          </w:tcPr>
          <w:p>
            <w:pPr>
              <w:ind w:left="40"/>
              <w:spacing w:after="0"/>
              <w:rPr>
                <w:sz w:val="20"/>
                <w:szCs w:val="20"/>
                <w:color w:val="auto"/>
              </w:rPr>
            </w:pPr>
            <w:r>
              <w:rPr>
                <w:rFonts w:ascii="Verdana" w:cs="Verdana" w:eastAsia="Verdana" w:hAnsi="Verdana"/>
                <w:sz w:val="16"/>
                <w:szCs w:val="16"/>
                <w:color w:val="auto"/>
              </w:rPr>
              <w:t>Accrued interest on debt</w:t>
            </w:r>
          </w:p>
        </w:tc>
        <w:tc>
          <w:tcPr>
            <w:tcW w:w="900" w:type="dxa"/>
            <w:vAlign w:val="bottom"/>
          </w:tcPr>
          <w:p>
            <w:pPr>
              <w:jc w:val="right"/>
              <w:ind w:right="23"/>
              <w:spacing w:after="0"/>
              <w:rPr>
                <w:sz w:val="20"/>
                <w:szCs w:val="20"/>
                <w:color w:val="auto"/>
              </w:rPr>
            </w:pPr>
            <w:r>
              <w:rPr>
                <w:rFonts w:ascii="Verdana" w:cs="Verdana" w:eastAsia="Verdana" w:hAnsi="Verdana"/>
                <w:sz w:val="16"/>
                <w:szCs w:val="16"/>
                <w:color w:val="214E93"/>
              </w:rPr>
              <w:t>32,157</w:t>
            </w:r>
          </w:p>
        </w:tc>
        <w:tc>
          <w:tcPr>
            <w:tcW w:w="920" w:type="dxa"/>
            <w:vAlign w:val="bottom"/>
          </w:tcPr>
          <w:p>
            <w:pPr>
              <w:jc w:val="right"/>
              <w:ind w:right="2"/>
              <w:spacing w:after="0"/>
              <w:rPr>
                <w:sz w:val="20"/>
                <w:szCs w:val="20"/>
                <w:color w:val="auto"/>
              </w:rPr>
            </w:pPr>
            <w:r>
              <w:rPr>
                <w:rFonts w:ascii="Verdana" w:cs="Verdana" w:eastAsia="Verdana" w:hAnsi="Verdana"/>
                <w:sz w:val="16"/>
                <w:szCs w:val="16"/>
                <w:color w:val="auto"/>
              </w:rPr>
              <w:t>34,769</w:t>
            </w:r>
          </w:p>
        </w:tc>
      </w:tr>
      <w:tr>
        <w:trPr>
          <w:trHeight w:val="280"/>
        </w:trPr>
        <w:tc>
          <w:tcPr>
            <w:tcW w:w="7740" w:type="dxa"/>
            <w:vAlign w:val="bottom"/>
          </w:tcPr>
          <w:p>
            <w:pPr>
              <w:ind w:left="40"/>
              <w:spacing w:after="0"/>
              <w:rPr>
                <w:sz w:val="20"/>
                <w:szCs w:val="20"/>
                <w:color w:val="auto"/>
              </w:rPr>
            </w:pPr>
            <w:r>
              <w:rPr>
                <w:rFonts w:ascii="Verdana" w:cs="Verdana" w:eastAsia="Verdana" w:hAnsi="Verdana"/>
                <w:sz w:val="16"/>
                <w:szCs w:val="16"/>
                <w:color w:val="auto"/>
              </w:rPr>
              <w:t>Accrued partners’ share of joint interest charges</w:t>
            </w:r>
          </w:p>
        </w:tc>
        <w:tc>
          <w:tcPr>
            <w:tcW w:w="900" w:type="dxa"/>
            <w:vAlign w:val="bottom"/>
          </w:tcPr>
          <w:p>
            <w:pPr>
              <w:jc w:val="right"/>
              <w:ind w:right="23"/>
              <w:spacing w:after="0"/>
              <w:rPr>
                <w:sz w:val="20"/>
                <w:szCs w:val="20"/>
                <w:color w:val="auto"/>
              </w:rPr>
            </w:pPr>
            <w:r>
              <w:rPr>
                <w:rFonts w:ascii="Verdana" w:cs="Verdana" w:eastAsia="Verdana" w:hAnsi="Verdana"/>
                <w:sz w:val="16"/>
                <w:szCs w:val="16"/>
                <w:color w:val="214E93"/>
              </w:rPr>
              <w:t>24,427</w:t>
            </w:r>
          </w:p>
        </w:tc>
        <w:tc>
          <w:tcPr>
            <w:tcW w:w="920" w:type="dxa"/>
            <w:vAlign w:val="bottom"/>
          </w:tcPr>
          <w:p>
            <w:pPr>
              <w:jc w:val="right"/>
              <w:ind w:right="2"/>
              <w:spacing w:after="0"/>
              <w:rPr>
                <w:sz w:val="20"/>
                <w:szCs w:val="20"/>
                <w:color w:val="auto"/>
              </w:rPr>
            </w:pPr>
            <w:r>
              <w:rPr>
                <w:rFonts w:ascii="Verdana" w:cs="Verdana" w:eastAsia="Verdana" w:hAnsi="Verdana"/>
                <w:sz w:val="16"/>
                <w:szCs w:val="16"/>
                <w:color w:val="auto"/>
              </w:rPr>
              <w:t>41,614</w:t>
            </w:r>
          </w:p>
        </w:tc>
      </w:tr>
      <w:tr>
        <w:trPr>
          <w:trHeight w:val="280"/>
        </w:trPr>
        <w:tc>
          <w:tcPr>
            <w:tcW w:w="7740" w:type="dxa"/>
            <w:vAlign w:val="bottom"/>
          </w:tcPr>
          <w:p>
            <w:pPr>
              <w:ind w:left="40"/>
              <w:spacing w:after="0"/>
              <w:rPr>
                <w:sz w:val="20"/>
                <w:szCs w:val="20"/>
                <w:color w:val="auto"/>
              </w:rPr>
            </w:pPr>
            <w:r>
              <w:rPr>
                <w:rFonts w:ascii="Verdana" w:cs="Verdana" w:eastAsia="Verdana" w:hAnsi="Verdana"/>
                <w:sz w:val="16"/>
                <w:szCs w:val="16"/>
                <w:color w:val="auto"/>
              </w:rPr>
              <w:t>Accrued payable related to purchased natural gas</w:t>
            </w:r>
          </w:p>
        </w:tc>
        <w:tc>
          <w:tcPr>
            <w:tcW w:w="900" w:type="dxa"/>
            <w:vAlign w:val="bottom"/>
          </w:tcPr>
          <w:p>
            <w:pPr>
              <w:jc w:val="right"/>
              <w:ind w:right="23"/>
              <w:spacing w:after="0"/>
              <w:rPr>
                <w:sz w:val="20"/>
                <w:szCs w:val="20"/>
                <w:color w:val="auto"/>
              </w:rPr>
            </w:pPr>
            <w:r>
              <w:rPr>
                <w:rFonts w:ascii="Verdana" w:cs="Verdana" w:eastAsia="Verdana" w:hAnsi="Verdana"/>
                <w:sz w:val="16"/>
                <w:szCs w:val="16"/>
                <w:color w:val="214E93"/>
              </w:rPr>
              <w:t>10,530</w:t>
            </w:r>
          </w:p>
        </w:tc>
        <w:tc>
          <w:tcPr>
            <w:tcW w:w="920" w:type="dxa"/>
            <w:vAlign w:val="bottom"/>
          </w:tcPr>
          <w:p>
            <w:pPr>
              <w:jc w:val="right"/>
              <w:ind w:right="2"/>
              <w:spacing w:after="0"/>
              <w:rPr>
                <w:sz w:val="20"/>
                <w:szCs w:val="20"/>
                <w:color w:val="auto"/>
              </w:rPr>
            </w:pPr>
            <w:r>
              <w:rPr>
                <w:rFonts w:ascii="Verdana" w:cs="Verdana" w:eastAsia="Verdana" w:hAnsi="Verdana"/>
                <w:sz w:val="16"/>
                <w:szCs w:val="16"/>
                <w:color w:val="auto"/>
              </w:rPr>
              <w:t>9,063</w:t>
            </w:r>
          </w:p>
        </w:tc>
      </w:tr>
      <w:tr>
        <w:trPr>
          <w:trHeight w:val="280"/>
        </w:trPr>
        <w:tc>
          <w:tcPr>
            <w:tcW w:w="7740" w:type="dxa"/>
            <w:vAlign w:val="bottom"/>
          </w:tcPr>
          <w:p>
            <w:pPr>
              <w:ind w:left="40"/>
              <w:spacing w:after="0"/>
              <w:rPr>
                <w:sz w:val="20"/>
                <w:szCs w:val="20"/>
                <w:color w:val="auto"/>
              </w:rPr>
            </w:pPr>
            <w:r>
              <w:rPr>
                <w:rFonts w:ascii="Verdana" w:cs="Verdana" w:eastAsia="Verdana" w:hAnsi="Verdana"/>
                <w:sz w:val="16"/>
                <w:szCs w:val="16"/>
                <w:color w:val="auto"/>
              </w:rPr>
              <w:t>Accrued midstream properties costs</w:t>
            </w:r>
          </w:p>
        </w:tc>
        <w:tc>
          <w:tcPr>
            <w:tcW w:w="900" w:type="dxa"/>
            <w:vAlign w:val="bottom"/>
          </w:tcPr>
          <w:p>
            <w:pPr>
              <w:jc w:val="right"/>
              <w:ind w:right="23"/>
              <w:spacing w:after="0"/>
              <w:rPr>
                <w:sz w:val="20"/>
                <w:szCs w:val="20"/>
                <w:color w:val="auto"/>
              </w:rPr>
            </w:pPr>
            <w:r>
              <w:rPr>
                <w:rFonts w:ascii="Verdana" w:cs="Verdana" w:eastAsia="Verdana" w:hAnsi="Verdana"/>
                <w:sz w:val="16"/>
                <w:szCs w:val="16"/>
                <w:color w:val="214E93"/>
              </w:rPr>
              <w:t>7,648</w:t>
            </w:r>
          </w:p>
        </w:tc>
        <w:tc>
          <w:tcPr>
            <w:tcW w:w="920" w:type="dxa"/>
            <w:vAlign w:val="bottom"/>
          </w:tcPr>
          <w:p>
            <w:pPr>
              <w:jc w:val="right"/>
              <w:ind w:right="2"/>
              <w:spacing w:after="0"/>
              <w:rPr>
                <w:sz w:val="20"/>
                <w:szCs w:val="20"/>
                <w:color w:val="auto"/>
              </w:rPr>
            </w:pPr>
            <w:r>
              <w:rPr>
                <w:rFonts w:ascii="Verdana" w:cs="Verdana" w:eastAsia="Verdana" w:hAnsi="Verdana"/>
                <w:sz w:val="16"/>
                <w:szCs w:val="16"/>
                <w:color w:val="auto"/>
              </w:rPr>
              <w:t>31,595</w:t>
            </w:r>
          </w:p>
        </w:tc>
      </w:tr>
      <w:tr>
        <w:trPr>
          <w:trHeight w:val="280"/>
        </w:trPr>
        <w:tc>
          <w:tcPr>
            <w:tcW w:w="7740" w:type="dxa"/>
            <w:vAlign w:val="bottom"/>
          </w:tcPr>
          <w:p>
            <w:pPr>
              <w:ind w:left="40"/>
              <w:spacing w:after="0"/>
              <w:rPr>
                <w:sz w:val="20"/>
                <w:szCs w:val="20"/>
                <w:color w:val="auto"/>
              </w:rPr>
            </w:pPr>
            <w:r>
              <w:rPr>
                <w:rFonts w:ascii="Verdana" w:cs="Verdana" w:eastAsia="Verdana" w:hAnsi="Verdana"/>
                <w:sz w:val="16"/>
                <w:szCs w:val="16"/>
                <w:color w:val="auto"/>
              </w:rPr>
              <w:t>Accrued asset retirement obligations</w:t>
            </w:r>
          </w:p>
        </w:tc>
        <w:tc>
          <w:tcPr>
            <w:tcW w:w="900" w:type="dxa"/>
            <w:vAlign w:val="bottom"/>
          </w:tcPr>
          <w:p>
            <w:pPr>
              <w:jc w:val="right"/>
              <w:ind w:right="23"/>
              <w:spacing w:after="0"/>
              <w:rPr>
                <w:sz w:val="20"/>
                <w:szCs w:val="20"/>
                <w:color w:val="auto"/>
              </w:rPr>
            </w:pPr>
            <w:r>
              <w:rPr>
                <w:rFonts w:ascii="Verdana" w:cs="Verdana" w:eastAsia="Verdana" w:hAnsi="Verdana"/>
                <w:sz w:val="16"/>
                <w:szCs w:val="16"/>
                <w:color w:val="214E93"/>
              </w:rPr>
              <w:t>6,309</w:t>
            </w:r>
          </w:p>
        </w:tc>
        <w:tc>
          <w:tcPr>
            <w:tcW w:w="920" w:type="dxa"/>
            <w:vAlign w:val="bottom"/>
          </w:tcPr>
          <w:p>
            <w:pPr>
              <w:jc w:val="right"/>
              <w:ind w:right="2"/>
              <w:spacing w:after="0"/>
              <w:rPr>
                <w:sz w:val="20"/>
                <w:szCs w:val="20"/>
                <w:color w:val="auto"/>
              </w:rPr>
            </w:pPr>
            <w:r>
              <w:rPr>
                <w:rFonts w:ascii="Verdana" w:cs="Verdana" w:eastAsia="Verdana" w:hAnsi="Verdana"/>
                <w:sz w:val="16"/>
                <w:szCs w:val="16"/>
                <w:color w:val="auto"/>
              </w:rPr>
              <w:t>8,431</w:t>
            </w:r>
          </w:p>
        </w:tc>
      </w:tr>
      <w:tr>
        <w:trPr>
          <w:trHeight w:val="286"/>
        </w:trPr>
        <w:tc>
          <w:tcPr>
            <w:tcW w:w="774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Other</w:t>
            </w:r>
          </w:p>
        </w:tc>
        <w:tc>
          <w:tcPr>
            <w:tcW w:w="900" w:type="dxa"/>
            <w:vAlign w:val="bottom"/>
            <w:tcBorders>
              <w:bottom w:val="single" w:sz="8" w:color="auto"/>
            </w:tcBorders>
          </w:tcPr>
          <w:p>
            <w:pPr>
              <w:jc w:val="right"/>
              <w:ind w:right="23"/>
              <w:spacing w:after="0"/>
              <w:rPr>
                <w:sz w:val="20"/>
                <w:szCs w:val="20"/>
                <w:color w:val="auto"/>
              </w:rPr>
            </w:pPr>
            <w:r>
              <w:rPr>
                <w:rFonts w:ascii="Verdana" w:cs="Verdana" w:eastAsia="Verdana" w:hAnsi="Verdana"/>
                <w:sz w:val="16"/>
                <w:szCs w:val="16"/>
                <w:color w:val="214E93"/>
              </w:rPr>
              <w:t>10,361</w:t>
            </w:r>
          </w:p>
        </w:tc>
        <w:tc>
          <w:tcPr>
            <w:tcW w:w="92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auto"/>
              </w:rPr>
              <w:t>25,831</w:t>
            </w:r>
          </w:p>
        </w:tc>
      </w:tr>
      <w:tr>
        <w:trPr>
          <w:trHeight w:val="261"/>
        </w:trPr>
        <w:tc>
          <w:tcPr>
            <w:tcW w:w="7740" w:type="dxa"/>
            <w:vAlign w:val="bottom"/>
            <w:tcBorders>
              <w:bottom w:val="single" w:sz="8" w:color="214E93"/>
            </w:tcBorders>
          </w:tcPr>
          <w:p>
            <w:pPr>
              <w:ind w:left="160"/>
              <w:spacing w:after="0"/>
              <w:rPr>
                <w:sz w:val="20"/>
                <w:szCs w:val="20"/>
                <w:color w:val="auto"/>
              </w:rPr>
            </w:pPr>
            <w:r>
              <w:rPr>
                <w:rFonts w:ascii="Verdana" w:cs="Verdana" w:eastAsia="Verdana" w:hAnsi="Verdana"/>
                <w:sz w:val="16"/>
                <w:szCs w:val="16"/>
                <w:color w:val="auto"/>
              </w:rPr>
              <w:t>Total accounts payable and accrued liabilities</w:t>
            </w:r>
          </w:p>
        </w:tc>
        <w:tc>
          <w:tcPr>
            <w:tcW w:w="900" w:type="dxa"/>
            <w:vAlign w:val="bottom"/>
            <w:tcBorders>
              <w:bottom w:val="single" w:sz="8" w:color="214E93"/>
            </w:tcBorders>
          </w:tcPr>
          <w:p>
            <w:pPr>
              <w:jc w:val="right"/>
              <w:ind w:right="3"/>
              <w:spacing w:after="0"/>
              <w:rPr>
                <w:sz w:val="20"/>
                <w:szCs w:val="20"/>
                <w:color w:val="auto"/>
              </w:rPr>
            </w:pPr>
            <w:r>
              <w:rPr>
                <w:rFonts w:ascii="Verdana" w:cs="Verdana" w:eastAsia="Verdana" w:hAnsi="Verdana"/>
                <w:sz w:val="16"/>
                <w:szCs w:val="16"/>
                <w:color w:val="214E93"/>
              </w:rPr>
              <w:t>$540,620</w:t>
            </w:r>
          </w:p>
        </w:tc>
        <w:tc>
          <w:tcPr>
            <w:tcW w:w="92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$619,167</w:t>
            </w:r>
          </w:p>
        </w:tc>
      </w:tr>
    </w:tbl>
    <w:p>
      <w:pPr>
        <w:spacing w:after="0" w:line="20" w:lineRule="exact"/>
        <w:rPr>
          <w:sz w:val="20"/>
          <w:szCs w:val="20"/>
          <w:color w:val="auto"/>
        </w:rPr>
      </w:pPr>
    </w:p>
    <w:p>
      <w:pPr>
        <w:spacing w:after="0" w:line="214" w:lineRule="exact"/>
        <w:rPr>
          <w:sz w:val="20"/>
          <w:szCs w:val="20"/>
          <w:color w:val="auto"/>
        </w:rPr>
      </w:pPr>
    </w:p>
    <w:p>
      <w:pPr>
        <w:ind w:left="780"/>
        <w:spacing w:after="0"/>
        <w:rPr>
          <w:sz w:val="20"/>
          <w:szCs w:val="20"/>
          <w:color w:val="auto"/>
        </w:rPr>
      </w:pPr>
      <w:r>
        <w:rPr>
          <w:rFonts w:ascii="Calibri" w:cs="Calibri" w:eastAsia="Calibri" w:hAnsi="Calibri"/>
          <w:sz w:val="19"/>
          <w:szCs w:val="19"/>
          <w:i w:val="1"/>
          <w:iCs w:val="1"/>
          <w:color w:val="214E93"/>
        </w:rPr>
        <w:t>Supplemental Cash Flow Information</w:t>
      </w:r>
    </w:p>
    <w:p>
      <w:pPr>
        <w:spacing w:after="0" w:line="208" w:lineRule="exact"/>
        <w:rPr>
          <w:sz w:val="20"/>
          <w:szCs w:val="20"/>
          <w:color w:val="auto"/>
        </w:rPr>
      </w:pPr>
    </w:p>
    <w:p>
      <w:pPr>
        <w:ind w:left="780" w:right="300" w:firstLine="241"/>
        <w:spacing w:after="0" w:line="252" w:lineRule="auto"/>
        <w:rPr>
          <w:sz w:val="20"/>
          <w:szCs w:val="20"/>
          <w:color w:val="auto"/>
        </w:rPr>
      </w:pPr>
      <w:r>
        <w:rPr>
          <w:rFonts w:ascii="Calibri" w:cs="Calibri" w:eastAsia="Calibri" w:hAnsi="Calibri"/>
          <w:sz w:val="18"/>
          <w:szCs w:val="18"/>
          <w:color w:val="auto"/>
        </w:rPr>
        <w:t>The following table provides supplemental disclosures of cash flow information for the years ended December 31, 2025, 2024 and 2023 (in thousands).</w:t>
      </w:r>
    </w:p>
    <w:p>
      <w:pPr>
        <w:sectPr>
          <w:pgSz w:w="11880" w:h="15480" w:orient="portrait"/>
          <w:cols w:equalWidth="0" w:num="1">
            <w:col w:w="10340"/>
          </w:cols>
          <w:pgMar w:left="38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00"/>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0340"/>
          </w:cols>
          <w:pgMar w:left="380" w:top="498" w:right="1160" w:bottom="0" w:gutter="0" w:footer="0" w:header="0"/>
          <w:type w:val="continuous"/>
        </w:sectPr>
      </w:pPr>
    </w:p>
    <w:bookmarkStart w:id="170" w:name="page171"/>
    <w:bookmarkEnd w:id="170"/>
    <w:tbl>
      <w:tblPr>
        <w:tblLayout w:type="fixed"/>
        <w:tblInd w:w="7880" w:type="dxa"/>
        <w:tblCellMar>
          <w:top w:w="0" w:type="dxa"/>
          <w:left w:w="0" w:type="dxa"/>
          <w:bottom w:w="0" w:type="dxa"/>
          <w:right w:w="0" w:type="dxa"/>
        </w:tblCellMar>
      </w:tblPr>
      <w:tr>
        <w:trPr>
          <w:trHeight w:val="220"/>
        </w:trPr>
        <w:tc>
          <w:tcPr>
            <w:tcW w:w="188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580" w:type="dxa"/>
            <w:vAlign w:val="bottom"/>
          </w:tcPr>
          <w:p>
            <w:pPr>
              <w:ind w:left="260"/>
              <w:spacing w:after="0"/>
              <w:rPr>
                <w:sz w:val="20"/>
                <w:szCs w:val="20"/>
                <w:color w:val="auto"/>
              </w:rPr>
            </w:pPr>
            <w:r>
              <w:rPr>
                <w:rFonts w:ascii="Calibri" w:cs="Calibri" w:eastAsia="Calibri" w:hAnsi="Calibri"/>
                <w:sz w:val="18"/>
                <w:szCs w:val="18"/>
                <w:color w:val="auto"/>
                <w:w w:val="93"/>
              </w:rPr>
              <w:t>F-40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336" name="Shape 3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36" o:spid="_x0000_s13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337" name="Shape 3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37" o:spid="_x0000_s13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Verdana" w:cs="Verdana" w:eastAsia="Verdana" w:hAnsi="Verdana"/>
          <w:sz w:val="20"/>
          <w:szCs w:val="20"/>
          <w:color w:val="214E93"/>
        </w:rPr>
        <w:t>NOTE 15 — SUPPLEMENTAL DISCLOSURES — Continued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380" w:type="dxa"/>
            <w:vAlign w:val="bottom"/>
          </w:tcPr>
          <w:p>
            <w:pPr>
              <w:spacing w:after="0"/>
              <w:rPr>
                <w:sz w:val="16"/>
                <w:szCs w:val="16"/>
                <w:color w:val="auto"/>
              </w:rPr>
            </w:pPr>
          </w:p>
        </w:tc>
        <w:tc>
          <w:tcPr>
            <w:tcW w:w="160" w:type="dxa"/>
            <w:vAlign w:val="bottom"/>
            <w:tcBorders>
              <w:bottom w:val="single" w:sz="8" w:color="214E93"/>
            </w:tcBorders>
          </w:tcPr>
          <w:p>
            <w:pPr>
              <w:spacing w:after="0"/>
              <w:rPr>
                <w:sz w:val="16"/>
                <w:szCs w:val="16"/>
                <w:color w:val="auto"/>
              </w:rPr>
            </w:pPr>
          </w:p>
        </w:tc>
        <w:tc>
          <w:tcPr>
            <w:tcW w:w="2600" w:type="dxa"/>
            <w:vAlign w:val="bottom"/>
            <w:tcBorders>
              <w:bottom w:val="single" w:sz="8" w:color="214E93"/>
            </w:tcBorders>
            <w:gridSpan w:val="5"/>
          </w:tcPr>
          <w:p>
            <w:pPr>
              <w:jc w:val="right"/>
              <w:ind w:right="403"/>
              <w:spacing w:after="0"/>
              <w:rPr>
                <w:sz w:val="20"/>
                <w:szCs w:val="20"/>
                <w:color w:val="auto"/>
              </w:rPr>
            </w:pPr>
            <w:r>
              <w:rPr>
                <w:rFonts w:ascii="Verdana" w:cs="Verdana" w:eastAsia="Verdana" w:hAnsi="Verdana"/>
                <w:sz w:val="14"/>
                <w:szCs w:val="14"/>
                <w:color w:val="auto"/>
              </w:rPr>
              <w:t>Year Ended December 31,</w:t>
            </w:r>
          </w:p>
        </w:tc>
      </w:tr>
      <w:tr>
        <w:trPr>
          <w:trHeight w:val="260"/>
        </w:trPr>
        <w:tc>
          <w:tcPr>
            <w:tcW w:w="7380" w:type="dxa"/>
            <w:vAlign w:val="bottom"/>
            <w:tcBorders>
              <w:bottom w:val="single" w:sz="8" w:color="214E93"/>
            </w:tcBorders>
          </w:tcPr>
          <w:p>
            <w:pPr>
              <w:spacing w:after="0"/>
              <w:rPr>
                <w:sz w:val="22"/>
                <w:szCs w:val="22"/>
                <w:color w:val="auto"/>
              </w:rPr>
            </w:pPr>
          </w:p>
        </w:tc>
        <w:tc>
          <w:tcPr>
            <w:tcW w:w="160" w:type="dxa"/>
            <w:vAlign w:val="bottom"/>
            <w:tcBorders>
              <w:bottom w:val="single" w:sz="8" w:color="214E93"/>
            </w:tcBorders>
          </w:tcPr>
          <w:p>
            <w:pPr>
              <w:spacing w:after="0"/>
              <w:rPr>
                <w:sz w:val="22"/>
                <w:szCs w:val="22"/>
                <w:color w:val="auto"/>
              </w:rPr>
            </w:pPr>
          </w:p>
        </w:tc>
        <w:tc>
          <w:tcPr>
            <w:tcW w:w="760" w:type="dxa"/>
            <w:vAlign w:val="bottom"/>
            <w:tcBorders>
              <w:bottom w:val="single" w:sz="8" w:color="214E93"/>
            </w:tcBorders>
          </w:tcPr>
          <w:p>
            <w:pPr>
              <w:jc w:val="right"/>
              <w:ind w:right="243"/>
              <w:spacing w:after="0"/>
              <w:rPr>
                <w:sz w:val="20"/>
                <w:szCs w:val="20"/>
                <w:color w:val="auto"/>
              </w:rPr>
            </w:pPr>
            <w:r>
              <w:rPr>
                <w:rFonts w:ascii="Verdana" w:cs="Verdana" w:eastAsia="Verdana" w:hAnsi="Verdana"/>
                <w:sz w:val="14"/>
                <w:szCs w:val="14"/>
                <w:color w:val="214E93"/>
              </w:rPr>
              <w:t>2025</w:t>
            </w:r>
          </w:p>
        </w:tc>
        <w:tc>
          <w:tcPr>
            <w:tcW w:w="180" w:type="dxa"/>
            <w:vAlign w:val="bottom"/>
            <w:tcBorders>
              <w:bottom w:val="single" w:sz="8" w:color="214E93"/>
            </w:tcBorders>
          </w:tcPr>
          <w:p>
            <w:pPr>
              <w:spacing w:after="0"/>
              <w:rPr>
                <w:sz w:val="22"/>
                <w:szCs w:val="22"/>
                <w:color w:val="auto"/>
              </w:rPr>
            </w:pPr>
          </w:p>
        </w:tc>
        <w:tc>
          <w:tcPr>
            <w:tcW w:w="760" w:type="dxa"/>
            <w:vAlign w:val="bottom"/>
            <w:tcBorders>
              <w:bottom w:val="single" w:sz="8" w:color="214E93"/>
            </w:tcBorders>
          </w:tcPr>
          <w:p>
            <w:pPr>
              <w:jc w:val="right"/>
              <w:ind w:right="223"/>
              <w:spacing w:after="0"/>
              <w:rPr>
                <w:sz w:val="20"/>
                <w:szCs w:val="20"/>
                <w:color w:val="auto"/>
              </w:rPr>
            </w:pPr>
            <w:r>
              <w:rPr>
                <w:rFonts w:ascii="Verdana" w:cs="Verdana" w:eastAsia="Verdana" w:hAnsi="Verdana"/>
                <w:sz w:val="14"/>
                <w:szCs w:val="14"/>
                <w:color w:val="auto"/>
              </w:rPr>
              <w:t>2024</w:t>
            </w:r>
          </w:p>
        </w:tc>
        <w:tc>
          <w:tcPr>
            <w:tcW w:w="220" w:type="dxa"/>
            <w:vAlign w:val="bottom"/>
            <w:tcBorders>
              <w:bottom w:val="single" w:sz="8" w:color="214E93"/>
            </w:tcBorders>
          </w:tcPr>
          <w:p>
            <w:pPr>
              <w:spacing w:after="0"/>
              <w:rPr>
                <w:sz w:val="22"/>
                <w:szCs w:val="22"/>
                <w:color w:val="auto"/>
              </w:rPr>
            </w:pPr>
          </w:p>
        </w:tc>
        <w:tc>
          <w:tcPr>
            <w:tcW w:w="680" w:type="dxa"/>
            <w:vAlign w:val="bottom"/>
            <w:tcBorders>
              <w:bottom w:val="single" w:sz="8" w:color="214E93"/>
            </w:tcBorders>
          </w:tcPr>
          <w:p>
            <w:pPr>
              <w:jc w:val="right"/>
              <w:ind w:right="183"/>
              <w:spacing w:after="0"/>
              <w:rPr>
                <w:sz w:val="20"/>
                <w:szCs w:val="20"/>
                <w:color w:val="auto"/>
              </w:rPr>
            </w:pPr>
            <w:r>
              <w:rPr>
                <w:rFonts w:ascii="Verdana" w:cs="Verdana" w:eastAsia="Verdana" w:hAnsi="Verdana"/>
                <w:sz w:val="14"/>
                <w:szCs w:val="14"/>
                <w:color w:val="auto"/>
              </w:rPr>
              <w:t>2023</w:t>
            </w:r>
          </w:p>
        </w:tc>
      </w:tr>
      <w:tr>
        <w:trPr>
          <w:trHeight w:val="211"/>
        </w:trPr>
        <w:tc>
          <w:tcPr>
            <w:tcW w:w="7380" w:type="dxa"/>
            <w:vAlign w:val="bottom"/>
          </w:tcPr>
          <w:p>
            <w:pPr>
              <w:ind w:left="40"/>
              <w:spacing w:after="0"/>
              <w:rPr>
                <w:sz w:val="20"/>
                <w:szCs w:val="20"/>
                <w:color w:val="auto"/>
              </w:rPr>
            </w:pPr>
            <w:r>
              <w:rPr>
                <w:rFonts w:ascii="Verdana" w:cs="Verdana" w:eastAsia="Verdana" w:hAnsi="Verdana"/>
                <w:sz w:val="16"/>
                <w:szCs w:val="16"/>
                <w:color w:val="auto"/>
              </w:rPr>
              <w:t>Cash paid for interest expense, net of amounts capitalized</w:t>
            </w:r>
          </w:p>
        </w:tc>
        <w:tc>
          <w:tcPr>
            <w:tcW w:w="920" w:type="dxa"/>
            <w:vAlign w:val="bottom"/>
            <w:gridSpan w:val="2"/>
          </w:tcPr>
          <w:p>
            <w:pPr>
              <w:ind w:left="40"/>
              <w:spacing w:after="0"/>
              <w:rPr>
                <w:sz w:val="20"/>
                <w:szCs w:val="20"/>
                <w:color w:val="auto"/>
              </w:rPr>
            </w:pPr>
            <w:r>
              <w:rPr>
                <w:rFonts w:ascii="Verdana" w:cs="Verdana" w:eastAsia="Verdana" w:hAnsi="Verdana"/>
                <w:sz w:val="16"/>
                <w:szCs w:val="16"/>
                <w:color w:val="214E93"/>
              </w:rPr>
              <w:t>$196,368</w:t>
            </w:r>
          </w:p>
        </w:tc>
        <w:tc>
          <w:tcPr>
            <w:tcW w:w="940" w:type="dxa"/>
            <w:vAlign w:val="bottom"/>
            <w:gridSpan w:val="2"/>
          </w:tcPr>
          <w:p>
            <w:pPr>
              <w:ind w:left="80"/>
              <w:spacing w:after="0"/>
              <w:rPr>
                <w:sz w:val="20"/>
                <w:szCs w:val="20"/>
                <w:color w:val="auto"/>
              </w:rPr>
            </w:pPr>
            <w:r>
              <w:rPr>
                <w:rFonts w:ascii="Verdana" w:cs="Verdana" w:eastAsia="Verdana" w:hAnsi="Verdana"/>
                <w:sz w:val="16"/>
                <w:szCs w:val="16"/>
                <w:color w:val="131313"/>
              </w:rPr>
              <w:t>$160,273</w:t>
            </w:r>
          </w:p>
        </w:tc>
        <w:tc>
          <w:tcPr>
            <w:tcW w:w="900" w:type="dxa"/>
            <w:vAlign w:val="bottom"/>
            <w:gridSpan w:val="2"/>
          </w:tcPr>
          <w:p>
            <w:pPr>
              <w:ind w:left="80"/>
              <w:spacing w:after="0"/>
              <w:rPr>
                <w:sz w:val="20"/>
                <w:szCs w:val="20"/>
                <w:color w:val="auto"/>
              </w:rPr>
            </w:pPr>
            <w:r>
              <w:rPr>
                <w:rFonts w:ascii="Verdana" w:cs="Verdana" w:eastAsia="Verdana" w:hAnsi="Verdana"/>
                <w:sz w:val="16"/>
                <w:szCs w:val="16"/>
                <w:color w:val="131313"/>
              </w:rPr>
              <w:t>$111,742</w:t>
            </w:r>
          </w:p>
        </w:tc>
      </w:tr>
      <w:tr>
        <w:trPr>
          <w:trHeight w:val="235"/>
        </w:trPr>
        <w:tc>
          <w:tcPr>
            <w:tcW w:w="7380" w:type="dxa"/>
            <w:vAlign w:val="bottom"/>
          </w:tcPr>
          <w:p>
            <w:pPr>
              <w:ind w:left="40"/>
              <w:spacing w:after="0"/>
              <w:rPr>
                <w:sz w:val="20"/>
                <w:szCs w:val="20"/>
                <w:color w:val="auto"/>
              </w:rPr>
            </w:pPr>
            <w:r>
              <w:rPr>
                <w:rFonts w:ascii="Verdana" w:cs="Verdana" w:eastAsia="Verdana" w:hAnsi="Verdana"/>
                <w:sz w:val="16"/>
                <w:szCs w:val="16"/>
                <w:color w:val="auto"/>
              </w:rPr>
              <w:t>Increase in asset retirement obligations related to mineral properties</w:t>
            </w:r>
          </w:p>
        </w:tc>
        <w:tc>
          <w:tcPr>
            <w:tcW w:w="160" w:type="dxa"/>
            <w:vAlign w:val="bottom"/>
          </w:tcPr>
          <w:p>
            <w:pPr>
              <w:ind w:left="40"/>
              <w:spacing w:after="0"/>
              <w:rPr>
                <w:sz w:val="20"/>
                <w:szCs w:val="20"/>
                <w:color w:val="auto"/>
              </w:rPr>
            </w:pPr>
            <w:r>
              <w:rPr>
                <w:rFonts w:ascii="Verdana" w:cs="Verdana" w:eastAsia="Verdana" w:hAnsi="Verdana"/>
                <w:sz w:val="16"/>
                <w:szCs w:val="16"/>
                <w:color w:val="214E93"/>
                <w:w w:val="97"/>
              </w:rPr>
              <w:t>$</w:t>
            </w:r>
          </w:p>
        </w:tc>
        <w:tc>
          <w:tcPr>
            <w:tcW w:w="760" w:type="dxa"/>
            <w:vAlign w:val="bottom"/>
          </w:tcPr>
          <w:p>
            <w:pPr>
              <w:jc w:val="right"/>
              <w:ind w:right="63"/>
              <w:spacing w:after="0"/>
              <w:rPr>
                <w:sz w:val="20"/>
                <w:szCs w:val="20"/>
                <w:color w:val="auto"/>
              </w:rPr>
            </w:pPr>
            <w:r>
              <w:rPr>
                <w:rFonts w:ascii="Verdana" w:cs="Verdana" w:eastAsia="Verdana" w:hAnsi="Verdana"/>
                <w:sz w:val="16"/>
                <w:szCs w:val="16"/>
                <w:color w:val="214E93"/>
              </w:rPr>
              <w:t>18,310</w:t>
            </w:r>
          </w:p>
        </w:tc>
        <w:tc>
          <w:tcPr>
            <w:tcW w:w="180" w:type="dxa"/>
            <w:vAlign w:val="bottom"/>
          </w:tcPr>
          <w:p>
            <w:pPr>
              <w:ind w:left="80"/>
              <w:spacing w:after="0"/>
              <w:rPr>
                <w:sz w:val="20"/>
                <w:szCs w:val="20"/>
                <w:color w:val="auto"/>
              </w:rPr>
            </w:pPr>
            <w:r>
              <w:rPr>
                <w:rFonts w:ascii="Verdana" w:cs="Verdana" w:eastAsia="Verdana" w:hAnsi="Verdana"/>
                <w:sz w:val="16"/>
                <w:szCs w:val="16"/>
                <w:color w:val="131313"/>
                <w:w w:val="77"/>
              </w:rPr>
              <w:t>$</w:t>
            </w:r>
          </w:p>
        </w:tc>
        <w:tc>
          <w:tcPr>
            <w:tcW w:w="760" w:type="dxa"/>
            <w:vAlign w:val="bottom"/>
          </w:tcPr>
          <w:p>
            <w:pPr>
              <w:jc w:val="right"/>
              <w:ind w:right="63"/>
              <w:spacing w:after="0"/>
              <w:rPr>
                <w:sz w:val="20"/>
                <w:szCs w:val="20"/>
                <w:color w:val="auto"/>
              </w:rPr>
            </w:pPr>
            <w:r>
              <w:rPr>
                <w:rFonts w:ascii="Verdana" w:cs="Verdana" w:eastAsia="Verdana" w:hAnsi="Verdana"/>
                <w:sz w:val="16"/>
                <w:szCs w:val="16"/>
                <w:color w:val="131313"/>
              </w:rPr>
              <w:t>23,773</w:t>
            </w:r>
          </w:p>
        </w:tc>
        <w:tc>
          <w:tcPr>
            <w:tcW w:w="220" w:type="dxa"/>
            <w:vAlign w:val="bottom"/>
          </w:tcPr>
          <w:p>
            <w:pPr>
              <w:ind w:left="80"/>
              <w:spacing w:after="0"/>
              <w:rPr>
                <w:sz w:val="20"/>
                <w:szCs w:val="20"/>
                <w:color w:val="auto"/>
              </w:rPr>
            </w:pPr>
            <w:r>
              <w:rPr>
                <w:rFonts w:ascii="Verdana" w:cs="Verdana" w:eastAsia="Verdana" w:hAnsi="Verdana"/>
                <w:sz w:val="16"/>
                <w:szCs w:val="16"/>
                <w:color w:val="131313"/>
              </w:rPr>
              <w:t>$</w:t>
            </w:r>
          </w:p>
        </w:tc>
        <w:tc>
          <w:tcPr>
            <w:tcW w:w="680" w:type="dxa"/>
            <w:vAlign w:val="bottom"/>
          </w:tcPr>
          <w:p>
            <w:pPr>
              <w:jc w:val="right"/>
              <w:ind w:right="3"/>
              <w:spacing w:after="0"/>
              <w:rPr>
                <w:sz w:val="20"/>
                <w:szCs w:val="20"/>
                <w:color w:val="auto"/>
              </w:rPr>
            </w:pPr>
            <w:r>
              <w:rPr>
                <w:rFonts w:ascii="Verdana" w:cs="Verdana" w:eastAsia="Verdana" w:hAnsi="Verdana"/>
                <w:sz w:val="16"/>
                <w:szCs w:val="16"/>
                <w:color w:val="131313"/>
              </w:rPr>
              <w:t>33,209</w:t>
            </w:r>
          </w:p>
        </w:tc>
      </w:tr>
      <w:tr>
        <w:trPr>
          <w:trHeight w:val="236"/>
        </w:trPr>
        <w:tc>
          <w:tcPr>
            <w:tcW w:w="7380" w:type="dxa"/>
            <w:vAlign w:val="bottom"/>
          </w:tcPr>
          <w:p>
            <w:pPr>
              <w:ind w:left="40"/>
              <w:spacing w:after="0"/>
              <w:rPr>
                <w:sz w:val="20"/>
                <w:szCs w:val="20"/>
                <w:color w:val="auto"/>
              </w:rPr>
            </w:pPr>
            <w:r>
              <w:rPr>
                <w:rFonts w:ascii="Verdana" w:cs="Verdana" w:eastAsia="Verdana" w:hAnsi="Verdana"/>
                <w:sz w:val="16"/>
                <w:szCs w:val="16"/>
                <w:color w:val="auto"/>
              </w:rPr>
              <w:t>Increase in asset retirement obligations related to midstream properties</w:t>
            </w:r>
          </w:p>
        </w:tc>
        <w:tc>
          <w:tcPr>
            <w:tcW w:w="160" w:type="dxa"/>
            <w:vAlign w:val="bottom"/>
          </w:tcPr>
          <w:p>
            <w:pPr>
              <w:ind w:left="40"/>
              <w:spacing w:after="0"/>
              <w:rPr>
                <w:sz w:val="20"/>
                <w:szCs w:val="20"/>
                <w:color w:val="auto"/>
              </w:rPr>
            </w:pPr>
            <w:r>
              <w:rPr>
                <w:rFonts w:ascii="Verdana" w:cs="Verdana" w:eastAsia="Verdana" w:hAnsi="Verdana"/>
                <w:sz w:val="16"/>
                <w:szCs w:val="16"/>
                <w:color w:val="214E93"/>
                <w:w w:val="97"/>
              </w:rPr>
              <w:t>$</w:t>
            </w:r>
          </w:p>
        </w:tc>
        <w:tc>
          <w:tcPr>
            <w:tcW w:w="760" w:type="dxa"/>
            <w:vAlign w:val="bottom"/>
          </w:tcPr>
          <w:p>
            <w:pPr>
              <w:jc w:val="right"/>
              <w:ind w:right="63"/>
              <w:spacing w:after="0"/>
              <w:rPr>
                <w:sz w:val="20"/>
                <w:szCs w:val="20"/>
                <w:color w:val="auto"/>
              </w:rPr>
            </w:pPr>
            <w:r>
              <w:rPr>
                <w:rFonts w:ascii="Verdana" w:cs="Verdana" w:eastAsia="Verdana" w:hAnsi="Verdana"/>
                <w:sz w:val="16"/>
                <w:szCs w:val="16"/>
                <w:color w:val="214E93"/>
              </w:rPr>
              <w:t>1,548</w:t>
            </w:r>
          </w:p>
        </w:tc>
        <w:tc>
          <w:tcPr>
            <w:tcW w:w="180" w:type="dxa"/>
            <w:vAlign w:val="bottom"/>
          </w:tcPr>
          <w:p>
            <w:pPr>
              <w:ind w:left="80"/>
              <w:spacing w:after="0"/>
              <w:rPr>
                <w:sz w:val="20"/>
                <w:szCs w:val="20"/>
                <w:color w:val="auto"/>
              </w:rPr>
            </w:pPr>
            <w:r>
              <w:rPr>
                <w:rFonts w:ascii="Verdana" w:cs="Verdana" w:eastAsia="Verdana" w:hAnsi="Verdana"/>
                <w:sz w:val="16"/>
                <w:szCs w:val="16"/>
                <w:color w:val="131313"/>
                <w:w w:val="77"/>
              </w:rPr>
              <w:t>$</w:t>
            </w:r>
          </w:p>
        </w:tc>
        <w:tc>
          <w:tcPr>
            <w:tcW w:w="760" w:type="dxa"/>
            <w:vAlign w:val="bottom"/>
          </w:tcPr>
          <w:p>
            <w:pPr>
              <w:jc w:val="right"/>
              <w:ind w:right="63"/>
              <w:spacing w:after="0"/>
              <w:rPr>
                <w:sz w:val="20"/>
                <w:szCs w:val="20"/>
                <w:color w:val="auto"/>
              </w:rPr>
            </w:pPr>
            <w:r>
              <w:rPr>
                <w:rFonts w:ascii="Verdana" w:cs="Verdana" w:eastAsia="Verdana" w:hAnsi="Verdana"/>
                <w:sz w:val="16"/>
                <w:szCs w:val="16"/>
                <w:color w:val="131313"/>
              </w:rPr>
              <w:t>777</w:t>
            </w:r>
          </w:p>
        </w:tc>
        <w:tc>
          <w:tcPr>
            <w:tcW w:w="220" w:type="dxa"/>
            <w:vAlign w:val="bottom"/>
          </w:tcPr>
          <w:p>
            <w:pPr>
              <w:ind w:left="80"/>
              <w:spacing w:after="0"/>
              <w:rPr>
                <w:sz w:val="20"/>
                <w:szCs w:val="20"/>
                <w:color w:val="auto"/>
              </w:rPr>
            </w:pPr>
            <w:r>
              <w:rPr>
                <w:rFonts w:ascii="Verdana" w:cs="Verdana" w:eastAsia="Verdana" w:hAnsi="Verdana"/>
                <w:sz w:val="16"/>
                <w:szCs w:val="16"/>
                <w:color w:val="131313"/>
              </w:rPr>
              <w:t>$</w:t>
            </w:r>
          </w:p>
        </w:tc>
        <w:tc>
          <w:tcPr>
            <w:tcW w:w="680" w:type="dxa"/>
            <w:vAlign w:val="bottom"/>
          </w:tcPr>
          <w:p>
            <w:pPr>
              <w:jc w:val="right"/>
              <w:ind w:right="3"/>
              <w:spacing w:after="0"/>
              <w:rPr>
                <w:sz w:val="20"/>
                <w:szCs w:val="20"/>
                <w:color w:val="auto"/>
              </w:rPr>
            </w:pPr>
            <w:r>
              <w:rPr>
                <w:rFonts w:ascii="Verdana" w:cs="Verdana" w:eastAsia="Verdana" w:hAnsi="Verdana"/>
                <w:sz w:val="16"/>
                <w:szCs w:val="16"/>
                <w:color w:val="131313"/>
              </w:rPr>
              <w:t>1,197</w:t>
            </w:r>
          </w:p>
        </w:tc>
      </w:tr>
      <w:tr>
        <w:trPr>
          <w:trHeight w:val="236"/>
        </w:trPr>
        <w:tc>
          <w:tcPr>
            <w:tcW w:w="7380" w:type="dxa"/>
            <w:vAlign w:val="bottom"/>
          </w:tcPr>
          <w:p>
            <w:pPr>
              <w:ind w:left="40"/>
              <w:spacing w:after="0"/>
              <w:rPr>
                <w:sz w:val="20"/>
                <w:szCs w:val="20"/>
                <w:color w:val="auto"/>
              </w:rPr>
            </w:pPr>
            <w:r>
              <w:rPr>
                <w:rFonts w:ascii="Verdana" w:cs="Verdana" w:eastAsia="Verdana" w:hAnsi="Verdana"/>
                <w:sz w:val="16"/>
                <w:szCs w:val="16"/>
                <w:color w:val="auto"/>
              </w:rPr>
              <w:t>(Decrease) increase in liabilities for drilling, completion and equipping capital expenditures</w:t>
            </w:r>
          </w:p>
        </w:tc>
        <w:tc>
          <w:tcPr>
            <w:tcW w:w="160" w:type="dxa"/>
            <w:vAlign w:val="bottom"/>
          </w:tcPr>
          <w:p>
            <w:pPr>
              <w:ind w:left="40"/>
              <w:spacing w:after="0"/>
              <w:rPr>
                <w:sz w:val="20"/>
                <w:szCs w:val="20"/>
                <w:color w:val="auto"/>
              </w:rPr>
            </w:pPr>
            <w:r>
              <w:rPr>
                <w:rFonts w:ascii="Verdana" w:cs="Verdana" w:eastAsia="Verdana" w:hAnsi="Verdana"/>
                <w:sz w:val="16"/>
                <w:szCs w:val="16"/>
                <w:color w:val="214E93"/>
                <w:w w:val="97"/>
              </w:rPr>
              <w:t>$</w:t>
            </w:r>
          </w:p>
        </w:tc>
        <w:tc>
          <w:tcPr>
            <w:tcW w:w="760" w:type="dxa"/>
            <w:vAlign w:val="bottom"/>
          </w:tcPr>
          <w:p>
            <w:pPr>
              <w:jc w:val="right"/>
              <w:spacing w:after="0"/>
              <w:rPr>
                <w:sz w:val="20"/>
                <w:szCs w:val="20"/>
                <w:color w:val="auto"/>
              </w:rPr>
            </w:pPr>
            <w:r>
              <w:rPr>
                <w:rFonts w:ascii="Verdana" w:cs="Verdana" w:eastAsia="Verdana" w:hAnsi="Verdana"/>
                <w:sz w:val="16"/>
                <w:szCs w:val="16"/>
                <w:color w:val="214E93"/>
                <w:w w:val="95"/>
              </w:rPr>
              <w:t>(37,127)</w:t>
            </w:r>
          </w:p>
        </w:tc>
        <w:tc>
          <w:tcPr>
            <w:tcW w:w="180" w:type="dxa"/>
            <w:vAlign w:val="bottom"/>
          </w:tcPr>
          <w:p>
            <w:pPr>
              <w:ind w:left="80"/>
              <w:spacing w:after="0"/>
              <w:rPr>
                <w:sz w:val="20"/>
                <w:szCs w:val="20"/>
                <w:color w:val="auto"/>
              </w:rPr>
            </w:pPr>
            <w:r>
              <w:rPr>
                <w:rFonts w:ascii="Verdana" w:cs="Verdana" w:eastAsia="Verdana" w:hAnsi="Verdana"/>
                <w:sz w:val="16"/>
                <w:szCs w:val="16"/>
                <w:color w:val="131313"/>
                <w:w w:val="77"/>
              </w:rPr>
              <w:t>$</w:t>
            </w:r>
          </w:p>
        </w:tc>
        <w:tc>
          <w:tcPr>
            <w:tcW w:w="760" w:type="dxa"/>
            <w:vAlign w:val="bottom"/>
          </w:tcPr>
          <w:p>
            <w:pPr>
              <w:jc w:val="right"/>
              <w:ind w:right="63"/>
              <w:spacing w:after="0"/>
              <w:rPr>
                <w:sz w:val="20"/>
                <w:szCs w:val="20"/>
                <w:color w:val="auto"/>
              </w:rPr>
            </w:pPr>
            <w:r>
              <w:rPr>
                <w:rFonts w:ascii="Verdana" w:cs="Verdana" w:eastAsia="Verdana" w:hAnsi="Verdana"/>
                <w:sz w:val="16"/>
                <w:szCs w:val="16"/>
                <w:color w:val="131313"/>
              </w:rPr>
              <w:t>79,363</w:t>
            </w:r>
          </w:p>
        </w:tc>
        <w:tc>
          <w:tcPr>
            <w:tcW w:w="220" w:type="dxa"/>
            <w:vAlign w:val="bottom"/>
          </w:tcPr>
          <w:p>
            <w:pPr>
              <w:ind w:left="80"/>
              <w:spacing w:after="0"/>
              <w:rPr>
                <w:sz w:val="20"/>
                <w:szCs w:val="20"/>
                <w:color w:val="auto"/>
              </w:rPr>
            </w:pPr>
            <w:r>
              <w:rPr>
                <w:rFonts w:ascii="Verdana" w:cs="Verdana" w:eastAsia="Verdana" w:hAnsi="Verdana"/>
                <w:sz w:val="16"/>
                <w:szCs w:val="16"/>
                <w:color w:val="131313"/>
              </w:rPr>
              <w:t>$</w:t>
            </w:r>
          </w:p>
        </w:tc>
        <w:tc>
          <w:tcPr>
            <w:tcW w:w="680" w:type="dxa"/>
            <w:vAlign w:val="bottom"/>
          </w:tcPr>
          <w:p>
            <w:pPr>
              <w:jc w:val="right"/>
              <w:ind w:right="3"/>
              <w:spacing w:after="0"/>
              <w:rPr>
                <w:sz w:val="20"/>
                <w:szCs w:val="20"/>
                <w:color w:val="auto"/>
              </w:rPr>
            </w:pPr>
            <w:r>
              <w:rPr>
                <w:rFonts w:ascii="Verdana" w:cs="Verdana" w:eastAsia="Verdana" w:hAnsi="Verdana"/>
                <w:sz w:val="16"/>
                <w:szCs w:val="16"/>
                <w:color w:val="131313"/>
              </w:rPr>
              <w:t>31,364</w:t>
            </w:r>
          </w:p>
        </w:tc>
      </w:tr>
      <w:tr>
        <w:trPr>
          <w:trHeight w:val="236"/>
        </w:trPr>
        <w:tc>
          <w:tcPr>
            <w:tcW w:w="7380" w:type="dxa"/>
            <w:vAlign w:val="bottom"/>
          </w:tcPr>
          <w:p>
            <w:pPr>
              <w:ind w:left="40"/>
              <w:spacing w:after="0"/>
              <w:rPr>
                <w:sz w:val="20"/>
                <w:szCs w:val="20"/>
                <w:color w:val="auto"/>
              </w:rPr>
            </w:pPr>
            <w:r>
              <w:rPr>
                <w:rFonts w:ascii="Verdana" w:cs="Verdana" w:eastAsia="Verdana" w:hAnsi="Verdana"/>
                <w:sz w:val="16"/>
                <w:szCs w:val="16"/>
                <w:color w:val="auto"/>
              </w:rPr>
              <w:t>Increase in liabilities for acquisition of oil and natural gas properties</w:t>
            </w:r>
          </w:p>
        </w:tc>
        <w:tc>
          <w:tcPr>
            <w:tcW w:w="160" w:type="dxa"/>
            <w:vAlign w:val="bottom"/>
          </w:tcPr>
          <w:p>
            <w:pPr>
              <w:ind w:left="40"/>
              <w:spacing w:after="0"/>
              <w:rPr>
                <w:sz w:val="20"/>
                <w:szCs w:val="20"/>
                <w:color w:val="auto"/>
              </w:rPr>
            </w:pPr>
            <w:r>
              <w:rPr>
                <w:rFonts w:ascii="Verdana" w:cs="Verdana" w:eastAsia="Verdana" w:hAnsi="Verdana"/>
                <w:sz w:val="16"/>
                <w:szCs w:val="16"/>
                <w:color w:val="214E93"/>
                <w:w w:val="97"/>
              </w:rPr>
              <w:t>$</w:t>
            </w:r>
          </w:p>
        </w:tc>
        <w:tc>
          <w:tcPr>
            <w:tcW w:w="760" w:type="dxa"/>
            <w:vAlign w:val="bottom"/>
          </w:tcPr>
          <w:p>
            <w:pPr>
              <w:jc w:val="right"/>
              <w:ind w:right="63"/>
              <w:spacing w:after="0"/>
              <w:rPr>
                <w:sz w:val="20"/>
                <w:szCs w:val="20"/>
                <w:color w:val="auto"/>
              </w:rPr>
            </w:pPr>
            <w:r>
              <w:rPr>
                <w:rFonts w:ascii="Verdana" w:cs="Verdana" w:eastAsia="Verdana" w:hAnsi="Verdana"/>
                <w:sz w:val="16"/>
                <w:szCs w:val="16"/>
                <w:color w:val="214E93"/>
              </w:rPr>
              <w:t>52</w:t>
            </w:r>
          </w:p>
        </w:tc>
        <w:tc>
          <w:tcPr>
            <w:tcW w:w="180" w:type="dxa"/>
            <w:vAlign w:val="bottom"/>
          </w:tcPr>
          <w:p>
            <w:pPr>
              <w:ind w:left="80"/>
              <w:spacing w:after="0"/>
              <w:rPr>
                <w:sz w:val="20"/>
                <w:szCs w:val="20"/>
                <w:color w:val="auto"/>
              </w:rPr>
            </w:pPr>
            <w:r>
              <w:rPr>
                <w:rFonts w:ascii="Verdana" w:cs="Verdana" w:eastAsia="Verdana" w:hAnsi="Verdana"/>
                <w:sz w:val="16"/>
                <w:szCs w:val="16"/>
                <w:color w:val="131313"/>
                <w:w w:val="77"/>
              </w:rPr>
              <w:t>$</w:t>
            </w:r>
          </w:p>
        </w:tc>
        <w:tc>
          <w:tcPr>
            <w:tcW w:w="760" w:type="dxa"/>
            <w:vAlign w:val="bottom"/>
          </w:tcPr>
          <w:p>
            <w:pPr>
              <w:jc w:val="right"/>
              <w:ind w:right="63"/>
              <w:spacing w:after="0"/>
              <w:rPr>
                <w:sz w:val="20"/>
                <w:szCs w:val="20"/>
                <w:color w:val="auto"/>
              </w:rPr>
            </w:pPr>
            <w:r>
              <w:rPr>
                <w:rFonts w:ascii="Verdana" w:cs="Verdana" w:eastAsia="Verdana" w:hAnsi="Verdana"/>
                <w:sz w:val="16"/>
                <w:szCs w:val="16"/>
                <w:color w:val="131313"/>
              </w:rPr>
              <w:t>212</w:t>
            </w:r>
          </w:p>
        </w:tc>
        <w:tc>
          <w:tcPr>
            <w:tcW w:w="220" w:type="dxa"/>
            <w:vAlign w:val="bottom"/>
          </w:tcPr>
          <w:p>
            <w:pPr>
              <w:ind w:left="80"/>
              <w:spacing w:after="0"/>
              <w:rPr>
                <w:sz w:val="20"/>
                <w:szCs w:val="20"/>
                <w:color w:val="auto"/>
              </w:rPr>
            </w:pPr>
            <w:r>
              <w:rPr>
                <w:rFonts w:ascii="Verdana" w:cs="Verdana" w:eastAsia="Verdana" w:hAnsi="Verdana"/>
                <w:sz w:val="16"/>
                <w:szCs w:val="16"/>
                <w:color w:val="131313"/>
              </w:rPr>
              <w:t>$</w:t>
            </w:r>
          </w:p>
        </w:tc>
        <w:tc>
          <w:tcPr>
            <w:tcW w:w="680" w:type="dxa"/>
            <w:vAlign w:val="bottom"/>
          </w:tcPr>
          <w:p>
            <w:pPr>
              <w:jc w:val="right"/>
              <w:ind w:right="3"/>
              <w:spacing w:after="0"/>
              <w:rPr>
                <w:sz w:val="20"/>
                <w:szCs w:val="20"/>
                <w:color w:val="auto"/>
              </w:rPr>
            </w:pPr>
            <w:r>
              <w:rPr>
                <w:rFonts w:ascii="Verdana" w:cs="Verdana" w:eastAsia="Verdana" w:hAnsi="Verdana"/>
                <w:sz w:val="16"/>
                <w:szCs w:val="16"/>
                <w:color w:val="131313"/>
              </w:rPr>
              <w:t>709</w:t>
            </w:r>
          </w:p>
        </w:tc>
      </w:tr>
      <w:tr>
        <w:trPr>
          <w:trHeight w:val="236"/>
        </w:trPr>
        <w:tc>
          <w:tcPr>
            <w:tcW w:w="7380" w:type="dxa"/>
            <w:vAlign w:val="bottom"/>
          </w:tcPr>
          <w:p>
            <w:pPr>
              <w:ind w:left="40"/>
              <w:spacing w:after="0"/>
              <w:rPr>
                <w:sz w:val="20"/>
                <w:szCs w:val="20"/>
                <w:color w:val="auto"/>
              </w:rPr>
            </w:pPr>
            <w:r>
              <w:rPr>
                <w:rFonts w:ascii="Verdana" w:cs="Verdana" w:eastAsia="Verdana" w:hAnsi="Verdana"/>
                <w:sz w:val="16"/>
                <w:szCs w:val="16"/>
                <w:color w:val="auto"/>
              </w:rPr>
              <w:t>(Decrease) increase in liabilities for midstream capital expenditures</w:t>
            </w:r>
          </w:p>
        </w:tc>
        <w:tc>
          <w:tcPr>
            <w:tcW w:w="160" w:type="dxa"/>
            <w:vAlign w:val="bottom"/>
          </w:tcPr>
          <w:p>
            <w:pPr>
              <w:ind w:left="40"/>
              <w:spacing w:after="0"/>
              <w:rPr>
                <w:sz w:val="20"/>
                <w:szCs w:val="20"/>
                <w:color w:val="auto"/>
              </w:rPr>
            </w:pPr>
            <w:r>
              <w:rPr>
                <w:rFonts w:ascii="Verdana" w:cs="Verdana" w:eastAsia="Verdana" w:hAnsi="Verdana"/>
                <w:sz w:val="16"/>
                <w:szCs w:val="16"/>
                <w:color w:val="214E93"/>
                <w:w w:val="97"/>
              </w:rPr>
              <w:t>$</w:t>
            </w:r>
          </w:p>
        </w:tc>
        <w:tc>
          <w:tcPr>
            <w:tcW w:w="760" w:type="dxa"/>
            <w:vAlign w:val="bottom"/>
          </w:tcPr>
          <w:p>
            <w:pPr>
              <w:jc w:val="right"/>
              <w:spacing w:after="0"/>
              <w:rPr>
                <w:sz w:val="20"/>
                <w:szCs w:val="20"/>
                <w:color w:val="auto"/>
              </w:rPr>
            </w:pPr>
            <w:r>
              <w:rPr>
                <w:rFonts w:ascii="Verdana" w:cs="Verdana" w:eastAsia="Verdana" w:hAnsi="Verdana"/>
                <w:sz w:val="16"/>
                <w:szCs w:val="16"/>
                <w:color w:val="214E93"/>
                <w:w w:val="95"/>
              </w:rPr>
              <w:t>(23,850)</w:t>
            </w:r>
          </w:p>
        </w:tc>
        <w:tc>
          <w:tcPr>
            <w:tcW w:w="180" w:type="dxa"/>
            <w:vAlign w:val="bottom"/>
          </w:tcPr>
          <w:p>
            <w:pPr>
              <w:ind w:left="80"/>
              <w:spacing w:after="0"/>
              <w:rPr>
                <w:sz w:val="20"/>
                <w:szCs w:val="20"/>
                <w:color w:val="auto"/>
              </w:rPr>
            </w:pPr>
            <w:r>
              <w:rPr>
                <w:rFonts w:ascii="Verdana" w:cs="Verdana" w:eastAsia="Verdana" w:hAnsi="Verdana"/>
                <w:sz w:val="16"/>
                <w:szCs w:val="16"/>
                <w:color w:val="131313"/>
                <w:w w:val="77"/>
              </w:rPr>
              <w:t>$</w:t>
            </w:r>
          </w:p>
        </w:tc>
        <w:tc>
          <w:tcPr>
            <w:tcW w:w="760" w:type="dxa"/>
            <w:vAlign w:val="bottom"/>
          </w:tcPr>
          <w:p>
            <w:pPr>
              <w:jc w:val="right"/>
              <w:spacing w:after="0"/>
              <w:rPr>
                <w:sz w:val="20"/>
                <w:szCs w:val="20"/>
                <w:color w:val="auto"/>
              </w:rPr>
            </w:pPr>
            <w:r>
              <w:rPr>
                <w:rFonts w:ascii="Verdana" w:cs="Verdana" w:eastAsia="Verdana" w:hAnsi="Verdana"/>
                <w:sz w:val="16"/>
                <w:szCs w:val="16"/>
                <w:color w:val="131313"/>
                <w:w w:val="95"/>
              </w:rPr>
              <w:t>(23,789)</w:t>
            </w:r>
          </w:p>
        </w:tc>
        <w:tc>
          <w:tcPr>
            <w:tcW w:w="220" w:type="dxa"/>
            <w:vAlign w:val="bottom"/>
          </w:tcPr>
          <w:p>
            <w:pPr>
              <w:ind w:left="80"/>
              <w:spacing w:after="0"/>
              <w:rPr>
                <w:sz w:val="20"/>
                <w:szCs w:val="20"/>
                <w:color w:val="auto"/>
              </w:rPr>
            </w:pPr>
            <w:r>
              <w:rPr>
                <w:rFonts w:ascii="Verdana" w:cs="Verdana" w:eastAsia="Verdana" w:hAnsi="Verdana"/>
                <w:sz w:val="16"/>
                <w:szCs w:val="16"/>
                <w:color w:val="131313"/>
              </w:rPr>
              <w:t>$</w:t>
            </w:r>
          </w:p>
        </w:tc>
        <w:tc>
          <w:tcPr>
            <w:tcW w:w="680" w:type="dxa"/>
            <w:vAlign w:val="bottom"/>
          </w:tcPr>
          <w:p>
            <w:pPr>
              <w:jc w:val="right"/>
              <w:ind w:right="3"/>
              <w:spacing w:after="0"/>
              <w:rPr>
                <w:sz w:val="20"/>
                <w:szCs w:val="20"/>
                <w:color w:val="auto"/>
              </w:rPr>
            </w:pPr>
            <w:r>
              <w:rPr>
                <w:rFonts w:ascii="Verdana" w:cs="Verdana" w:eastAsia="Verdana" w:hAnsi="Verdana"/>
                <w:sz w:val="16"/>
                <w:szCs w:val="16"/>
                <w:color w:val="131313"/>
              </w:rPr>
              <w:t>43,572</w:t>
            </w:r>
          </w:p>
        </w:tc>
      </w:tr>
      <w:tr>
        <w:trPr>
          <w:trHeight w:val="236"/>
        </w:trPr>
        <w:tc>
          <w:tcPr>
            <w:tcW w:w="7380" w:type="dxa"/>
            <w:vAlign w:val="bottom"/>
          </w:tcPr>
          <w:p>
            <w:pPr>
              <w:ind w:left="40"/>
              <w:spacing w:after="0"/>
              <w:rPr>
                <w:sz w:val="20"/>
                <w:szCs w:val="20"/>
                <w:color w:val="auto"/>
              </w:rPr>
            </w:pPr>
            <w:r>
              <w:rPr>
                <w:rFonts w:ascii="Verdana" w:cs="Verdana" w:eastAsia="Verdana" w:hAnsi="Verdana"/>
                <w:sz w:val="16"/>
                <w:szCs w:val="16"/>
                <w:color w:val="auto"/>
              </w:rPr>
              <w:t>Stock-based compensation expense recognized as liability</w:t>
            </w:r>
          </w:p>
        </w:tc>
        <w:tc>
          <w:tcPr>
            <w:tcW w:w="160" w:type="dxa"/>
            <w:vAlign w:val="bottom"/>
          </w:tcPr>
          <w:p>
            <w:pPr>
              <w:ind w:left="40"/>
              <w:spacing w:after="0"/>
              <w:rPr>
                <w:sz w:val="20"/>
                <w:szCs w:val="20"/>
                <w:color w:val="auto"/>
              </w:rPr>
            </w:pPr>
            <w:r>
              <w:rPr>
                <w:rFonts w:ascii="Verdana" w:cs="Verdana" w:eastAsia="Verdana" w:hAnsi="Verdana"/>
                <w:sz w:val="16"/>
                <w:szCs w:val="16"/>
                <w:color w:val="214E93"/>
                <w:w w:val="97"/>
              </w:rPr>
              <w:t>$</w:t>
            </w:r>
          </w:p>
        </w:tc>
        <w:tc>
          <w:tcPr>
            <w:tcW w:w="760" w:type="dxa"/>
            <w:vAlign w:val="bottom"/>
          </w:tcPr>
          <w:p>
            <w:pPr>
              <w:jc w:val="right"/>
              <w:ind w:right="63"/>
              <w:spacing w:after="0"/>
              <w:rPr>
                <w:sz w:val="20"/>
                <w:szCs w:val="20"/>
                <w:color w:val="auto"/>
              </w:rPr>
            </w:pPr>
            <w:r>
              <w:rPr>
                <w:rFonts w:ascii="Verdana" w:cs="Verdana" w:eastAsia="Verdana" w:hAnsi="Verdana"/>
                <w:sz w:val="16"/>
                <w:szCs w:val="16"/>
                <w:color w:val="214E93"/>
              </w:rPr>
              <w:t>11,451</w:t>
            </w:r>
          </w:p>
        </w:tc>
        <w:tc>
          <w:tcPr>
            <w:tcW w:w="180" w:type="dxa"/>
            <w:vAlign w:val="bottom"/>
          </w:tcPr>
          <w:p>
            <w:pPr>
              <w:ind w:left="80"/>
              <w:spacing w:after="0"/>
              <w:rPr>
                <w:sz w:val="20"/>
                <w:szCs w:val="20"/>
                <w:color w:val="auto"/>
              </w:rPr>
            </w:pPr>
            <w:r>
              <w:rPr>
                <w:rFonts w:ascii="Verdana" w:cs="Verdana" w:eastAsia="Verdana" w:hAnsi="Verdana"/>
                <w:sz w:val="16"/>
                <w:szCs w:val="16"/>
                <w:color w:val="131313"/>
                <w:w w:val="77"/>
              </w:rPr>
              <w:t>$</w:t>
            </w:r>
          </w:p>
        </w:tc>
        <w:tc>
          <w:tcPr>
            <w:tcW w:w="760" w:type="dxa"/>
            <w:vAlign w:val="bottom"/>
          </w:tcPr>
          <w:p>
            <w:pPr>
              <w:jc w:val="right"/>
              <w:ind w:right="63"/>
              <w:spacing w:after="0"/>
              <w:rPr>
                <w:sz w:val="20"/>
                <w:szCs w:val="20"/>
                <w:color w:val="auto"/>
              </w:rPr>
            </w:pPr>
            <w:r>
              <w:rPr>
                <w:rFonts w:ascii="Verdana" w:cs="Verdana" w:eastAsia="Verdana" w:hAnsi="Verdana"/>
                <w:sz w:val="16"/>
                <w:szCs w:val="16"/>
                <w:color w:val="131313"/>
              </w:rPr>
              <w:t>13,565</w:t>
            </w:r>
          </w:p>
        </w:tc>
        <w:tc>
          <w:tcPr>
            <w:tcW w:w="220" w:type="dxa"/>
            <w:vAlign w:val="bottom"/>
          </w:tcPr>
          <w:p>
            <w:pPr>
              <w:ind w:left="80"/>
              <w:spacing w:after="0"/>
              <w:rPr>
                <w:sz w:val="20"/>
                <w:szCs w:val="20"/>
                <w:color w:val="auto"/>
              </w:rPr>
            </w:pPr>
            <w:r>
              <w:rPr>
                <w:rFonts w:ascii="Verdana" w:cs="Verdana" w:eastAsia="Verdana" w:hAnsi="Verdana"/>
                <w:sz w:val="16"/>
                <w:szCs w:val="16"/>
                <w:color w:val="131313"/>
              </w:rPr>
              <w:t>$</w:t>
            </w:r>
          </w:p>
        </w:tc>
        <w:tc>
          <w:tcPr>
            <w:tcW w:w="680" w:type="dxa"/>
            <w:vAlign w:val="bottom"/>
          </w:tcPr>
          <w:p>
            <w:pPr>
              <w:jc w:val="right"/>
              <w:ind w:right="3"/>
              <w:spacing w:after="0"/>
              <w:rPr>
                <w:sz w:val="20"/>
                <w:szCs w:val="20"/>
                <w:color w:val="auto"/>
              </w:rPr>
            </w:pPr>
            <w:r>
              <w:rPr>
                <w:rFonts w:ascii="Verdana" w:cs="Verdana" w:eastAsia="Verdana" w:hAnsi="Verdana"/>
                <w:sz w:val="16"/>
                <w:szCs w:val="16"/>
                <w:color w:val="131313"/>
              </w:rPr>
              <w:t>11,380</w:t>
            </w:r>
          </w:p>
        </w:tc>
      </w:tr>
      <w:tr>
        <w:trPr>
          <w:trHeight w:val="236"/>
        </w:trPr>
        <w:tc>
          <w:tcPr>
            <w:tcW w:w="7380" w:type="dxa"/>
            <w:vAlign w:val="bottom"/>
          </w:tcPr>
          <w:p>
            <w:pPr>
              <w:ind w:left="40"/>
              <w:spacing w:after="0"/>
              <w:rPr>
                <w:sz w:val="20"/>
                <w:szCs w:val="20"/>
                <w:color w:val="auto"/>
              </w:rPr>
            </w:pPr>
            <w:r>
              <w:rPr>
                <w:rFonts w:ascii="Verdana" w:cs="Verdana" w:eastAsia="Verdana" w:hAnsi="Verdana"/>
                <w:sz w:val="16"/>
                <w:szCs w:val="16"/>
                <w:color w:val="auto"/>
              </w:rPr>
              <w:t>Transfer of inventory (to) from oil and natural gas properties</w:t>
            </w:r>
          </w:p>
        </w:tc>
        <w:tc>
          <w:tcPr>
            <w:tcW w:w="160" w:type="dxa"/>
            <w:vAlign w:val="bottom"/>
          </w:tcPr>
          <w:p>
            <w:pPr>
              <w:ind w:left="40"/>
              <w:spacing w:after="0"/>
              <w:rPr>
                <w:sz w:val="20"/>
                <w:szCs w:val="20"/>
                <w:color w:val="auto"/>
              </w:rPr>
            </w:pPr>
            <w:r>
              <w:rPr>
                <w:rFonts w:ascii="Verdana" w:cs="Verdana" w:eastAsia="Verdana" w:hAnsi="Verdana"/>
                <w:sz w:val="16"/>
                <w:szCs w:val="16"/>
                <w:color w:val="214E93"/>
                <w:w w:val="97"/>
              </w:rPr>
              <w:t>$</w:t>
            </w:r>
          </w:p>
        </w:tc>
        <w:tc>
          <w:tcPr>
            <w:tcW w:w="760" w:type="dxa"/>
            <w:vAlign w:val="bottom"/>
          </w:tcPr>
          <w:p>
            <w:pPr>
              <w:jc w:val="right"/>
              <w:spacing w:after="0"/>
              <w:rPr>
                <w:sz w:val="20"/>
                <w:szCs w:val="20"/>
                <w:color w:val="auto"/>
              </w:rPr>
            </w:pPr>
            <w:r>
              <w:rPr>
                <w:rFonts w:ascii="Verdana" w:cs="Verdana" w:eastAsia="Verdana" w:hAnsi="Verdana"/>
                <w:sz w:val="16"/>
                <w:szCs w:val="16"/>
                <w:color w:val="214E93"/>
                <w:w w:val="95"/>
              </w:rPr>
              <w:t>(29,124)</w:t>
            </w:r>
          </w:p>
        </w:tc>
        <w:tc>
          <w:tcPr>
            <w:tcW w:w="180" w:type="dxa"/>
            <w:vAlign w:val="bottom"/>
          </w:tcPr>
          <w:p>
            <w:pPr>
              <w:ind w:left="80"/>
              <w:spacing w:after="0"/>
              <w:rPr>
                <w:sz w:val="20"/>
                <w:szCs w:val="20"/>
                <w:color w:val="auto"/>
              </w:rPr>
            </w:pPr>
            <w:r>
              <w:rPr>
                <w:rFonts w:ascii="Verdana" w:cs="Verdana" w:eastAsia="Verdana" w:hAnsi="Verdana"/>
                <w:sz w:val="16"/>
                <w:szCs w:val="16"/>
                <w:color w:val="131313"/>
                <w:w w:val="77"/>
              </w:rPr>
              <w:t>$</w:t>
            </w:r>
          </w:p>
        </w:tc>
        <w:tc>
          <w:tcPr>
            <w:tcW w:w="760" w:type="dxa"/>
            <w:vAlign w:val="bottom"/>
          </w:tcPr>
          <w:p>
            <w:pPr>
              <w:jc w:val="right"/>
              <w:spacing w:after="0"/>
              <w:rPr>
                <w:sz w:val="20"/>
                <w:szCs w:val="20"/>
                <w:color w:val="auto"/>
              </w:rPr>
            </w:pPr>
            <w:r>
              <w:rPr>
                <w:rFonts w:ascii="Verdana" w:cs="Verdana" w:eastAsia="Verdana" w:hAnsi="Verdana"/>
                <w:sz w:val="16"/>
                <w:szCs w:val="16"/>
                <w:color w:val="131313"/>
                <w:w w:val="95"/>
              </w:rPr>
              <w:t>(14,904)</w:t>
            </w:r>
          </w:p>
        </w:tc>
        <w:tc>
          <w:tcPr>
            <w:tcW w:w="220" w:type="dxa"/>
            <w:vAlign w:val="bottom"/>
          </w:tcPr>
          <w:p>
            <w:pPr>
              <w:ind w:left="80"/>
              <w:spacing w:after="0"/>
              <w:rPr>
                <w:sz w:val="20"/>
                <w:szCs w:val="20"/>
                <w:color w:val="auto"/>
              </w:rPr>
            </w:pPr>
            <w:r>
              <w:rPr>
                <w:rFonts w:ascii="Verdana" w:cs="Verdana" w:eastAsia="Verdana" w:hAnsi="Verdana"/>
                <w:sz w:val="16"/>
                <w:szCs w:val="16"/>
                <w:color w:val="131313"/>
              </w:rPr>
              <w:t>$</w:t>
            </w:r>
          </w:p>
        </w:tc>
        <w:tc>
          <w:tcPr>
            <w:tcW w:w="680" w:type="dxa"/>
            <w:vAlign w:val="bottom"/>
          </w:tcPr>
          <w:p>
            <w:pPr>
              <w:jc w:val="right"/>
              <w:ind w:right="3"/>
              <w:spacing w:after="0"/>
              <w:rPr>
                <w:sz w:val="20"/>
                <w:szCs w:val="20"/>
                <w:color w:val="auto"/>
              </w:rPr>
            </w:pPr>
            <w:r>
              <w:rPr>
                <w:rFonts w:ascii="Verdana" w:cs="Verdana" w:eastAsia="Verdana" w:hAnsi="Verdana"/>
                <w:sz w:val="16"/>
                <w:szCs w:val="16"/>
                <w:color w:val="131313"/>
              </w:rPr>
              <w:t>933</w:t>
            </w:r>
          </w:p>
        </w:tc>
      </w:tr>
    </w:tbl>
    <w:p>
      <w:pPr>
        <w:spacing w:after="0" w:line="274" w:lineRule="exact"/>
        <w:rPr>
          <w:sz w:val="20"/>
          <w:szCs w:val="20"/>
          <w:color w:val="auto"/>
        </w:rPr>
      </w:pPr>
    </w:p>
    <w:p>
      <w:pPr>
        <w:ind w:right="880" w:firstLine="241"/>
        <w:spacing w:after="0" w:line="252" w:lineRule="auto"/>
        <w:rPr>
          <w:sz w:val="20"/>
          <w:szCs w:val="20"/>
          <w:color w:val="auto"/>
        </w:rPr>
      </w:pPr>
      <w:r>
        <w:rPr>
          <w:rFonts w:ascii="Calibri" w:cs="Calibri" w:eastAsia="Calibri" w:hAnsi="Calibri"/>
          <w:sz w:val="18"/>
          <w:szCs w:val="18"/>
          <w:color w:val="auto"/>
        </w:rPr>
        <w:t>The following table provides a reconciliation of cash and restricted cash recorded in the consolidated balance sheets to cash and restricted cash as presented on the consolidated statements of cash flows (in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00" w:type="dxa"/>
            <w:vAlign w:val="bottom"/>
          </w:tcPr>
          <w:p>
            <w:pPr>
              <w:spacing w:after="0"/>
              <w:rPr>
                <w:sz w:val="17"/>
                <w:szCs w:val="17"/>
                <w:color w:val="auto"/>
              </w:rPr>
            </w:pPr>
          </w:p>
        </w:tc>
        <w:tc>
          <w:tcPr>
            <w:tcW w:w="2760" w:type="dxa"/>
            <w:vAlign w:val="bottom"/>
            <w:tcBorders>
              <w:bottom w:val="single" w:sz="8" w:color="214E93"/>
            </w:tcBorders>
            <w:gridSpan w:val="3"/>
          </w:tcPr>
          <w:p>
            <w:pPr>
              <w:jc w:val="right"/>
              <w:ind w:right="404"/>
              <w:spacing w:after="0"/>
              <w:rPr>
                <w:sz w:val="20"/>
                <w:szCs w:val="20"/>
                <w:color w:val="auto"/>
              </w:rPr>
            </w:pPr>
            <w:r>
              <w:rPr>
                <w:rFonts w:ascii="Verdana" w:cs="Verdana" w:eastAsia="Verdana" w:hAnsi="Verdana"/>
                <w:sz w:val="14"/>
                <w:szCs w:val="14"/>
                <w:color w:val="auto"/>
              </w:rPr>
              <w:t>Year Ended December 31,</w:t>
            </w:r>
          </w:p>
        </w:tc>
      </w:tr>
      <w:tr>
        <w:trPr>
          <w:trHeight w:val="216"/>
        </w:trPr>
        <w:tc>
          <w:tcPr>
            <w:tcW w:w="6800" w:type="dxa"/>
            <w:vAlign w:val="bottom"/>
            <w:tcBorders>
              <w:bottom w:val="single" w:sz="8" w:color="214E93"/>
            </w:tcBorders>
          </w:tcPr>
          <w:p>
            <w:pPr>
              <w:spacing w:after="0"/>
              <w:rPr>
                <w:sz w:val="18"/>
                <w:szCs w:val="18"/>
                <w:color w:val="auto"/>
              </w:rPr>
            </w:pPr>
          </w:p>
        </w:tc>
        <w:tc>
          <w:tcPr>
            <w:tcW w:w="900" w:type="dxa"/>
            <w:vAlign w:val="bottom"/>
            <w:tcBorders>
              <w:bottom w:val="single" w:sz="8" w:color="214E93"/>
            </w:tcBorders>
          </w:tcPr>
          <w:p>
            <w:pPr>
              <w:jc w:val="right"/>
              <w:ind w:right="205"/>
              <w:spacing w:after="0"/>
              <w:rPr>
                <w:sz w:val="20"/>
                <w:szCs w:val="20"/>
                <w:color w:val="auto"/>
              </w:rPr>
            </w:pPr>
            <w:r>
              <w:rPr>
                <w:rFonts w:ascii="Verdana" w:cs="Verdana" w:eastAsia="Verdana" w:hAnsi="Verdana"/>
                <w:sz w:val="14"/>
                <w:szCs w:val="14"/>
                <w:color w:val="214E93"/>
              </w:rPr>
              <w:t>2025</w:t>
            </w:r>
          </w:p>
        </w:tc>
        <w:tc>
          <w:tcPr>
            <w:tcW w:w="940" w:type="dxa"/>
            <w:vAlign w:val="bottom"/>
            <w:tcBorders>
              <w:bottom w:val="single" w:sz="8" w:color="214E93"/>
            </w:tcBorders>
          </w:tcPr>
          <w:p>
            <w:pPr>
              <w:jc w:val="right"/>
              <w:ind w:right="204"/>
              <w:spacing w:after="0"/>
              <w:rPr>
                <w:sz w:val="20"/>
                <w:szCs w:val="20"/>
                <w:color w:val="auto"/>
              </w:rPr>
            </w:pPr>
            <w:r>
              <w:rPr>
                <w:rFonts w:ascii="Verdana" w:cs="Verdana" w:eastAsia="Verdana" w:hAnsi="Verdana"/>
                <w:sz w:val="14"/>
                <w:szCs w:val="14"/>
                <w:color w:val="auto"/>
              </w:rPr>
              <w:t>2024</w:t>
            </w:r>
          </w:p>
        </w:tc>
        <w:tc>
          <w:tcPr>
            <w:tcW w:w="920" w:type="dxa"/>
            <w:vAlign w:val="bottom"/>
            <w:tcBorders>
              <w:bottom w:val="single" w:sz="8" w:color="214E93"/>
            </w:tcBorders>
          </w:tcPr>
          <w:p>
            <w:pPr>
              <w:jc w:val="right"/>
              <w:ind w:right="184"/>
              <w:spacing w:after="0"/>
              <w:rPr>
                <w:sz w:val="20"/>
                <w:szCs w:val="20"/>
                <w:color w:val="auto"/>
              </w:rPr>
            </w:pPr>
            <w:r>
              <w:rPr>
                <w:rFonts w:ascii="Verdana" w:cs="Verdana" w:eastAsia="Verdana" w:hAnsi="Verdana"/>
                <w:sz w:val="14"/>
                <w:szCs w:val="14"/>
                <w:color w:val="auto"/>
              </w:rPr>
              <w:t>2023</w:t>
            </w:r>
          </w:p>
        </w:tc>
      </w:tr>
      <w:tr>
        <w:trPr>
          <w:trHeight w:val="211"/>
        </w:trPr>
        <w:tc>
          <w:tcPr>
            <w:tcW w:w="6800" w:type="dxa"/>
            <w:vAlign w:val="bottom"/>
          </w:tcPr>
          <w:p>
            <w:pPr>
              <w:ind w:left="40"/>
              <w:spacing w:after="0"/>
              <w:rPr>
                <w:sz w:val="20"/>
                <w:szCs w:val="20"/>
                <w:color w:val="auto"/>
              </w:rPr>
            </w:pPr>
            <w:r>
              <w:rPr>
                <w:rFonts w:ascii="Verdana" w:cs="Verdana" w:eastAsia="Verdana" w:hAnsi="Verdana"/>
                <w:sz w:val="16"/>
                <w:szCs w:val="16"/>
                <w:color w:val="auto"/>
              </w:rPr>
              <w:t>Cash</w:t>
            </w:r>
          </w:p>
        </w:tc>
        <w:tc>
          <w:tcPr>
            <w:tcW w:w="900" w:type="dxa"/>
            <w:vAlign w:val="bottom"/>
          </w:tcPr>
          <w:p>
            <w:pPr>
              <w:jc w:val="right"/>
              <w:ind w:right="45"/>
              <w:spacing w:after="0"/>
              <w:rPr>
                <w:sz w:val="20"/>
                <w:szCs w:val="20"/>
                <w:color w:val="auto"/>
              </w:rPr>
            </w:pPr>
            <w:r>
              <w:rPr>
                <w:rFonts w:ascii="Verdana" w:cs="Verdana" w:eastAsia="Verdana" w:hAnsi="Verdana"/>
                <w:sz w:val="16"/>
                <w:szCs w:val="16"/>
                <w:color w:val="214E93"/>
              </w:rPr>
              <w:t>$ 15,314</w:t>
            </w:r>
          </w:p>
        </w:tc>
        <w:tc>
          <w:tcPr>
            <w:tcW w:w="940" w:type="dxa"/>
            <w:vAlign w:val="bottom"/>
          </w:tcPr>
          <w:p>
            <w:pPr>
              <w:jc w:val="right"/>
              <w:ind w:right="24"/>
              <w:spacing w:after="0"/>
              <w:rPr>
                <w:sz w:val="20"/>
                <w:szCs w:val="20"/>
                <w:color w:val="auto"/>
              </w:rPr>
            </w:pPr>
            <w:r>
              <w:rPr>
                <w:rFonts w:ascii="Verdana" w:cs="Verdana" w:eastAsia="Verdana" w:hAnsi="Verdana"/>
                <w:sz w:val="16"/>
                <w:szCs w:val="16"/>
                <w:color w:val="131313"/>
              </w:rPr>
              <w:t>$ 23,033</w:t>
            </w:r>
          </w:p>
        </w:tc>
        <w:tc>
          <w:tcPr>
            <w:tcW w:w="920" w:type="dxa"/>
            <w:vAlign w:val="bottom"/>
          </w:tcPr>
          <w:p>
            <w:pPr>
              <w:jc w:val="right"/>
              <w:ind w:right="4"/>
              <w:spacing w:after="0"/>
              <w:rPr>
                <w:sz w:val="20"/>
                <w:szCs w:val="20"/>
                <w:color w:val="auto"/>
              </w:rPr>
            </w:pPr>
            <w:r>
              <w:rPr>
                <w:rFonts w:ascii="Verdana" w:cs="Verdana" w:eastAsia="Verdana" w:hAnsi="Verdana"/>
                <w:sz w:val="16"/>
                <w:szCs w:val="16"/>
                <w:color w:val="131313"/>
              </w:rPr>
              <w:t>$ 52,662</w:t>
            </w:r>
          </w:p>
        </w:tc>
      </w:tr>
      <w:tr>
        <w:trPr>
          <w:trHeight w:val="240"/>
        </w:trPr>
        <w:tc>
          <w:tcPr>
            <w:tcW w:w="680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Restricted cash</w:t>
            </w:r>
          </w:p>
        </w:tc>
        <w:tc>
          <w:tcPr>
            <w:tcW w:w="900" w:type="dxa"/>
            <w:vAlign w:val="bottom"/>
            <w:tcBorders>
              <w:bottom w:val="single" w:sz="8" w:color="auto"/>
            </w:tcBorders>
          </w:tcPr>
          <w:p>
            <w:pPr>
              <w:jc w:val="right"/>
              <w:ind w:right="45"/>
              <w:spacing w:after="0"/>
              <w:rPr>
                <w:sz w:val="20"/>
                <w:szCs w:val="20"/>
                <w:color w:val="auto"/>
              </w:rPr>
            </w:pPr>
            <w:r>
              <w:rPr>
                <w:rFonts w:ascii="Verdana" w:cs="Verdana" w:eastAsia="Verdana" w:hAnsi="Verdana"/>
                <w:sz w:val="16"/>
                <w:szCs w:val="16"/>
                <w:color w:val="214E93"/>
              </w:rPr>
              <w:t>64,163</w:t>
            </w:r>
          </w:p>
        </w:tc>
        <w:tc>
          <w:tcPr>
            <w:tcW w:w="940" w:type="dxa"/>
            <w:vAlign w:val="bottom"/>
            <w:tcBorders>
              <w:bottom w:val="single" w:sz="8" w:color="auto"/>
            </w:tcBorders>
          </w:tcPr>
          <w:p>
            <w:pPr>
              <w:jc w:val="right"/>
              <w:ind w:right="24"/>
              <w:spacing w:after="0"/>
              <w:rPr>
                <w:sz w:val="20"/>
                <w:szCs w:val="20"/>
                <w:color w:val="auto"/>
              </w:rPr>
            </w:pPr>
            <w:r>
              <w:rPr>
                <w:rFonts w:ascii="Verdana" w:cs="Verdana" w:eastAsia="Verdana" w:hAnsi="Verdana"/>
                <w:sz w:val="16"/>
                <w:szCs w:val="16"/>
                <w:color w:val="131313"/>
              </w:rPr>
              <w:t>71,709</w:t>
            </w:r>
          </w:p>
        </w:tc>
        <w:tc>
          <w:tcPr>
            <w:tcW w:w="920" w:type="dxa"/>
            <w:vAlign w:val="bottom"/>
            <w:tcBorders>
              <w:bottom w:val="single" w:sz="8" w:color="auto"/>
            </w:tcBorders>
          </w:tcPr>
          <w:p>
            <w:pPr>
              <w:jc w:val="right"/>
              <w:ind w:right="4"/>
              <w:spacing w:after="0"/>
              <w:rPr>
                <w:sz w:val="20"/>
                <w:szCs w:val="20"/>
                <w:color w:val="auto"/>
              </w:rPr>
            </w:pPr>
            <w:r>
              <w:rPr>
                <w:rFonts w:ascii="Verdana" w:cs="Verdana" w:eastAsia="Verdana" w:hAnsi="Verdana"/>
                <w:sz w:val="16"/>
                <w:szCs w:val="16"/>
                <w:color w:val="131313"/>
              </w:rPr>
              <w:t>53,636</w:t>
            </w:r>
          </w:p>
        </w:tc>
      </w:tr>
      <w:tr>
        <w:trPr>
          <w:trHeight w:val="217"/>
        </w:trPr>
        <w:tc>
          <w:tcPr>
            <w:tcW w:w="6800" w:type="dxa"/>
            <w:vAlign w:val="bottom"/>
            <w:tcBorders>
              <w:bottom w:val="single" w:sz="8" w:color="214E93"/>
            </w:tcBorders>
          </w:tcPr>
          <w:p>
            <w:pPr>
              <w:ind w:left="160"/>
              <w:spacing w:after="0"/>
              <w:rPr>
                <w:sz w:val="20"/>
                <w:szCs w:val="20"/>
                <w:color w:val="auto"/>
              </w:rPr>
            </w:pPr>
            <w:r>
              <w:rPr>
                <w:rFonts w:ascii="Verdana" w:cs="Verdana" w:eastAsia="Verdana" w:hAnsi="Verdana"/>
                <w:sz w:val="16"/>
                <w:szCs w:val="16"/>
                <w:color w:val="auto"/>
              </w:rPr>
              <w:t>Total cash and restricted cash</w:t>
            </w:r>
          </w:p>
        </w:tc>
        <w:tc>
          <w:tcPr>
            <w:tcW w:w="900" w:type="dxa"/>
            <w:vAlign w:val="bottom"/>
            <w:tcBorders>
              <w:bottom w:val="single" w:sz="8" w:color="214E93"/>
            </w:tcBorders>
          </w:tcPr>
          <w:p>
            <w:pPr>
              <w:jc w:val="right"/>
              <w:ind w:right="45"/>
              <w:spacing w:after="0"/>
              <w:rPr>
                <w:sz w:val="20"/>
                <w:szCs w:val="20"/>
                <w:color w:val="auto"/>
              </w:rPr>
            </w:pPr>
            <w:r>
              <w:rPr>
                <w:rFonts w:ascii="Verdana" w:cs="Verdana" w:eastAsia="Verdana" w:hAnsi="Verdana"/>
                <w:sz w:val="16"/>
                <w:szCs w:val="16"/>
                <w:color w:val="214E93"/>
              </w:rPr>
              <w:t>$ 79,477</w:t>
            </w:r>
          </w:p>
        </w:tc>
        <w:tc>
          <w:tcPr>
            <w:tcW w:w="940" w:type="dxa"/>
            <w:vAlign w:val="bottom"/>
            <w:tcBorders>
              <w:bottom w:val="single" w:sz="8" w:color="214E93"/>
            </w:tcBorders>
          </w:tcPr>
          <w:p>
            <w:pPr>
              <w:jc w:val="right"/>
              <w:ind w:right="24"/>
              <w:spacing w:after="0"/>
              <w:rPr>
                <w:sz w:val="20"/>
                <w:szCs w:val="20"/>
                <w:color w:val="auto"/>
              </w:rPr>
            </w:pPr>
            <w:r>
              <w:rPr>
                <w:rFonts w:ascii="Verdana" w:cs="Verdana" w:eastAsia="Verdana" w:hAnsi="Verdana"/>
                <w:sz w:val="16"/>
                <w:szCs w:val="16"/>
                <w:color w:val="131313"/>
              </w:rPr>
              <w:t>$ 94,742</w:t>
            </w:r>
          </w:p>
        </w:tc>
        <w:tc>
          <w:tcPr>
            <w:tcW w:w="92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131313"/>
              </w:rPr>
              <w:t>$106,298</w:t>
            </w:r>
          </w:p>
        </w:tc>
      </w:tr>
    </w:tbl>
    <w:p>
      <w:pPr>
        <w:spacing w:after="0" w:line="2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Verdana" w:cs="Verdana" w:eastAsia="Verdana" w:hAnsi="Verdana"/>
          <w:sz w:val="20"/>
          <w:szCs w:val="20"/>
          <w:color w:val="214E93"/>
        </w:rPr>
        <w:t>NOTE 16 — SEGMENT INFORMATION</w:t>
      </w:r>
    </w:p>
    <w:p>
      <w:pPr>
        <w:spacing w:after="0" w:line="209" w:lineRule="exact"/>
        <w:rPr>
          <w:sz w:val="20"/>
          <w:szCs w:val="20"/>
          <w:color w:val="auto"/>
        </w:rPr>
      </w:pPr>
    </w:p>
    <w:p>
      <w:pPr>
        <w:ind w:right="800" w:firstLine="241"/>
        <w:spacing w:after="0" w:line="268" w:lineRule="auto"/>
        <w:rPr>
          <w:sz w:val="20"/>
          <w:szCs w:val="20"/>
          <w:color w:val="auto"/>
        </w:rPr>
      </w:pPr>
      <w:r>
        <w:rPr>
          <w:rFonts w:ascii="Calibri" w:cs="Calibri" w:eastAsia="Calibri" w:hAnsi="Calibri"/>
          <w:sz w:val="18"/>
          <w:szCs w:val="18"/>
          <w:color w:val="auto"/>
        </w:rPr>
        <w:t>The Company has two reportable business segments: (i) exploration and production and (ii) midstream. The exploration and production segment is engaged in the exploration, development, production and acquisition of oil and natural gas resources in the United States and is currently focused primarily on the oil and liquids-rich portion of the Wolfcamp and Bone Spring plays in the Delaware Basin in Southeast New Mexico and West Texas. The Company also has operations in the Haynesville shale and Cotton Valley plays in Northwest Louisiana. The midstream segment conducts midstream operations in support of, and provides flow assurance for, the Company’s exploration, development and production operations and provides natural gas processing, oil transportation services, oil, natural gas and produced water gathering services and produced water disposal services to third parties. The majority of the Company’s midstream operations in the Delaware Basin are conducted through San Mateo.</w:t>
      </w:r>
    </w:p>
    <w:p>
      <w:pPr>
        <w:spacing w:after="0" w:line="217" w:lineRule="exact"/>
        <w:rPr>
          <w:sz w:val="20"/>
          <w:szCs w:val="20"/>
          <w:color w:val="auto"/>
        </w:rPr>
      </w:pPr>
    </w:p>
    <w:p>
      <w:pPr>
        <w:ind w:right="860" w:firstLine="241"/>
        <w:spacing w:after="0" w:line="264" w:lineRule="auto"/>
        <w:rPr>
          <w:sz w:val="20"/>
          <w:szCs w:val="20"/>
          <w:color w:val="auto"/>
        </w:rPr>
      </w:pPr>
      <w:r>
        <w:rPr>
          <w:rFonts w:ascii="Calibri" w:cs="Calibri" w:eastAsia="Calibri" w:hAnsi="Calibri"/>
          <w:sz w:val="18"/>
          <w:szCs w:val="18"/>
          <w:color w:val="auto"/>
        </w:rPr>
        <w:t>The Company’s chief operating decision maker (“CODM”) is the Chairman and Chief Executive Officer. The CODM uses operating income to assess income generated from each segment to allocate resources by either reinvesting profits as midstream or drilling and completion capital expenditures, or for determining the appropriate amounts for acquisition spend, the repayment of debt, the payment of dividends and repurchases of common stock.</w:t>
      </w:r>
    </w:p>
    <w:p>
      <w:pPr>
        <w:spacing w:after="0" w:line="221" w:lineRule="exact"/>
        <w:rPr>
          <w:sz w:val="20"/>
          <w:szCs w:val="20"/>
          <w:color w:val="auto"/>
        </w:rPr>
      </w:pPr>
    </w:p>
    <w:p>
      <w:pPr>
        <w:ind w:right="820" w:firstLine="241"/>
        <w:spacing w:after="0" w:line="268" w:lineRule="auto"/>
        <w:rPr>
          <w:sz w:val="20"/>
          <w:szCs w:val="20"/>
          <w:color w:val="auto"/>
        </w:rPr>
      </w:pPr>
      <w:r>
        <w:rPr>
          <w:rFonts w:ascii="Calibri" w:cs="Calibri" w:eastAsia="Calibri" w:hAnsi="Calibri"/>
          <w:sz w:val="18"/>
          <w:szCs w:val="18"/>
          <w:color w:val="auto"/>
        </w:rPr>
        <w:t>The following tables present selected financial information for the periods presented regarding the Company’s business segments on a stand-alone basis, corporate expenses that are not allocated to a segment and the consolidation and elimination entries necessary to arrive at the financial information for the Company on a consolidated basis (in thousands). On a consolidated basis, midstream services revenues consist primarily of those revenues from midstream operations related to third parties, including working interest owners in the Company’s operated wells. All midstream services revenues associated with Company-owned production are eliminated in consolidation. In evaluating the operating results of the exploration and production and midstream segments, the Company does not allocate certain expenses to the individual segments, including general and administrative expenses. Such expenses are reflected in the column labeled “Corporate.”</w:t>
      </w:r>
    </w:p>
    <w:p>
      <w:pPr>
        <w:sectPr>
          <w:pgSz w:w="11880" w:h="15480" w:orient="portrait"/>
          <w:cols w:equalWidth="0" w:num="1">
            <w:col w:w="10340"/>
          </w:cols>
          <w:pgMar w:left="1160" w:top="498"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900"/>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0340"/>
          </w:cols>
          <w:pgMar w:left="1160" w:top="498" w:right="380" w:bottom="0" w:gutter="0" w:footer="0" w:header="0"/>
          <w:type w:val="continuous"/>
        </w:sectPr>
      </w:pPr>
    </w:p>
    <w:bookmarkStart w:id="171" w:name="page172"/>
    <w:bookmarkEnd w:id="171"/>
    <w:p>
      <w:pPr>
        <w:spacing w:after="0"/>
        <w:tabs>
          <w:tab w:leader="none" w:pos="800" w:val="left"/>
        </w:tabs>
        <w:rPr>
          <w:sz w:val="20"/>
          <w:szCs w:val="20"/>
          <w:color w:val="auto"/>
        </w:rPr>
      </w:pPr>
      <w:r>
        <w:rPr>
          <w:rFonts w:ascii="Calibri" w:cs="Calibri" w:eastAsia="Calibri" w:hAnsi="Calibri"/>
          <w:sz w:val="18"/>
          <w:szCs w:val="18"/>
          <w:color w:val="auto"/>
        </w:rPr>
        <w:t>F-41</w:t>
      </w:r>
      <w:r>
        <w:rPr>
          <w:sz w:val="20"/>
          <w:szCs w:val="20"/>
          <w:color w:val="auto"/>
        </w:rPr>
        <w:tab/>
      </w:r>
      <w:r>
        <w:rPr>
          <w:rFonts w:ascii="Calibri" w:cs="Calibri" w:eastAsia="Calibri" w:hAnsi="Calibri"/>
          <w:sz w:val="17"/>
          <w:szCs w:val="17"/>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490220</wp:posOffset>
                </wp:positionH>
                <wp:positionV relativeFrom="paragraph">
                  <wp:posOffset>320675</wp:posOffset>
                </wp:positionV>
                <wp:extent cx="6812280" cy="0"/>
                <wp:wrapNone/>
                <wp:docPr id="338" name="Shape 3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38" o:spid="_x0000_s13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25.25pt" to="57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490220</wp:posOffset>
                </wp:positionH>
                <wp:positionV relativeFrom="paragraph">
                  <wp:posOffset>320675</wp:posOffset>
                </wp:positionV>
                <wp:extent cx="6812280" cy="0"/>
                <wp:wrapNone/>
                <wp:docPr id="339" name="Shape 3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39" o:spid="_x0000_s13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25.25pt" to="57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80"/>
        <w:spacing w:after="0"/>
        <w:rPr>
          <w:sz w:val="20"/>
          <w:szCs w:val="20"/>
          <w:color w:val="auto"/>
        </w:rPr>
      </w:pPr>
      <w:r>
        <w:rPr>
          <w:rFonts w:ascii="Verdana" w:cs="Verdana" w:eastAsia="Verdana" w:hAnsi="Verdana"/>
          <w:sz w:val="20"/>
          <w:szCs w:val="20"/>
          <w:color w:val="214E93"/>
        </w:rPr>
        <w:t>NOTE 16 — SEGMENT INFORMATION — Continued</w:t>
      </w:r>
    </w:p>
    <w:p>
      <w:pPr>
        <w:spacing w:after="0" w:line="297"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ind w:right="142"/>
              <w:spacing w:after="0"/>
              <w:rPr>
                <w:sz w:val="20"/>
                <w:szCs w:val="20"/>
                <w:color w:val="auto"/>
              </w:rPr>
            </w:pPr>
            <w:r>
              <w:rPr>
                <w:rFonts w:ascii="Verdana" w:cs="Verdana" w:eastAsia="Verdana" w:hAnsi="Verdana"/>
                <w:sz w:val="14"/>
                <w:szCs w:val="14"/>
                <w:color w:val="auto"/>
                <w:w w:val="98"/>
              </w:rPr>
              <w:t>Exploration</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162"/>
              <w:spacing w:after="0"/>
              <w:rPr>
                <w:sz w:val="20"/>
                <w:szCs w:val="20"/>
                <w:color w:val="auto"/>
              </w:rPr>
            </w:pPr>
            <w:r>
              <w:rPr>
                <w:rFonts w:ascii="Verdana" w:cs="Verdana" w:eastAsia="Verdana" w:hAnsi="Verdana"/>
                <w:sz w:val="14"/>
                <w:szCs w:val="14"/>
                <w:color w:val="auto"/>
                <w:w w:val="98"/>
              </w:rPr>
              <w:t>Consolidations</w:t>
            </w:r>
          </w:p>
        </w:tc>
        <w:tc>
          <w:tcPr>
            <w:tcW w:w="200" w:type="dxa"/>
            <w:vAlign w:val="bottom"/>
          </w:tcPr>
          <w:p>
            <w:pPr>
              <w:spacing w:after="0"/>
              <w:rPr>
                <w:sz w:val="14"/>
                <w:szCs w:val="14"/>
                <w:color w:val="auto"/>
              </w:rPr>
            </w:pPr>
          </w:p>
        </w:tc>
        <w:tc>
          <w:tcPr>
            <w:tcW w:w="1100" w:type="dxa"/>
            <w:vAlign w:val="bottom"/>
          </w:tcPr>
          <w:p>
            <w:pPr>
              <w:jc w:val="right"/>
              <w:ind w:right="123"/>
              <w:spacing w:after="0"/>
              <w:rPr>
                <w:sz w:val="20"/>
                <w:szCs w:val="20"/>
                <w:color w:val="auto"/>
              </w:rPr>
            </w:pPr>
            <w:r>
              <w:rPr>
                <w:rFonts w:ascii="Verdana" w:cs="Verdana" w:eastAsia="Verdana" w:hAnsi="Verdana"/>
                <w:sz w:val="14"/>
                <w:szCs w:val="14"/>
                <w:color w:val="auto"/>
                <w:w w:val="97"/>
              </w:rPr>
              <w:t>Consolidated</w:t>
            </w:r>
          </w:p>
        </w:tc>
      </w:tr>
      <w:tr>
        <w:trPr>
          <w:trHeight w:val="193"/>
        </w:trPr>
        <w:tc>
          <w:tcPr>
            <w:tcW w:w="2820" w:type="dxa"/>
            <w:vAlign w:val="bottom"/>
            <w:tcBorders>
              <w:bottom w:val="single" w:sz="8" w:color="214E93"/>
            </w:tcBorders>
          </w:tcPr>
          <w:p>
            <w:pPr>
              <w:spacing w:after="0"/>
              <w:rPr>
                <w:sz w:val="16"/>
                <w:szCs w:val="16"/>
                <w:color w:val="auto"/>
              </w:rPr>
            </w:pPr>
          </w:p>
        </w:tc>
        <w:tc>
          <w:tcPr>
            <w:tcW w:w="1480" w:type="dxa"/>
            <w:vAlign w:val="bottom"/>
            <w:tcBorders>
              <w:bottom w:val="single" w:sz="8" w:color="214E93"/>
            </w:tcBorders>
            <w:gridSpan w:val="2"/>
          </w:tcPr>
          <w:p>
            <w:pPr>
              <w:ind w:left="360"/>
              <w:spacing w:after="0"/>
              <w:rPr>
                <w:sz w:val="20"/>
                <w:szCs w:val="20"/>
                <w:color w:val="auto"/>
              </w:rPr>
            </w:pPr>
            <w:r>
              <w:rPr>
                <w:rFonts w:ascii="Verdana" w:cs="Verdana" w:eastAsia="Verdana" w:hAnsi="Verdana"/>
                <w:sz w:val="14"/>
                <w:szCs w:val="14"/>
                <w:color w:val="auto"/>
              </w:rPr>
              <w:t>and Production</w:t>
            </w:r>
          </w:p>
        </w:tc>
        <w:tc>
          <w:tcPr>
            <w:tcW w:w="240" w:type="dxa"/>
            <w:vAlign w:val="bottom"/>
            <w:tcBorders>
              <w:bottom w:val="single" w:sz="8" w:color="214E93"/>
            </w:tcBorders>
          </w:tcPr>
          <w:p>
            <w:pPr>
              <w:spacing w:after="0"/>
              <w:rPr>
                <w:sz w:val="16"/>
                <w:szCs w:val="16"/>
                <w:color w:val="auto"/>
              </w:rPr>
            </w:pPr>
          </w:p>
        </w:tc>
        <w:tc>
          <w:tcPr>
            <w:tcW w:w="1000" w:type="dxa"/>
            <w:vAlign w:val="bottom"/>
            <w:tcBorders>
              <w:bottom w:val="single" w:sz="8" w:color="214E93"/>
            </w:tcBorders>
          </w:tcPr>
          <w:p>
            <w:pPr>
              <w:jc w:val="right"/>
              <w:ind w:right="162"/>
              <w:spacing w:after="0"/>
              <w:rPr>
                <w:sz w:val="20"/>
                <w:szCs w:val="20"/>
                <w:color w:val="auto"/>
              </w:rPr>
            </w:pPr>
            <w:r>
              <w:rPr>
                <w:rFonts w:ascii="Verdana" w:cs="Verdana" w:eastAsia="Verdana" w:hAnsi="Verdana"/>
                <w:sz w:val="14"/>
                <w:szCs w:val="14"/>
                <w:color w:val="auto"/>
              </w:rPr>
              <w:t>Midstream</w:t>
            </w:r>
          </w:p>
        </w:tc>
        <w:tc>
          <w:tcPr>
            <w:tcW w:w="240" w:type="dxa"/>
            <w:vAlign w:val="bottom"/>
            <w:tcBorders>
              <w:bottom w:val="single" w:sz="8" w:color="214E93"/>
            </w:tcBorders>
          </w:tcPr>
          <w:p>
            <w:pPr>
              <w:spacing w:after="0"/>
              <w:rPr>
                <w:sz w:val="16"/>
                <w:szCs w:val="16"/>
                <w:color w:val="auto"/>
              </w:rPr>
            </w:pPr>
          </w:p>
        </w:tc>
        <w:tc>
          <w:tcPr>
            <w:tcW w:w="1040" w:type="dxa"/>
            <w:vAlign w:val="bottom"/>
            <w:tcBorders>
              <w:bottom w:val="single" w:sz="8" w:color="214E93"/>
            </w:tcBorders>
          </w:tcPr>
          <w:p>
            <w:pPr>
              <w:jc w:val="right"/>
              <w:ind w:right="222"/>
              <w:spacing w:after="0"/>
              <w:rPr>
                <w:sz w:val="20"/>
                <w:szCs w:val="20"/>
                <w:color w:val="auto"/>
              </w:rPr>
            </w:pPr>
            <w:r>
              <w:rPr>
                <w:rFonts w:ascii="Verdana" w:cs="Verdana" w:eastAsia="Verdana" w:hAnsi="Verdana"/>
                <w:sz w:val="14"/>
                <w:szCs w:val="14"/>
                <w:color w:val="auto"/>
              </w:rPr>
              <w:t>Corporate</w:t>
            </w:r>
          </w:p>
        </w:tc>
        <w:tc>
          <w:tcPr>
            <w:tcW w:w="1440" w:type="dxa"/>
            <w:vAlign w:val="bottom"/>
            <w:tcBorders>
              <w:bottom w:val="single" w:sz="8" w:color="214E93"/>
            </w:tcBorders>
            <w:gridSpan w:val="2"/>
          </w:tcPr>
          <w:p>
            <w:pPr>
              <w:jc w:val="right"/>
              <w:ind w:right="82"/>
              <w:spacing w:after="0"/>
              <w:rPr>
                <w:sz w:val="20"/>
                <w:szCs w:val="20"/>
                <w:color w:val="auto"/>
              </w:rPr>
            </w:pPr>
            <w:r>
              <w:rPr>
                <w:rFonts w:ascii="Verdana" w:cs="Verdana" w:eastAsia="Verdana" w:hAnsi="Verdana"/>
                <w:sz w:val="14"/>
                <w:szCs w:val="14"/>
                <w:color w:val="auto"/>
              </w:rPr>
              <w:t>and Eliminations</w:t>
            </w:r>
          </w:p>
        </w:tc>
        <w:tc>
          <w:tcPr>
            <w:tcW w:w="200" w:type="dxa"/>
            <w:vAlign w:val="bottom"/>
            <w:tcBorders>
              <w:bottom w:val="single" w:sz="8" w:color="214E93"/>
            </w:tcBorders>
          </w:tcPr>
          <w:p>
            <w:pPr>
              <w:spacing w:after="0"/>
              <w:rPr>
                <w:sz w:val="16"/>
                <w:szCs w:val="16"/>
                <w:color w:val="auto"/>
              </w:rPr>
            </w:pPr>
          </w:p>
        </w:tc>
        <w:tc>
          <w:tcPr>
            <w:tcW w:w="1100" w:type="dxa"/>
            <w:vAlign w:val="bottom"/>
            <w:tcBorders>
              <w:bottom w:val="single" w:sz="8" w:color="214E93"/>
            </w:tcBorders>
          </w:tcPr>
          <w:p>
            <w:pPr>
              <w:jc w:val="right"/>
              <w:ind w:right="243"/>
              <w:spacing w:after="0"/>
              <w:rPr>
                <w:sz w:val="20"/>
                <w:szCs w:val="20"/>
                <w:color w:val="auto"/>
              </w:rPr>
            </w:pPr>
            <w:r>
              <w:rPr>
                <w:rFonts w:ascii="Verdana" w:cs="Verdana" w:eastAsia="Verdana" w:hAnsi="Verdana"/>
                <w:sz w:val="14"/>
                <w:szCs w:val="14"/>
                <w:color w:val="auto"/>
              </w:rPr>
              <w:t>Company</w:t>
            </w:r>
          </w:p>
        </w:tc>
      </w:tr>
      <w:tr>
        <w:trPr>
          <w:trHeight w:val="218"/>
        </w:trPr>
        <w:tc>
          <w:tcPr>
            <w:tcW w:w="2820" w:type="dxa"/>
            <w:vAlign w:val="bottom"/>
          </w:tcPr>
          <w:p>
            <w:pPr>
              <w:ind w:left="40"/>
              <w:spacing w:after="0" w:line="218" w:lineRule="exact"/>
              <w:rPr>
                <w:sz w:val="20"/>
                <w:szCs w:val="20"/>
                <w:color w:val="auto"/>
              </w:rPr>
            </w:pPr>
            <w:r>
              <w:rPr>
                <w:rFonts w:ascii="Calibri" w:cs="Calibri" w:eastAsia="Calibri" w:hAnsi="Calibri"/>
                <w:sz w:val="19"/>
                <w:szCs w:val="19"/>
                <w:b w:val="1"/>
                <w:bCs w:val="1"/>
                <w:color w:val="214E93"/>
              </w:rPr>
              <w:t>Year Ended December 31, 2025</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3"/>
        </w:trPr>
        <w:tc>
          <w:tcPr>
            <w:tcW w:w="2820" w:type="dxa"/>
            <w:vAlign w:val="bottom"/>
          </w:tcPr>
          <w:p>
            <w:pPr>
              <w:ind w:left="40"/>
              <w:spacing w:after="0"/>
              <w:rPr>
                <w:sz w:val="20"/>
                <w:szCs w:val="20"/>
                <w:color w:val="auto"/>
              </w:rPr>
            </w:pPr>
            <w:r>
              <w:rPr>
                <w:rFonts w:ascii="Verdana" w:cs="Verdana" w:eastAsia="Verdana" w:hAnsi="Verdana"/>
                <w:sz w:val="16"/>
                <w:szCs w:val="16"/>
                <w:color w:val="auto"/>
              </w:rPr>
              <w:t>Oil and natural gas revenues</w:t>
            </w:r>
          </w:p>
        </w:tc>
        <w:tc>
          <w:tcPr>
            <w:tcW w:w="460" w:type="dxa"/>
            <w:vAlign w:val="bottom"/>
          </w:tcPr>
          <w:p>
            <w:pPr>
              <w:ind w:left="340"/>
              <w:spacing w:after="0"/>
              <w:rPr>
                <w:sz w:val="20"/>
                <w:szCs w:val="20"/>
                <w:color w:val="auto"/>
              </w:rPr>
            </w:pPr>
            <w:r>
              <w:rPr>
                <w:rFonts w:ascii="Verdana" w:cs="Verdana" w:eastAsia="Verdana" w:hAnsi="Verdana"/>
                <w:sz w:val="16"/>
                <w:szCs w:val="16"/>
                <w:color w:val="214E93"/>
                <w:w w:val="97"/>
              </w:rPr>
              <w:t>$</w:t>
            </w:r>
          </w:p>
        </w:tc>
        <w:tc>
          <w:tcPr>
            <w:tcW w:w="1020" w:type="dxa"/>
            <w:vAlign w:val="bottom"/>
          </w:tcPr>
          <w:p>
            <w:pPr>
              <w:jc w:val="right"/>
              <w:ind w:right="22"/>
              <w:spacing w:after="0"/>
              <w:rPr>
                <w:sz w:val="20"/>
                <w:szCs w:val="20"/>
                <w:color w:val="auto"/>
              </w:rPr>
            </w:pPr>
            <w:r>
              <w:rPr>
                <w:rFonts w:ascii="Verdana" w:cs="Verdana" w:eastAsia="Verdana" w:hAnsi="Verdana"/>
                <w:sz w:val="16"/>
                <w:szCs w:val="16"/>
                <w:color w:val="214E93"/>
              </w:rPr>
              <w:t>3,227,055</w:t>
            </w:r>
          </w:p>
        </w:tc>
        <w:tc>
          <w:tcPr>
            <w:tcW w:w="24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1000" w:type="dxa"/>
            <w:vAlign w:val="bottom"/>
          </w:tcPr>
          <w:p>
            <w:pPr>
              <w:jc w:val="right"/>
              <w:ind w:right="22"/>
              <w:spacing w:after="0"/>
              <w:rPr>
                <w:sz w:val="20"/>
                <w:szCs w:val="20"/>
                <w:color w:val="auto"/>
              </w:rPr>
            </w:pPr>
            <w:r>
              <w:rPr>
                <w:rFonts w:ascii="Verdana" w:cs="Verdana" w:eastAsia="Verdana" w:hAnsi="Verdana"/>
                <w:sz w:val="16"/>
                <w:szCs w:val="16"/>
                <w:color w:val="214E93"/>
              </w:rPr>
              <w:t>11,695</w:t>
            </w:r>
          </w:p>
        </w:tc>
        <w:tc>
          <w:tcPr>
            <w:tcW w:w="24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1040" w:type="dxa"/>
            <w:vAlign w:val="bottom"/>
          </w:tcPr>
          <w:p>
            <w:pPr>
              <w:jc w:val="right"/>
              <w:ind w:right="62"/>
              <w:spacing w:after="0"/>
              <w:rPr>
                <w:sz w:val="20"/>
                <w:szCs w:val="20"/>
                <w:color w:val="auto"/>
              </w:rPr>
            </w:pPr>
            <w:r>
              <w:rPr>
                <w:rFonts w:ascii="Verdana" w:cs="Verdana" w:eastAsia="Verdana" w:hAnsi="Verdana"/>
                <w:sz w:val="16"/>
                <w:szCs w:val="16"/>
                <w:color w:val="214E93"/>
              </w:rPr>
              <w:t>—</w:t>
            </w:r>
          </w:p>
        </w:tc>
        <w:tc>
          <w:tcPr>
            <w:tcW w:w="18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1260" w:type="dxa"/>
            <w:vAlign w:val="bottom"/>
          </w:tcPr>
          <w:p>
            <w:pPr>
              <w:jc w:val="right"/>
              <w:ind w:right="62"/>
              <w:spacing w:after="0"/>
              <w:rPr>
                <w:sz w:val="20"/>
                <w:szCs w:val="20"/>
                <w:color w:val="auto"/>
              </w:rPr>
            </w:pPr>
            <w:r>
              <w:rPr>
                <w:rFonts w:ascii="Verdana" w:cs="Verdana" w:eastAsia="Verdana" w:hAnsi="Verdana"/>
                <w:sz w:val="16"/>
                <w:szCs w:val="16"/>
                <w:color w:val="214E93"/>
              </w:rPr>
              <w:t>—</w:t>
            </w:r>
          </w:p>
        </w:tc>
        <w:tc>
          <w:tcPr>
            <w:tcW w:w="20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1100" w:type="dxa"/>
            <w:vAlign w:val="bottom"/>
          </w:tcPr>
          <w:p>
            <w:pPr>
              <w:jc w:val="right"/>
              <w:ind w:right="3"/>
              <w:spacing w:after="0"/>
              <w:rPr>
                <w:sz w:val="20"/>
                <w:szCs w:val="20"/>
                <w:color w:val="auto"/>
              </w:rPr>
            </w:pPr>
            <w:r>
              <w:rPr>
                <w:rFonts w:ascii="Verdana" w:cs="Verdana" w:eastAsia="Verdana" w:hAnsi="Verdana"/>
                <w:sz w:val="16"/>
                <w:szCs w:val="16"/>
                <w:color w:val="214E93"/>
              </w:rPr>
              <w:t>3,238,750</w:t>
            </w:r>
          </w:p>
        </w:tc>
      </w:tr>
      <w:tr>
        <w:trPr>
          <w:trHeight w:val="236"/>
        </w:trPr>
        <w:tc>
          <w:tcPr>
            <w:tcW w:w="2820" w:type="dxa"/>
            <w:vAlign w:val="bottom"/>
          </w:tcPr>
          <w:p>
            <w:pPr>
              <w:ind w:left="40"/>
              <w:spacing w:after="0"/>
              <w:rPr>
                <w:sz w:val="20"/>
                <w:szCs w:val="20"/>
                <w:color w:val="auto"/>
              </w:rPr>
            </w:pPr>
            <w:r>
              <w:rPr>
                <w:rFonts w:ascii="Verdana" w:cs="Verdana" w:eastAsia="Verdana" w:hAnsi="Verdana"/>
                <w:sz w:val="16"/>
                <w:szCs w:val="16"/>
                <w:color w:val="auto"/>
              </w:rPr>
              <w:t>Midstream services revenues</w:t>
            </w:r>
          </w:p>
        </w:tc>
        <w:tc>
          <w:tcPr>
            <w:tcW w:w="46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Verdana" w:cs="Verdana" w:eastAsia="Verdana" w:hAnsi="Verdana"/>
                <w:sz w:val="16"/>
                <w:szCs w:val="16"/>
                <w:color w:val="214E93"/>
              </w:rPr>
              <w:t>—</w:t>
            </w:r>
          </w:p>
        </w:tc>
        <w:tc>
          <w:tcPr>
            <w:tcW w:w="240" w:type="dxa"/>
            <w:vAlign w:val="bottom"/>
          </w:tcPr>
          <w:p>
            <w:pPr>
              <w:spacing w:after="0"/>
              <w:rPr>
                <w:sz w:val="20"/>
                <w:szCs w:val="20"/>
                <w:color w:val="auto"/>
              </w:rPr>
            </w:pPr>
          </w:p>
        </w:tc>
        <w:tc>
          <w:tcPr>
            <w:tcW w:w="1000" w:type="dxa"/>
            <w:vAlign w:val="bottom"/>
          </w:tcPr>
          <w:p>
            <w:pPr>
              <w:jc w:val="right"/>
              <w:ind w:right="22"/>
              <w:spacing w:after="0"/>
              <w:rPr>
                <w:sz w:val="20"/>
                <w:szCs w:val="20"/>
                <w:color w:val="auto"/>
              </w:rPr>
            </w:pPr>
            <w:r>
              <w:rPr>
                <w:rFonts w:ascii="Verdana" w:cs="Verdana" w:eastAsia="Verdana" w:hAnsi="Verdana"/>
                <w:sz w:val="16"/>
                <w:szCs w:val="16"/>
                <w:color w:val="214E93"/>
              </w:rPr>
              <w:t>549,865</w:t>
            </w:r>
          </w:p>
        </w:tc>
        <w:tc>
          <w:tcPr>
            <w:tcW w:w="240" w:type="dxa"/>
            <w:vAlign w:val="bottom"/>
          </w:tcPr>
          <w:p>
            <w:pPr>
              <w:spacing w:after="0"/>
              <w:rPr>
                <w:sz w:val="20"/>
                <w:szCs w:val="20"/>
                <w:color w:val="auto"/>
              </w:rPr>
            </w:pPr>
          </w:p>
        </w:tc>
        <w:tc>
          <w:tcPr>
            <w:tcW w:w="1040" w:type="dxa"/>
            <w:vAlign w:val="bottom"/>
          </w:tcPr>
          <w:p>
            <w:pPr>
              <w:jc w:val="right"/>
              <w:ind w:right="62"/>
              <w:spacing w:after="0"/>
              <w:rPr>
                <w:sz w:val="20"/>
                <w:szCs w:val="20"/>
                <w:color w:val="auto"/>
              </w:rPr>
            </w:pPr>
            <w:r>
              <w:rPr>
                <w:rFonts w:ascii="Verdana" w:cs="Verdana" w:eastAsia="Verdana" w:hAnsi="Verdana"/>
                <w:sz w:val="16"/>
                <w:szCs w:val="16"/>
                <w:color w:val="214E93"/>
              </w:rPr>
              <w:t>—</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Verdana" w:cs="Verdana" w:eastAsia="Verdana" w:hAnsi="Verdana"/>
                <w:sz w:val="16"/>
                <w:szCs w:val="16"/>
                <w:color w:val="214E93"/>
              </w:rPr>
              <w:t>(385,132)</w:t>
            </w:r>
          </w:p>
        </w:tc>
        <w:tc>
          <w:tcPr>
            <w:tcW w:w="200" w:type="dxa"/>
            <w:vAlign w:val="bottom"/>
          </w:tcPr>
          <w:p>
            <w:pPr>
              <w:spacing w:after="0"/>
              <w:rPr>
                <w:sz w:val="20"/>
                <w:szCs w:val="20"/>
                <w:color w:val="auto"/>
              </w:rPr>
            </w:pPr>
          </w:p>
        </w:tc>
        <w:tc>
          <w:tcPr>
            <w:tcW w:w="1100" w:type="dxa"/>
            <w:vAlign w:val="bottom"/>
          </w:tcPr>
          <w:p>
            <w:pPr>
              <w:jc w:val="right"/>
              <w:ind w:right="3"/>
              <w:spacing w:after="0"/>
              <w:rPr>
                <w:sz w:val="20"/>
                <w:szCs w:val="20"/>
                <w:color w:val="auto"/>
              </w:rPr>
            </w:pPr>
            <w:r>
              <w:rPr>
                <w:rFonts w:ascii="Verdana" w:cs="Verdana" w:eastAsia="Verdana" w:hAnsi="Verdana"/>
                <w:sz w:val="16"/>
                <w:szCs w:val="16"/>
                <w:color w:val="214E93"/>
              </w:rPr>
              <w:t>164,733</w:t>
            </w:r>
          </w:p>
        </w:tc>
      </w:tr>
      <w:tr>
        <w:trPr>
          <w:trHeight w:val="236"/>
        </w:trPr>
        <w:tc>
          <w:tcPr>
            <w:tcW w:w="2820" w:type="dxa"/>
            <w:vAlign w:val="bottom"/>
          </w:tcPr>
          <w:p>
            <w:pPr>
              <w:ind w:left="40"/>
              <w:spacing w:after="0"/>
              <w:rPr>
                <w:sz w:val="20"/>
                <w:szCs w:val="20"/>
                <w:color w:val="auto"/>
              </w:rPr>
            </w:pPr>
            <w:r>
              <w:rPr>
                <w:rFonts w:ascii="Verdana" w:cs="Verdana" w:eastAsia="Verdana" w:hAnsi="Verdana"/>
                <w:sz w:val="16"/>
                <w:szCs w:val="16"/>
                <w:color w:val="auto"/>
              </w:rPr>
              <w:t>Sales of purchased natural gas</w:t>
            </w:r>
          </w:p>
        </w:tc>
        <w:tc>
          <w:tcPr>
            <w:tcW w:w="46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Verdana" w:cs="Verdana" w:eastAsia="Verdana" w:hAnsi="Verdana"/>
                <w:sz w:val="16"/>
                <w:szCs w:val="16"/>
                <w:color w:val="214E93"/>
              </w:rPr>
              <w:t>99,346</w:t>
            </w:r>
          </w:p>
        </w:tc>
        <w:tc>
          <w:tcPr>
            <w:tcW w:w="240" w:type="dxa"/>
            <w:vAlign w:val="bottom"/>
          </w:tcPr>
          <w:p>
            <w:pPr>
              <w:spacing w:after="0"/>
              <w:rPr>
                <w:sz w:val="20"/>
                <w:szCs w:val="20"/>
                <w:color w:val="auto"/>
              </w:rPr>
            </w:pPr>
          </w:p>
        </w:tc>
        <w:tc>
          <w:tcPr>
            <w:tcW w:w="1000" w:type="dxa"/>
            <w:vAlign w:val="bottom"/>
          </w:tcPr>
          <w:p>
            <w:pPr>
              <w:jc w:val="right"/>
              <w:ind w:right="22"/>
              <w:spacing w:after="0"/>
              <w:rPr>
                <w:sz w:val="20"/>
                <w:szCs w:val="20"/>
                <w:color w:val="auto"/>
              </w:rPr>
            </w:pPr>
            <w:r>
              <w:rPr>
                <w:rFonts w:ascii="Verdana" w:cs="Verdana" w:eastAsia="Verdana" w:hAnsi="Verdana"/>
                <w:sz w:val="16"/>
                <w:szCs w:val="16"/>
                <w:color w:val="214E93"/>
              </w:rPr>
              <w:t>153,685</w:t>
            </w:r>
          </w:p>
        </w:tc>
        <w:tc>
          <w:tcPr>
            <w:tcW w:w="240" w:type="dxa"/>
            <w:vAlign w:val="bottom"/>
          </w:tcPr>
          <w:p>
            <w:pPr>
              <w:spacing w:after="0"/>
              <w:rPr>
                <w:sz w:val="20"/>
                <w:szCs w:val="20"/>
                <w:color w:val="auto"/>
              </w:rPr>
            </w:pPr>
          </w:p>
        </w:tc>
        <w:tc>
          <w:tcPr>
            <w:tcW w:w="1040" w:type="dxa"/>
            <w:vAlign w:val="bottom"/>
          </w:tcPr>
          <w:p>
            <w:pPr>
              <w:jc w:val="right"/>
              <w:ind w:right="62"/>
              <w:spacing w:after="0"/>
              <w:rPr>
                <w:sz w:val="20"/>
                <w:szCs w:val="20"/>
                <w:color w:val="auto"/>
              </w:rPr>
            </w:pPr>
            <w:r>
              <w:rPr>
                <w:rFonts w:ascii="Verdana" w:cs="Verdana" w:eastAsia="Verdana" w:hAnsi="Verdana"/>
                <w:sz w:val="16"/>
                <w:szCs w:val="16"/>
                <w:color w:val="214E93"/>
              </w:rPr>
              <w:t>—</w:t>
            </w:r>
          </w:p>
        </w:tc>
        <w:tc>
          <w:tcPr>
            <w:tcW w:w="180" w:type="dxa"/>
            <w:vAlign w:val="bottom"/>
          </w:tcPr>
          <w:p>
            <w:pPr>
              <w:spacing w:after="0"/>
              <w:rPr>
                <w:sz w:val="20"/>
                <w:szCs w:val="20"/>
                <w:color w:val="auto"/>
              </w:rPr>
            </w:pPr>
          </w:p>
        </w:tc>
        <w:tc>
          <w:tcPr>
            <w:tcW w:w="1260" w:type="dxa"/>
            <w:vAlign w:val="bottom"/>
          </w:tcPr>
          <w:p>
            <w:pPr>
              <w:jc w:val="right"/>
              <w:ind w:right="62"/>
              <w:spacing w:after="0"/>
              <w:rPr>
                <w:sz w:val="20"/>
                <w:szCs w:val="20"/>
                <w:color w:val="auto"/>
              </w:rPr>
            </w:pPr>
            <w:r>
              <w:rPr>
                <w:rFonts w:ascii="Verdana" w:cs="Verdana" w:eastAsia="Verdana" w:hAnsi="Verdana"/>
                <w:sz w:val="16"/>
                <w:szCs w:val="16"/>
                <w:color w:val="214E93"/>
              </w:rPr>
              <w:t>—</w:t>
            </w:r>
          </w:p>
        </w:tc>
        <w:tc>
          <w:tcPr>
            <w:tcW w:w="200" w:type="dxa"/>
            <w:vAlign w:val="bottom"/>
          </w:tcPr>
          <w:p>
            <w:pPr>
              <w:spacing w:after="0"/>
              <w:rPr>
                <w:sz w:val="20"/>
                <w:szCs w:val="20"/>
                <w:color w:val="auto"/>
              </w:rPr>
            </w:pPr>
          </w:p>
        </w:tc>
        <w:tc>
          <w:tcPr>
            <w:tcW w:w="1100" w:type="dxa"/>
            <w:vAlign w:val="bottom"/>
          </w:tcPr>
          <w:p>
            <w:pPr>
              <w:jc w:val="right"/>
              <w:ind w:right="3"/>
              <w:spacing w:after="0"/>
              <w:rPr>
                <w:sz w:val="20"/>
                <w:szCs w:val="20"/>
                <w:color w:val="auto"/>
              </w:rPr>
            </w:pPr>
            <w:r>
              <w:rPr>
                <w:rFonts w:ascii="Verdana" w:cs="Verdana" w:eastAsia="Verdana" w:hAnsi="Verdana"/>
                <w:sz w:val="16"/>
                <w:szCs w:val="16"/>
                <w:color w:val="214E93"/>
              </w:rPr>
              <w:t>253,031</w:t>
            </w:r>
          </w:p>
        </w:tc>
      </w:tr>
      <w:tr>
        <w:trPr>
          <w:trHeight w:val="236"/>
        </w:trPr>
        <w:tc>
          <w:tcPr>
            <w:tcW w:w="2820" w:type="dxa"/>
            <w:vAlign w:val="bottom"/>
          </w:tcPr>
          <w:p>
            <w:pPr>
              <w:ind w:left="40"/>
              <w:spacing w:after="0"/>
              <w:rPr>
                <w:sz w:val="20"/>
                <w:szCs w:val="20"/>
                <w:color w:val="auto"/>
              </w:rPr>
            </w:pPr>
            <w:r>
              <w:rPr>
                <w:rFonts w:ascii="Verdana" w:cs="Verdana" w:eastAsia="Verdana" w:hAnsi="Verdana"/>
                <w:sz w:val="16"/>
                <w:szCs w:val="16"/>
                <w:color w:val="auto"/>
              </w:rPr>
              <w:t>Realized gain on derivatives</w:t>
            </w:r>
          </w:p>
        </w:tc>
        <w:tc>
          <w:tcPr>
            <w:tcW w:w="46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Verdana" w:cs="Verdana" w:eastAsia="Verdana" w:hAnsi="Verdana"/>
                <w:sz w:val="16"/>
                <w:szCs w:val="16"/>
                <w:color w:val="214E93"/>
              </w:rPr>
              <w:t>21,679</w:t>
            </w:r>
          </w:p>
        </w:tc>
        <w:tc>
          <w:tcPr>
            <w:tcW w:w="240" w:type="dxa"/>
            <w:vAlign w:val="bottom"/>
          </w:tcPr>
          <w:p>
            <w:pPr>
              <w:spacing w:after="0"/>
              <w:rPr>
                <w:sz w:val="20"/>
                <w:szCs w:val="20"/>
                <w:color w:val="auto"/>
              </w:rPr>
            </w:pPr>
          </w:p>
        </w:tc>
        <w:tc>
          <w:tcPr>
            <w:tcW w:w="1000" w:type="dxa"/>
            <w:vAlign w:val="bottom"/>
          </w:tcPr>
          <w:p>
            <w:pPr>
              <w:jc w:val="right"/>
              <w:ind w:right="22"/>
              <w:spacing w:after="0"/>
              <w:rPr>
                <w:sz w:val="20"/>
                <w:szCs w:val="20"/>
                <w:color w:val="auto"/>
              </w:rPr>
            </w:pPr>
            <w:r>
              <w:rPr>
                <w:rFonts w:ascii="Verdana" w:cs="Verdana" w:eastAsia="Verdana" w:hAnsi="Verdana"/>
                <w:sz w:val="16"/>
                <w:szCs w:val="16"/>
                <w:color w:val="214E93"/>
              </w:rPr>
              <w:t>—</w:t>
            </w:r>
          </w:p>
        </w:tc>
        <w:tc>
          <w:tcPr>
            <w:tcW w:w="240" w:type="dxa"/>
            <w:vAlign w:val="bottom"/>
          </w:tcPr>
          <w:p>
            <w:pPr>
              <w:spacing w:after="0"/>
              <w:rPr>
                <w:sz w:val="20"/>
                <w:szCs w:val="20"/>
                <w:color w:val="auto"/>
              </w:rPr>
            </w:pPr>
          </w:p>
        </w:tc>
        <w:tc>
          <w:tcPr>
            <w:tcW w:w="1040" w:type="dxa"/>
            <w:vAlign w:val="bottom"/>
          </w:tcPr>
          <w:p>
            <w:pPr>
              <w:jc w:val="right"/>
              <w:ind w:right="62"/>
              <w:spacing w:after="0"/>
              <w:rPr>
                <w:sz w:val="20"/>
                <w:szCs w:val="20"/>
                <w:color w:val="auto"/>
              </w:rPr>
            </w:pPr>
            <w:r>
              <w:rPr>
                <w:rFonts w:ascii="Verdana" w:cs="Verdana" w:eastAsia="Verdana" w:hAnsi="Verdana"/>
                <w:sz w:val="16"/>
                <w:szCs w:val="16"/>
                <w:color w:val="214E93"/>
              </w:rPr>
              <w:t>—</w:t>
            </w:r>
          </w:p>
        </w:tc>
        <w:tc>
          <w:tcPr>
            <w:tcW w:w="180" w:type="dxa"/>
            <w:vAlign w:val="bottom"/>
          </w:tcPr>
          <w:p>
            <w:pPr>
              <w:spacing w:after="0"/>
              <w:rPr>
                <w:sz w:val="20"/>
                <w:szCs w:val="20"/>
                <w:color w:val="auto"/>
              </w:rPr>
            </w:pPr>
          </w:p>
        </w:tc>
        <w:tc>
          <w:tcPr>
            <w:tcW w:w="1260" w:type="dxa"/>
            <w:vAlign w:val="bottom"/>
          </w:tcPr>
          <w:p>
            <w:pPr>
              <w:jc w:val="right"/>
              <w:ind w:right="62"/>
              <w:spacing w:after="0"/>
              <w:rPr>
                <w:sz w:val="20"/>
                <w:szCs w:val="20"/>
                <w:color w:val="auto"/>
              </w:rPr>
            </w:pPr>
            <w:r>
              <w:rPr>
                <w:rFonts w:ascii="Verdana" w:cs="Verdana" w:eastAsia="Verdana" w:hAnsi="Verdana"/>
                <w:sz w:val="16"/>
                <w:szCs w:val="16"/>
                <w:color w:val="214E93"/>
              </w:rPr>
              <w:t>—</w:t>
            </w:r>
          </w:p>
        </w:tc>
        <w:tc>
          <w:tcPr>
            <w:tcW w:w="200" w:type="dxa"/>
            <w:vAlign w:val="bottom"/>
          </w:tcPr>
          <w:p>
            <w:pPr>
              <w:spacing w:after="0"/>
              <w:rPr>
                <w:sz w:val="20"/>
                <w:szCs w:val="20"/>
                <w:color w:val="auto"/>
              </w:rPr>
            </w:pPr>
          </w:p>
        </w:tc>
        <w:tc>
          <w:tcPr>
            <w:tcW w:w="1100" w:type="dxa"/>
            <w:vAlign w:val="bottom"/>
          </w:tcPr>
          <w:p>
            <w:pPr>
              <w:jc w:val="right"/>
              <w:ind w:right="3"/>
              <w:spacing w:after="0"/>
              <w:rPr>
                <w:sz w:val="20"/>
                <w:szCs w:val="20"/>
                <w:color w:val="auto"/>
              </w:rPr>
            </w:pPr>
            <w:r>
              <w:rPr>
                <w:rFonts w:ascii="Verdana" w:cs="Verdana" w:eastAsia="Verdana" w:hAnsi="Verdana"/>
                <w:sz w:val="16"/>
                <w:szCs w:val="16"/>
                <w:color w:val="214E93"/>
              </w:rPr>
              <w:t>21,679</w:t>
            </w:r>
          </w:p>
        </w:tc>
      </w:tr>
      <w:tr>
        <w:trPr>
          <w:trHeight w:val="236"/>
        </w:trPr>
        <w:tc>
          <w:tcPr>
            <w:tcW w:w="2820" w:type="dxa"/>
            <w:vAlign w:val="bottom"/>
          </w:tcPr>
          <w:p>
            <w:pPr>
              <w:ind w:left="40"/>
              <w:spacing w:after="0"/>
              <w:rPr>
                <w:sz w:val="20"/>
                <w:szCs w:val="20"/>
                <w:color w:val="auto"/>
              </w:rPr>
            </w:pPr>
            <w:r>
              <w:rPr>
                <w:rFonts w:ascii="Verdana" w:cs="Verdana" w:eastAsia="Verdana" w:hAnsi="Verdana"/>
                <w:sz w:val="16"/>
                <w:szCs w:val="16"/>
                <w:color w:val="auto"/>
              </w:rPr>
              <w:t>Unrealized gain on derivatives</w:t>
            </w:r>
          </w:p>
        </w:tc>
        <w:tc>
          <w:tcPr>
            <w:tcW w:w="46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Verdana" w:cs="Verdana" w:eastAsia="Verdana" w:hAnsi="Verdana"/>
                <w:sz w:val="16"/>
                <w:szCs w:val="16"/>
                <w:color w:val="214E93"/>
              </w:rPr>
              <w:t>18,084</w:t>
            </w:r>
          </w:p>
        </w:tc>
        <w:tc>
          <w:tcPr>
            <w:tcW w:w="240" w:type="dxa"/>
            <w:vAlign w:val="bottom"/>
          </w:tcPr>
          <w:p>
            <w:pPr>
              <w:spacing w:after="0"/>
              <w:rPr>
                <w:sz w:val="20"/>
                <w:szCs w:val="20"/>
                <w:color w:val="auto"/>
              </w:rPr>
            </w:pPr>
          </w:p>
        </w:tc>
        <w:tc>
          <w:tcPr>
            <w:tcW w:w="1000" w:type="dxa"/>
            <w:vAlign w:val="bottom"/>
          </w:tcPr>
          <w:p>
            <w:pPr>
              <w:jc w:val="right"/>
              <w:ind w:right="22"/>
              <w:spacing w:after="0"/>
              <w:rPr>
                <w:sz w:val="20"/>
                <w:szCs w:val="20"/>
                <w:color w:val="auto"/>
              </w:rPr>
            </w:pPr>
            <w:r>
              <w:rPr>
                <w:rFonts w:ascii="Verdana" w:cs="Verdana" w:eastAsia="Verdana" w:hAnsi="Verdana"/>
                <w:sz w:val="16"/>
                <w:szCs w:val="16"/>
                <w:color w:val="214E93"/>
              </w:rPr>
              <w:t>—</w:t>
            </w:r>
          </w:p>
        </w:tc>
        <w:tc>
          <w:tcPr>
            <w:tcW w:w="240" w:type="dxa"/>
            <w:vAlign w:val="bottom"/>
          </w:tcPr>
          <w:p>
            <w:pPr>
              <w:spacing w:after="0"/>
              <w:rPr>
                <w:sz w:val="20"/>
                <w:szCs w:val="20"/>
                <w:color w:val="auto"/>
              </w:rPr>
            </w:pPr>
          </w:p>
        </w:tc>
        <w:tc>
          <w:tcPr>
            <w:tcW w:w="1040" w:type="dxa"/>
            <w:vAlign w:val="bottom"/>
          </w:tcPr>
          <w:p>
            <w:pPr>
              <w:jc w:val="right"/>
              <w:ind w:right="62"/>
              <w:spacing w:after="0"/>
              <w:rPr>
                <w:sz w:val="20"/>
                <w:szCs w:val="20"/>
                <w:color w:val="auto"/>
              </w:rPr>
            </w:pPr>
            <w:r>
              <w:rPr>
                <w:rFonts w:ascii="Verdana" w:cs="Verdana" w:eastAsia="Verdana" w:hAnsi="Verdana"/>
                <w:sz w:val="16"/>
                <w:szCs w:val="16"/>
                <w:color w:val="214E93"/>
              </w:rPr>
              <w:t>—</w:t>
            </w:r>
          </w:p>
        </w:tc>
        <w:tc>
          <w:tcPr>
            <w:tcW w:w="180" w:type="dxa"/>
            <w:vAlign w:val="bottom"/>
          </w:tcPr>
          <w:p>
            <w:pPr>
              <w:spacing w:after="0"/>
              <w:rPr>
                <w:sz w:val="20"/>
                <w:szCs w:val="20"/>
                <w:color w:val="auto"/>
              </w:rPr>
            </w:pPr>
          </w:p>
        </w:tc>
        <w:tc>
          <w:tcPr>
            <w:tcW w:w="1260" w:type="dxa"/>
            <w:vAlign w:val="bottom"/>
          </w:tcPr>
          <w:p>
            <w:pPr>
              <w:jc w:val="right"/>
              <w:ind w:right="62"/>
              <w:spacing w:after="0"/>
              <w:rPr>
                <w:sz w:val="20"/>
                <w:szCs w:val="20"/>
                <w:color w:val="auto"/>
              </w:rPr>
            </w:pPr>
            <w:r>
              <w:rPr>
                <w:rFonts w:ascii="Verdana" w:cs="Verdana" w:eastAsia="Verdana" w:hAnsi="Verdana"/>
                <w:sz w:val="16"/>
                <w:szCs w:val="16"/>
                <w:color w:val="214E93"/>
              </w:rPr>
              <w:t>—</w:t>
            </w:r>
          </w:p>
        </w:tc>
        <w:tc>
          <w:tcPr>
            <w:tcW w:w="200" w:type="dxa"/>
            <w:vAlign w:val="bottom"/>
          </w:tcPr>
          <w:p>
            <w:pPr>
              <w:spacing w:after="0"/>
              <w:rPr>
                <w:sz w:val="20"/>
                <w:szCs w:val="20"/>
                <w:color w:val="auto"/>
              </w:rPr>
            </w:pPr>
          </w:p>
        </w:tc>
        <w:tc>
          <w:tcPr>
            <w:tcW w:w="1100" w:type="dxa"/>
            <w:vAlign w:val="bottom"/>
          </w:tcPr>
          <w:p>
            <w:pPr>
              <w:jc w:val="right"/>
              <w:ind w:right="3"/>
              <w:spacing w:after="0"/>
              <w:rPr>
                <w:sz w:val="20"/>
                <w:szCs w:val="20"/>
                <w:color w:val="auto"/>
              </w:rPr>
            </w:pPr>
            <w:r>
              <w:rPr>
                <w:rFonts w:ascii="Verdana" w:cs="Verdana" w:eastAsia="Verdana" w:hAnsi="Verdana"/>
                <w:sz w:val="16"/>
                <w:szCs w:val="16"/>
                <w:color w:val="214E93"/>
              </w:rPr>
              <w:t>18,084</w:t>
            </w:r>
          </w:p>
        </w:tc>
      </w:tr>
      <w:tr>
        <w:trPr>
          <w:trHeight w:val="261"/>
        </w:trPr>
        <w:tc>
          <w:tcPr>
            <w:tcW w:w="2820" w:type="dxa"/>
            <w:vAlign w:val="bottom"/>
          </w:tcPr>
          <w:p>
            <w:pPr>
              <w:ind w:left="40"/>
              <w:spacing w:after="0"/>
              <w:rPr>
                <w:sz w:val="20"/>
                <w:szCs w:val="20"/>
                <w:color w:val="auto"/>
              </w:rPr>
            </w:pPr>
            <w:r>
              <w:rPr>
                <w:rFonts w:ascii="Verdana" w:cs="Verdana" w:eastAsia="Verdana" w:hAnsi="Verdana"/>
                <w:sz w:val="16"/>
                <w:szCs w:val="16"/>
                <w:color w:val="auto"/>
              </w:rPr>
              <w:t>Operating expense</w:t>
            </w:r>
            <w:r>
              <w:rPr>
                <w:rFonts w:ascii="Verdana" w:cs="Verdana" w:eastAsia="Verdana" w:hAnsi="Verdana"/>
                <w:sz w:val="20"/>
                <w:szCs w:val="20"/>
                <w:color w:val="auto"/>
                <w:vertAlign w:val="superscript"/>
              </w:rPr>
              <w:t>(1)</w:t>
            </w:r>
          </w:p>
        </w:tc>
        <w:tc>
          <w:tcPr>
            <w:tcW w:w="460" w:type="dxa"/>
            <w:vAlign w:val="bottom"/>
          </w:tcPr>
          <w:p>
            <w:pPr>
              <w:spacing w:after="0"/>
              <w:rPr>
                <w:sz w:val="22"/>
                <w:szCs w:val="22"/>
                <w:color w:val="auto"/>
              </w:rPr>
            </w:pPr>
          </w:p>
        </w:tc>
        <w:tc>
          <w:tcPr>
            <w:tcW w:w="1020" w:type="dxa"/>
            <w:vAlign w:val="bottom"/>
          </w:tcPr>
          <w:p>
            <w:pPr>
              <w:jc w:val="right"/>
              <w:ind w:right="22"/>
              <w:spacing w:after="0"/>
              <w:rPr>
                <w:sz w:val="20"/>
                <w:szCs w:val="20"/>
                <w:color w:val="auto"/>
              </w:rPr>
            </w:pPr>
            <w:r>
              <w:rPr>
                <w:rFonts w:ascii="Verdana" w:cs="Verdana" w:eastAsia="Verdana" w:hAnsi="Verdana"/>
                <w:sz w:val="16"/>
                <w:szCs w:val="16"/>
                <w:color w:val="214E93"/>
              </w:rPr>
              <w:t>588,285</w:t>
            </w:r>
          </w:p>
        </w:tc>
        <w:tc>
          <w:tcPr>
            <w:tcW w:w="240" w:type="dxa"/>
            <w:vAlign w:val="bottom"/>
          </w:tcPr>
          <w:p>
            <w:pPr>
              <w:spacing w:after="0"/>
              <w:rPr>
                <w:sz w:val="22"/>
                <w:szCs w:val="22"/>
                <w:color w:val="auto"/>
              </w:rPr>
            </w:pPr>
          </w:p>
        </w:tc>
        <w:tc>
          <w:tcPr>
            <w:tcW w:w="1000" w:type="dxa"/>
            <w:vAlign w:val="bottom"/>
          </w:tcPr>
          <w:p>
            <w:pPr>
              <w:jc w:val="right"/>
              <w:ind w:right="22"/>
              <w:spacing w:after="0"/>
              <w:rPr>
                <w:sz w:val="20"/>
                <w:szCs w:val="20"/>
                <w:color w:val="auto"/>
              </w:rPr>
            </w:pPr>
            <w:r>
              <w:rPr>
                <w:rFonts w:ascii="Verdana" w:cs="Verdana" w:eastAsia="Verdana" w:hAnsi="Verdana"/>
                <w:sz w:val="16"/>
                <w:szCs w:val="16"/>
                <w:color w:val="214E93"/>
              </w:rPr>
              <w:t>208,142</w:t>
            </w:r>
          </w:p>
        </w:tc>
        <w:tc>
          <w:tcPr>
            <w:tcW w:w="240" w:type="dxa"/>
            <w:vAlign w:val="bottom"/>
          </w:tcPr>
          <w:p>
            <w:pPr>
              <w:spacing w:after="0"/>
              <w:rPr>
                <w:sz w:val="22"/>
                <w:szCs w:val="22"/>
                <w:color w:val="auto"/>
              </w:rPr>
            </w:pPr>
          </w:p>
        </w:tc>
        <w:tc>
          <w:tcPr>
            <w:tcW w:w="1040" w:type="dxa"/>
            <w:vAlign w:val="bottom"/>
          </w:tcPr>
          <w:p>
            <w:pPr>
              <w:jc w:val="right"/>
              <w:ind w:right="62"/>
              <w:spacing w:after="0"/>
              <w:rPr>
                <w:sz w:val="20"/>
                <w:szCs w:val="20"/>
                <w:color w:val="auto"/>
              </w:rPr>
            </w:pPr>
            <w:r>
              <w:rPr>
                <w:rFonts w:ascii="Verdana" w:cs="Verdana" w:eastAsia="Verdana" w:hAnsi="Verdana"/>
                <w:sz w:val="16"/>
                <w:szCs w:val="16"/>
                <w:color w:val="214E93"/>
              </w:rPr>
              <w:t>—</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6"/>
                <w:szCs w:val="16"/>
                <w:color w:val="214E93"/>
              </w:rPr>
              <w:t>(172,475)</w:t>
            </w:r>
          </w:p>
        </w:tc>
        <w:tc>
          <w:tcPr>
            <w:tcW w:w="200" w:type="dxa"/>
            <w:vAlign w:val="bottom"/>
          </w:tcPr>
          <w:p>
            <w:pPr>
              <w:spacing w:after="0"/>
              <w:rPr>
                <w:sz w:val="22"/>
                <w:szCs w:val="22"/>
                <w:color w:val="auto"/>
              </w:rPr>
            </w:pPr>
          </w:p>
        </w:tc>
        <w:tc>
          <w:tcPr>
            <w:tcW w:w="1100" w:type="dxa"/>
            <w:vAlign w:val="bottom"/>
          </w:tcPr>
          <w:p>
            <w:pPr>
              <w:jc w:val="right"/>
              <w:ind w:right="3"/>
              <w:spacing w:after="0"/>
              <w:rPr>
                <w:sz w:val="20"/>
                <w:szCs w:val="20"/>
                <w:color w:val="auto"/>
              </w:rPr>
            </w:pPr>
            <w:r>
              <w:rPr>
                <w:rFonts w:ascii="Verdana" w:cs="Verdana" w:eastAsia="Verdana" w:hAnsi="Verdana"/>
                <w:sz w:val="16"/>
                <w:szCs w:val="16"/>
                <w:color w:val="214E93"/>
              </w:rPr>
              <w:t>623,952</w:t>
            </w:r>
          </w:p>
        </w:tc>
      </w:tr>
      <w:tr>
        <w:trPr>
          <w:trHeight w:val="223"/>
        </w:trPr>
        <w:tc>
          <w:tcPr>
            <w:tcW w:w="2820" w:type="dxa"/>
            <w:vAlign w:val="bottom"/>
            <w:tcBorders>
              <w:bottom w:val="single" w:sz="8" w:color="auto"/>
            </w:tcBorders>
          </w:tcPr>
          <w:p>
            <w:pPr>
              <w:ind w:left="40"/>
              <w:spacing w:after="0" w:line="222" w:lineRule="exact"/>
              <w:rPr>
                <w:sz w:val="20"/>
                <w:szCs w:val="20"/>
                <w:color w:val="auto"/>
              </w:rPr>
            </w:pPr>
            <w:r>
              <w:rPr>
                <w:rFonts w:ascii="Verdana" w:cs="Verdana" w:eastAsia="Verdana" w:hAnsi="Verdana"/>
                <w:sz w:val="16"/>
                <w:szCs w:val="16"/>
                <w:color w:val="auto"/>
              </w:rPr>
              <w:t>Other expenses</w:t>
            </w:r>
            <w:r>
              <w:rPr>
                <w:rFonts w:ascii="Verdana" w:cs="Verdana" w:eastAsia="Verdana" w:hAnsi="Verdana"/>
                <w:sz w:val="20"/>
                <w:szCs w:val="20"/>
                <w:color w:val="auto"/>
                <w:vertAlign w:val="superscript"/>
              </w:rPr>
              <w:t>(2)</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2"/>
              <w:spacing w:after="0"/>
              <w:rPr>
                <w:sz w:val="20"/>
                <w:szCs w:val="20"/>
                <w:color w:val="auto"/>
              </w:rPr>
            </w:pPr>
            <w:r>
              <w:rPr>
                <w:rFonts w:ascii="Verdana" w:cs="Verdana" w:eastAsia="Verdana" w:hAnsi="Verdana"/>
                <w:sz w:val="16"/>
                <w:szCs w:val="16"/>
                <w:color w:val="214E93"/>
              </w:rPr>
              <w:t>1,712,988</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2"/>
              <w:spacing w:after="0"/>
              <w:rPr>
                <w:sz w:val="20"/>
                <w:szCs w:val="20"/>
                <w:color w:val="auto"/>
              </w:rPr>
            </w:pPr>
            <w:r>
              <w:rPr>
                <w:rFonts w:ascii="Verdana" w:cs="Verdana" w:eastAsia="Verdana" w:hAnsi="Verdana"/>
                <w:sz w:val="16"/>
                <w:szCs w:val="16"/>
                <w:color w:val="214E93"/>
              </w:rPr>
              <w:t>228,834</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2"/>
              <w:spacing w:after="0"/>
              <w:rPr>
                <w:sz w:val="20"/>
                <w:szCs w:val="20"/>
                <w:color w:val="auto"/>
              </w:rPr>
            </w:pPr>
            <w:r>
              <w:rPr>
                <w:rFonts w:ascii="Verdana" w:cs="Verdana" w:eastAsia="Verdana" w:hAnsi="Verdana"/>
                <w:sz w:val="16"/>
                <w:szCs w:val="16"/>
                <w:color w:val="214E93"/>
              </w:rPr>
              <w:t>116,618</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214E93"/>
              </w:rPr>
              <w:t>(212,657)</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
              <w:spacing w:after="0"/>
              <w:rPr>
                <w:sz w:val="20"/>
                <w:szCs w:val="20"/>
                <w:color w:val="auto"/>
              </w:rPr>
            </w:pPr>
            <w:r>
              <w:rPr>
                <w:rFonts w:ascii="Verdana" w:cs="Verdana" w:eastAsia="Verdana" w:hAnsi="Verdana"/>
                <w:sz w:val="16"/>
                <w:szCs w:val="16"/>
                <w:color w:val="214E93"/>
              </w:rPr>
              <w:t>1,845,783</w:t>
            </w:r>
          </w:p>
        </w:tc>
      </w:tr>
      <w:tr>
        <w:trPr>
          <w:trHeight w:val="211"/>
        </w:trPr>
        <w:tc>
          <w:tcPr>
            <w:tcW w:w="2820" w:type="dxa"/>
            <w:vAlign w:val="bottom"/>
            <w:tcBorders>
              <w:bottom w:val="single" w:sz="8" w:color="214E93"/>
            </w:tcBorders>
          </w:tcPr>
          <w:p>
            <w:pPr>
              <w:ind w:left="40"/>
              <w:spacing w:after="0" w:line="211" w:lineRule="exact"/>
              <w:rPr>
                <w:sz w:val="20"/>
                <w:szCs w:val="20"/>
                <w:color w:val="auto"/>
              </w:rPr>
            </w:pPr>
            <w:r>
              <w:rPr>
                <w:rFonts w:ascii="Verdana" w:cs="Verdana" w:eastAsia="Verdana" w:hAnsi="Verdana"/>
                <w:sz w:val="16"/>
                <w:szCs w:val="16"/>
                <w:color w:val="auto"/>
              </w:rPr>
              <w:t>Operating income</w:t>
            </w:r>
            <w:r>
              <w:rPr>
                <w:rFonts w:ascii="Verdana" w:cs="Verdana" w:eastAsia="Verdana" w:hAnsi="Verdana"/>
                <w:sz w:val="20"/>
                <w:szCs w:val="20"/>
                <w:color w:val="auto"/>
                <w:vertAlign w:val="superscript"/>
              </w:rPr>
              <w:t>(3)</w:t>
            </w:r>
          </w:p>
        </w:tc>
        <w:tc>
          <w:tcPr>
            <w:tcW w:w="460" w:type="dxa"/>
            <w:vAlign w:val="bottom"/>
            <w:tcBorders>
              <w:bottom w:val="single" w:sz="8" w:color="214E93"/>
            </w:tcBorders>
          </w:tcPr>
          <w:p>
            <w:pPr>
              <w:ind w:left="340"/>
              <w:spacing w:after="0"/>
              <w:rPr>
                <w:sz w:val="20"/>
                <w:szCs w:val="20"/>
                <w:color w:val="auto"/>
              </w:rPr>
            </w:pPr>
            <w:r>
              <w:rPr>
                <w:rFonts w:ascii="Verdana" w:cs="Verdana" w:eastAsia="Verdana" w:hAnsi="Verdana"/>
                <w:sz w:val="16"/>
                <w:szCs w:val="16"/>
                <w:color w:val="214E93"/>
                <w:w w:val="97"/>
              </w:rPr>
              <w:t>$</w:t>
            </w:r>
          </w:p>
        </w:tc>
        <w:tc>
          <w:tcPr>
            <w:tcW w:w="1020" w:type="dxa"/>
            <w:vAlign w:val="bottom"/>
            <w:tcBorders>
              <w:bottom w:val="single" w:sz="8" w:color="214E93"/>
            </w:tcBorders>
          </w:tcPr>
          <w:p>
            <w:pPr>
              <w:jc w:val="right"/>
              <w:ind w:right="22"/>
              <w:spacing w:after="0"/>
              <w:rPr>
                <w:sz w:val="20"/>
                <w:szCs w:val="20"/>
                <w:color w:val="auto"/>
              </w:rPr>
            </w:pPr>
            <w:r>
              <w:rPr>
                <w:rFonts w:ascii="Verdana" w:cs="Verdana" w:eastAsia="Verdana" w:hAnsi="Verdana"/>
                <w:sz w:val="16"/>
                <w:szCs w:val="16"/>
                <w:color w:val="214E93"/>
              </w:rPr>
              <w:t>1,064,891</w:t>
            </w:r>
          </w:p>
        </w:tc>
        <w:tc>
          <w:tcPr>
            <w:tcW w:w="24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w:t>
            </w:r>
          </w:p>
        </w:tc>
        <w:tc>
          <w:tcPr>
            <w:tcW w:w="1000" w:type="dxa"/>
            <w:vAlign w:val="bottom"/>
            <w:tcBorders>
              <w:bottom w:val="single" w:sz="8" w:color="214E93"/>
            </w:tcBorders>
          </w:tcPr>
          <w:p>
            <w:pPr>
              <w:jc w:val="right"/>
              <w:ind w:right="22"/>
              <w:spacing w:after="0"/>
              <w:rPr>
                <w:sz w:val="20"/>
                <w:szCs w:val="20"/>
                <w:color w:val="auto"/>
              </w:rPr>
            </w:pPr>
            <w:r>
              <w:rPr>
                <w:rFonts w:ascii="Verdana" w:cs="Verdana" w:eastAsia="Verdana" w:hAnsi="Verdana"/>
                <w:sz w:val="16"/>
                <w:szCs w:val="16"/>
                <w:color w:val="214E93"/>
              </w:rPr>
              <w:t>278,269</w:t>
            </w:r>
          </w:p>
        </w:tc>
        <w:tc>
          <w:tcPr>
            <w:tcW w:w="24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w:t>
            </w:r>
          </w:p>
        </w:tc>
        <w:tc>
          <w:tcPr>
            <w:tcW w:w="1040" w:type="dxa"/>
            <w:vAlign w:val="bottom"/>
            <w:tcBorders>
              <w:bottom w:val="single" w:sz="8" w:color="214E93"/>
            </w:tcBorders>
          </w:tcPr>
          <w:p>
            <w:pPr>
              <w:jc w:val="right"/>
              <w:ind w:right="2"/>
              <w:spacing w:after="0"/>
              <w:rPr>
                <w:sz w:val="20"/>
                <w:szCs w:val="20"/>
                <w:color w:val="auto"/>
              </w:rPr>
            </w:pPr>
            <w:r>
              <w:rPr>
                <w:rFonts w:ascii="Verdana" w:cs="Verdana" w:eastAsia="Verdana" w:hAnsi="Verdana"/>
                <w:sz w:val="16"/>
                <w:szCs w:val="16"/>
                <w:color w:val="214E93"/>
              </w:rPr>
              <w:t>(116,618)</w:t>
            </w:r>
          </w:p>
        </w:tc>
        <w:tc>
          <w:tcPr>
            <w:tcW w:w="18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w:t>
            </w:r>
          </w:p>
        </w:tc>
        <w:tc>
          <w:tcPr>
            <w:tcW w:w="1260" w:type="dxa"/>
            <w:vAlign w:val="bottom"/>
            <w:tcBorders>
              <w:bottom w:val="single" w:sz="8" w:color="214E93"/>
            </w:tcBorders>
          </w:tcPr>
          <w:p>
            <w:pPr>
              <w:jc w:val="right"/>
              <w:ind w:right="62"/>
              <w:spacing w:after="0"/>
              <w:rPr>
                <w:sz w:val="20"/>
                <w:szCs w:val="20"/>
                <w:color w:val="auto"/>
              </w:rPr>
            </w:pPr>
            <w:r>
              <w:rPr>
                <w:rFonts w:ascii="Verdana" w:cs="Verdana" w:eastAsia="Verdana" w:hAnsi="Verdana"/>
                <w:sz w:val="16"/>
                <w:szCs w:val="16"/>
                <w:color w:val="214E93"/>
              </w:rPr>
              <w:t>—</w:t>
            </w:r>
          </w:p>
        </w:tc>
        <w:tc>
          <w:tcPr>
            <w:tcW w:w="20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w:t>
            </w:r>
          </w:p>
        </w:tc>
        <w:tc>
          <w:tcPr>
            <w:tcW w:w="1100" w:type="dxa"/>
            <w:vAlign w:val="bottom"/>
            <w:tcBorders>
              <w:bottom w:val="single" w:sz="8" w:color="214E93"/>
            </w:tcBorders>
          </w:tcPr>
          <w:p>
            <w:pPr>
              <w:jc w:val="right"/>
              <w:ind w:right="3"/>
              <w:spacing w:after="0"/>
              <w:rPr>
                <w:sz w:val="20"/>
                <w:szCs w:val="20"/>
                <w:color w:val="auto"/>
              </w:rPr>
            </w:pPr>
            <w:r>
              <w:rPr>
                <w:rFonts w:ascii="Verdana" w:cs="Verdana" w:eastAsia="Verdana" w:hAnsi="Verdana"/>
                <w:sz w:val="16"/>
                <w:szCs w:val="16"/>
                <w:color w:val="214E93"/>
              </w:rPr>
              <w:t>1,226,542</w:t>
            </w:r>
          </w:p>
        </w:tc>
      </w:tr>
      <w:tr>
        <w:trPr>
          <w:trHeight w:val="216"/>
        </w:trPr>
        <w:tc>
          <w:tcPr>
            <w:tcW w:w="2820" w:type="dxa"/>
            <w:vAlign w:val="bottom"/>
            <w:tcBorders>
              <w:bottom w:val="single" w:sz="8" w:color="214E93"/>
            </w:tcBorders>
          </w:tcPr>
          <w:p>
            <w:pPr>
              <w:ind w:left="40"/>
              <w:spacing w:after="0" w:line="216" w:lineRule="exact"/>
              <w:rPr>
                <w:sz w:val="20"/>
                <w:szCs w:val="20"/>
                <w:color w:val="auto"/>
              </w:rPr>
            </w:pPr>
            <w:r>
              <w:rPr>
                <w:rFonts w:ascii="Verdana" w:cs="Verdana" w:eastAsia="Verdana" w:hAnsi="Verdana"/>
                <w:sz w:val="16"/>
                <w:szCs w:val="16"/>
                <w:color w:val="auto"/>
              </w:rPr>
              <w:t>Total assets</w:t>
            </w:r>
            <w:r>
              <w:rPr>
                <w:rFonts w:ascii="Verdana" w:cs="Verdana" w:eastAsia="Verdana" w:hAnsi="Verdana"/>
                <w:sz w:val="20"/>
                <w:szCs w:val="20"/>
                <w:color w:val="auto"/>
                <w:vertAlign w:val="superscript"/>
              </w:rPr>
              <w:t>(4)</w:t>
            </w:r>
          </w:p>
        </w:tc>
        <w:tc>
          <w:tcPr>
            <w:tcW w:w="460" w:type="dxa"/>
            <w:vAlign w:val="bottom"/>
            <w:tcBorders>
              <w:bottom w:val="single" w:sz="8" w:color="214E93"/>
            </w:tcBorders>
          </w:tcPr>
          <w:p>
            <w:pPr>
              <w:ind w:left="340"/>
              <w:spacing w:after="0"/>
              <w:rPr>
                <w:sz w:val="20"/>
                <w:szCs w:val="20"/>
                <w:color w:val="auto"/>
              </w:rPr>
            </w:pPr>
            <w:r>
              <w:rPr>
                <w:rFonts w:ascii="Verdana" w:cs="Verdana" w:eastAsia="Verdana" w:hAnsi="Verdana"/>
                <w:sz w:val="16"/>
                <w:szCs w:val="16"/>
                <w:color w:val="214E93"/>
                <w:w w:val="97"/>
              </w:rPr>
              <w:t>$</w:t>
            </w:r>
          </w:p>
        </w:tc>
        <w:tc>
          <w:tcPr>
            <w:tcW w:w="1020" w:type="dxa"/>
            <w:vAlign w:val="bottom"/>
            <w:tcBorders>
              <w:bottom w:val="single" w:sz="8" w:color="214E93"/>
            </w:tcBorders>
          </w:tcPr>
          <w:p>
            <w:pPr>
              <w:jc w:val="right"/>
              <w:ind w:right="22"/>
              <w:spacing w:after="0"/>
              <w:rPr>
                <w:sz w:val="20"/>
                <w:szCs w:val="20"/>
                <w:color w:val="auto"/>
              </w:rPr>
            </w:pPr>
            <w:r>
              <w:rPr>
                <w:rFonts w:ascii="Verdana" w:cs="Verdana" w:eastAsia="Verdana" w:hAnsi="Verdana"/>
                <w:sz w:val="16"/>
                <w:szCs w:val="16"/>
                <w:color w:val="214E93"/>
              </w:rPr>
              <w:t>9,737,486</w:t>
            </w:r>
          </w:p>
        </w:tc>
        <w:tc>
          <w:tcPr>
            <w:tcW w:w="24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w:t>
            </w:r>
          </w:p>
        </w:tc>
        <w:tc>
          <w:tcPr>
            <w:tcW w:w="1000" w:type="dxa"/>
            <w:vAlign w:val="bottom"/>
            <w:tcBorders>
              <w:bottom w:val="single" w:sz="8" w:color="214E93"/>
            </w:tcBorders>
          </w:tcPr>
          <w:p>
            <w:pPr>
              <w:jc w:val="right"/>
              <w:ind w:right="22"/>
              <w:spacing w:after="0"/>
              <w:rPr>
                <w:sz w:val="20"/>
                <w:szCs w:val="20"/>
                <w:color w:val="auto"/>
              </w:rPr>
            </w:pPr>
            <w:r>
              <w:rPr>
                <w:rFonts w:ascii="Verdana" w:cs="Verdana" w:eastAsia="Verdana" w:hAnsi="Verdana"/>
                <w:sz w:val="16"/>
                <w:szCs w:val="16"/>
                <w:color w:val="214E93"/>
              </w:rPr>
              <w:t>1,833,673</w:t>
            </w:r>
          </w:p>
        </w:tc>
        <w:tc>
          <w:tcPr>
            <w:tcW w:w="24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w:t>
            </w:r>
          </w:p>
        </w:tc>
        <w:tc>
          <w:tcPr>
            <w:tcW w:w="1040" w:type="dxa"/>
            <w:vAlign w:val="bottom"/>
            <w:tcBorders>
              <w:bottom w:val="single" w:sz="8" w:color="214E93"/>
            </w:tcBorders>
          </w:tcPr>
          <w:p>
            <w:pPr>
              <w:jc w:val="right"/>
              <w:ind w:right="62"/>
              <w:spacing w:after="0"/>
              <w:rPr>
                <w:sz w:val="20"/>
                <w:szCs w:val="20"/>
                <w:color w:val="auto"/>
              </w:rPr>
            </w:pPr>
            <w:r>
              <w:rPr>
                <w:rFonts w:ascii="Verdana" w:cs="Verdana" w:eastAsia="Verdana" w:hAnsi="Verdana"/>
                <w:sz w:val="16"/>
                <w:szCs w:val="16"/>
                <w:color w:val="214E93"/>
              </w:rPr>
              <w:t>139,410</w:t>
            </w:r>
          </w:p>
        </w:tc>
        <w:tc>
          <w:tcPr>
            <w:tcW w:w="18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w:t>
            </w:r>
          </w:p>
        </w:tc>
        <w:tc>
          <w:tcPr>
            <w:tcW w:w="1260" w:type="dxa"/>
            <w:vAlign w:val="bottom"/>
            <w:tcBorders>
              <w:bottom w:val="single" w:sz="8" w:color="214E93"/>
            </w:tcBorders>
          </w:tcPr>
          <w:p>
            <w:pPr>
              <w:jc w:val="right"/>
              <w:ind w:right="62"/>
              <w:spacing w:after="0"/>
              <w:rPr>
                <w:sz w:val="20"/>
                <w:szCs w:val="20"/>
                <w:color w:val="auto"/>
              </w:rPr>
            </w:pPr>
            <w:r>
              <w:rPr>
                <w:rFonts w:ascii="Verdana" w:cs="Verdana" w:eastAsia="Verdana" w:hAnsi="Verdana"/>
                <w:sz w:val="16"/>
                <w:szCs w:val="16"/>
                <w:color w:val="214E93"/>
              </w:rPr>
              <w:t>—</w:t>
            </w:r>
          </w:p>
        </w:tc>
        <w:tc>
          <w:tcPr>
            <w:tcW w:w="20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w:t>
            </w:r>
          </w:p>
        </w:tc>
        <w:tc>
          <w:tcPr>
            <w:tcW w:w="1100" w:type="dxa"/>
            <w:vAlign w:val="bottom"/>
            <w:tcBorders>
              <w:bottom w:val="single" w:sz="8" w:color="214E93"/>
            </w:tcBorders>
          </w:tcPr>
          <w:p>
            <w:pPr>
              <w:jc w:val="right"/>
              <w:ind w:right="3"/>
              <w:spacing w:after="0"/>
              <w:rPr>
                <w:sz w:val="20"/>
                <w:szCs w:val="20"/>
                <w:color w:val="auto"/>
              </w:rPr>
            </w:pPr>
            <w:r>
              <w:rPr>
                <w:rFonts w:ascii="Verdana" w:cs="Verdana" w:eastAsia="Verdana" w:hAnsi="Verdana"/>
                <w:sz w:val="16"/>
                <w:szCs w:val="16"/>
                <w:color w:val="214E93"/>
              </w:rPr>
              <w:t>11,710,569</w:t>
            </w:r>
          </w:p>
        </w:tc>
      </w:tr>
      <w:tr>
        <w:trPr>
          <w:trHeight w:val="216"/>
        </w:trPr>
        <w:tc>
          <w:tcPr>
            <w:tcW w:w="2820" w:type="dxa"/>
            <w:vAlign w:val="bottom"/>
            <w:tcBorders>
              <w:bottom w:val="single" w:sz="8" w:color="214E93"/>
            </w:tcBorders>
          </w:tcPr>
          <w:p>
            <w:pPr>
              <w:ind w:left="40"/>
              <w:spacing w:after="0" w:line="216" w:lineRule="exact"/>
              <w:rPr>
                <w:sz w:val="20"/>
                <w:szCs w:val="20"/>
                <w:color w:val="auto"/>
              </w:rPr>
            </w:pPr>
            <w:r>
              <w:rPr>
                <w:rFonts w:ascii="Verdana" w:cs="Verdana" w:eastAsia="Verdana" w:hAnsi="Verdana"/>
                <w:sz w:val="16"/>
                <w:szCs w:val="16"/>
                <w:color w:val="auto"/>
              </w:rPr>
              <w:t>Capital expenditures</w:t>
            </w:r>
            <w:r>
              <w:rPr>
                <w:rFonts w:ascii="Verdana" w:cs="Verdana" w:eastAsia="Verdana" w:hAnsi="Verdana"/>
                <w:sz w:val="20"/>
                <w:szCs w:val="20"/>
                <w:color w:val="auto"/>
                <w:vertAlign w:val="superscript"/>
              </w:rPr>
              <w:t>(5)</w:t>
            </w:r>
          </w:p>
        </w:tc>
        <w:tc>
          <w:tcPr>
            <w:tcW w:w="460" w:type="dxa"/>
            <w:vAlign w:val="bottom"/>
            <w:tcBorders>
              <w:bottom w:val="single" w:sz="8" w:color="214E93"/>
            </w:tcBorders>
          </w:tcPr>
          <w:p>
            <w:pPr>
              <w:ind w:left="340"/>
              <w:spacing w:after="0"/>
              <w:rPr>
                <w:sz w:val="20"/>
                <w:szCs w:val="20"/>
                <w:color w:val="auto"/>
              </w:rPr>
            </w:pPr>
            <w:r>
              <w:rPr>
                <w:rFonts w:ascii="Verdana" w:cs="Verdana" w:eastAsia="Verdana" w:hAnsi="Verdana"/>
                <w:sz w:val="16"/>
                <w:szCs w:val="16"/>
                <w:color w:val="214E93"/>
                <w:w w:val="97"/>
              </w:rPr>
              <w:t>$</w:t>
            </w:r>
          </w:p>
        </w:tc>
        <w:tc>
          <w:tcPr>
            <w:tcW w:w="1020" w:type="dxa"/>
            <w:vAlign w:val="bottom"/>
            <w:tcBorders>
              <w:bottom w:val="single" w:sz="8" w:color="214E93"/>
            </w:tcBorders>
          </w:tcPr>
          <w:p>
            <w:pPr>
              <w:jc w:val="right"/>
              <w:ind w:right="22"/>
              <w:spacing w:after="0"/>
              <w:rPr>
                <w:sz w:val="20"/>
                <w:szCs w:val="20"/>
                <w:color w:val="auto"/>
              </w:rPr>
            </w:pPr>
            <w:r>
              <w:rPr>
                <w:rFonts w:ascii="Verdana" w:cs="Verdana" w:eastAsia="Verdana" w:hAnsi="Verdana"/>
                <w:sz w:val="16"/>
                <w:szCs w:val="16"/>
                <w:color w:val="214E93"/>
              </w:rPr>
              <w:t>1,864,889</w:t>
            </w:r>
          </w:p>
        </w:tc>
        <w:tc>
          <w:tcPr>
            <w:tcW w:w="24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w:t>
            </w:r>
          </w:p>
        </w:tc>
        <w:tc>
          <w:tcPr>
            <w:tcW w:w="1000" w:type="dxa"/>
            <w:vAlign w:val="bottom"/>
            <w:tcBorders>
              <w:bottom w:val="single" w:sz="8" w:color="214E93"/>
            </w:tcBorders>
          </w:tcPr>
          <w:p>
            <w:pPr>
              <w:jc w:val="right"/>
              <w:ind w:right="22"/>
              <w:spacing w:after="0"/>
              <w:rPr>
                <w:sz w:val="20"/>
                <w:szCs w:val="20"/>
                <w:color w:val="auto"/>
              </w:rPr>
            </w:pPr>
            <w:r>
              <w:rPr>
                <w:rFonts w:ascii="Verdana" w:cs="Verdana" w:eastAsia="Verdana" w:hAnsi="Verdana"/>
                <w:sz w:val="16"/>
                <w:szCs w:val="16"/>
                <w:color w:val="214E93"/>
              </w:rPr>
              <w:t>286,294</w:t>
            </w:r>
          </w:p>
        </w:tc>
        <w:tc>
          <w:tcPr>
            <w:tcW w:w="24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w:t>
            </w:r>
          </w:p>
        </w:tc>
        <w:tc>
          <w:tcPr>
            <w:tcW w:w="1040" w:type="dxa"/>
            <w:vAlign w:val="bottom"/>
            <w:tcBorders>
              <w:bottom w:val="single" w:sz="8" w:color="214E93"/>
            </w:tcBorders>
          </w:tcPr>
          <w:p>
            <w:pPr>
              <w:jc w:val="right"/>
              <w:ind w:right="62"/>
              <w:spacing w:after="0"/>
              <w:rPr>
                <w:sz w:val="20"/>
                <w:szCs w:val="20"/>
                <w:color w:val="auto"/>
              </w:rPr>
            </w:pPr>
            <w:r>
              <w:rPr>
                <w:rFonts w:ascii="Verdana" w:cs="Verdana" w:eastAsia="Verdana" w:hAnsi="Verdana"/>
                <w:sz w:val="16"/>
                <w:szCs w:val="16"/>
                <w:color w:val="214E93"/>
              </w:rPr>
              <w:t>4,246</w:t>
            </w:r>
          </w:p>
        </w:tc>
        <w:tc>
          <w:tcPr>
            <w:tcW w:w="18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w:t>
            </w:r>
          </w:p>
        </w:tc>
        <w:tc>
          <w:tcPr>
            <w:tcW w:w="1260" w:type="dxa"/>
            <w:vAlign w:val="bottom"/>
            <w:tcBorders>
              <w:bottom w:val="single" w:sz="8" w:color="214E93"/>
            </w:tcBorders>
          </w:tcPr>
          <w:p>
            <w:pPr>
              <w:jc w:val="right"/>
              <w:ind w:right="62"/>
              <w:spacing w:after="0"/>
              <w:rPr>
                <w:sz w:val="20"/>
                <w:szCs w:val="20"/>
                <w:color w:val="auto"/>
              </w:rPr>
            </w:pPr>
            <w:r>
              <w:rPr>
                <w:rFonts w:ascii="Verdana" w:cs="Verdana" w:eastAsia="Verdana" w:hAnsi="Verdana"/>
                <w:sz w:val="16"/>
                <w:szCs w:val="16"/>
                <w:color w:val="214E93"/>
              </w:rPr>
              <w:t>—</w:t>
            </w:r>
          </w:p>
        </w:tc>
        <w:tc>
          <w:tcPr>
            <w:tcW w:w="20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w:t>
            </w:r>
          </w:p>
        </w:tc>
        <w:tc>
          <w:tcPr>
            <w:tcW w:w="1100" w:type="dxa"/>
            <w:vAlign w:val="bottom"/>
            <w:tcBorders>
              <w:bottom w:val="single" w:sz="8" w:color="214E93"/>
            </w:tcBorders>
          </w:tcPr>
          <w:p>
            <w:pPr>
              <w:jc w:val="right"/>
              <w:ind w:right="3"/>
              <w:spacing w:after="0"/>
              <w:rPr>
                <w:sz w:val="20"/>
                <w:szCs w:val="20"/>
                <w:color w:val="auto"/>
              </w:rPr>
            </w:pPr>
            <w:r>
              <w:rPr>
                <w:rFonts w:ascii="Verdana" w:cs="Verdana" w:eastAsia="Verdana" w:hAnsi="Verdana"/>
                <w:sz w:val="16"/>
                <w:szCs w:val="16"/>
                <w:color w:val="214E93"/>
              </w:rPr>
              <w:t>2,155,429</w:t>
            </w:r>
          </w:p>
        </w:tc>
      </w:tr>
    </w:tbl>
    <w:p>
      <w:pPr>
        <w:spacing w:after="0" w:line="20" w:lineRule="exact"/>
        <w:rPr>
          <w:sz w:val="20"/>
          <w:szCs w:val="20"/>
          <w:color w:val="auto"/>
        </w:rPr>
      </w:pPr>
    </w:p>
    <w:p>
      <w:pPr>
        <w:spacing w:after="0" w:line="118" w:lineRule="exact"/>
        <w:rPr>
          <w:sz w:val="20"/>
          <w:szCs w:val="20"/>
          <w:color w:val="auto"/>
        </w:rPr>
      </w:pPr>
    </w:p>
    <w:p>
      <w:pPr>
        <w:ind w:left="1300" w:hanging="346"/>
        <w:spacing w:after="0"/>
        <w:tabs>
          <w:tab w:leader="none" w:pos="1300" w:val="left"/>
        </w:tabs>
        <w:numPr>
          <w:ilvl w:val="0"/>
          <w:numId w:val="97"/>
        </w:numPr>
        <w:rPr>
          <w:rFonts w:ascii="Calibri" w:cs="Calibri" w:eastAsia="Calibri" w:hAnsi="Calibri"/>
          <w:sz w:val="13"/>
          <w:szCs w:val="13"/>
          <w:color w:val="auto"/>
        </w:rPr>
      </w:pPr>
      <w:r>
        <w:rPr>
          <w:rFonts w:ascii="Calibri" w:cs="Calibri" w:eastAsia="Calibri" w:hAnsi="Calibri"/>
          <w:sz w:val="13"/>
          <w:szCs w:val="13"/>
          <w:color w:val="auto"/>
        </w:rPr>
        <w:t>Operating expense includes lease operating expense for the exploration and production segment and midstream operating expense for the midstream segment.</w:t>
      </w:r>
    </w:p>
    <w:p>
      <w:pPr>
        <w:spacing w:after="0" w:line="86" w:lineRule="exact"/>
        <w:rPr>
          <w:rFonts w:ascii="Calibri" w:cs="Calibri" w:eastAsia="Calibri" w:hAnsi="Calibri"/>
          <w:sz w:val="13"/>
          <w:szCs w:val="13"/>
          <w:color w:val="auto"/>
        </w:rPr>
      </w:pPr>
    </w:p>
    <w:p>
      <w:pPr>
        <w:ind w:left="1300" w:right="120" w:hanging="346"/>
        <w:spacing w:after="0" w:line="248" w:lineRule="auto"/>
        <w:tabs>
          <w:tab w:leader="none" w:pos="1300" w:val="left"/>
        </w:tabs>
        <w:numPr>
          <w:ilvl w:val="0"/>
          <w:numId w:val="97"/>
        </w:numPr>
        <w:rPr>
          <w:rFonts w:ascii="Calibri" w:cs="Calibri" w:eastAsia="Calibri" w:hAnsi="Calibri"/>
          <w:sz w:val="13"/>
          <w:szCs w:val="13"/>
          <w:color w:val="auto"/>
        </w:rPr>
      </w:pPr>
      <w:r>
        <w:rPr>
          <w:rFonts w:ascii="Calibri" w:cs="Calibri" w:eastAsia="Calibri" w:hAnsi="Calibri"/>
          <w:sz w:val="13"/>
          <w:szCs w:val="13"/>
          <w:color w:val="auto"/>
        </w:rPr>
        <w:t>Includes depletion, depreciation and amortization expenses of $1.14 billion and $57.4 million for the exploration and production and midstream segments, respectively. Also includes corporate depletion, depreciation and amortization expenses of $1.6 million. Other expenses for each reportable segment also includes (i) transportation and processing, (ii) general and administrative expenses, (iii) accretion of asset retirement obligations, (iv) purchased natural gas and</w:t>
      </w:r>
    </w:p>
    <w:p>
      <w:pPr>
        <w:ind w:left="1300"/>
        <w:spacing w:after="0" w:line="232" w:lineRule="auto"/>
        <w:rPr>
          <w:rFonts w:ascii="Calibri" w:cs="Calibri" w:eastAsia="Calibri" w:hAnsi="Calibri"/>
          <w:sz w:val="13"/>
          <w:szCs w:val="13"/>
          <w:color w:val="auto"/>
        </w:rPr>
      </w:pPr>
      <w:r>
        <w:rPr>
          <w:rFonts w:ascii="Calibri" w:cs="Calibri" w:eastAsia="Calibri" w:hAnsi="Calibri"/>
          <w:sz w:val="14"/>
          <w:szCs w:val="14"/>
          <w:color w:val="auto"/>
        </w:rPr>
        <w:t>(v) taxes other than income.</w:t>
      </w:r>
    </w:p>
    <w:p>
      <w:pPr>
        <w:spacing w:after="0" w:line="73" w:lineRule="exact"/>
        <w:rPr>
          <w:rFonts w:ascii="Calibri" w:cs="Calibri" w:eastAsia="Calibri" w:hAnsi="Calibri"/>
          <w:sz w:val="13"/>
          <w:szCs w:val="13"/>
          <w:color w:val="auto"/>
        </w:rPr>
      </w:pPr>
    </w:p>
    <w:p>
      <w:pPr>
        <w:ind w:left="1300" w:hanging="346"/>
        <w:spacing w:after="0"/>
        <w:tabs>
          <w:tab w:leader="none" w:pos="1300" w:val="left"/>
        </w:tabs>
        <w:numPr>
          <w:ilvl w:val="0"/>
          <w:numId w:val="97"/>
        </w:numPr>
        <w:rPr>
          <w:rFonts w:ascii="Calibri" w:cs="Calibri" w:eastAsia="Calibri" w:hAnsi="Calibri"/>
          <w:sz w:val="14"/>
          <w:szCs w:val="14"/>
          <w:color w:val="auto"/>
        </w:rPr>
      </w:pPr>
      <w:r>
        <w:rPr>
          <w:rFonts w:ascii="Calibri" w:cs="Calibri" w:eastAsia="Calibri" w:hAnsi="Calibri"/>
          <w:sz w:val="14"/>
          <w:szCs w:val="14"/>
          <w:color w:val="auto"/>
        </w:rPr>
        <w:t>Includes $101.5 million in net income attributable to non-controlling interest in subsidiaries related to the midstream segment.</w:t>
      </w:r>
    </w:p>
    <w:p>
      <w:pPr>
        <w:spacing w:after="0" w:line="73" w:lineRule="exact"/>
        <w:rPr>
          <w:rFonts w:ascii="Calibri" w:cs="Calibri" w:eastAsia="Calibri" w:hAnsi="Calibri"/>
          <w:sz w:val="14"/>
          <w:szCs w:val="14"/>
          <w:color w:val="auto"/>
        </w:rPr>
      </w:pPr>
    </w:p>
    <w:p>
      <w:pPr>
        <w:ind w:left="1300" w:hanging="346"/>
        <w:spacing w:after="0"/>
        <w:tabs>
          <w:tab w:leader="none" w:pos="1300" w:val="left"/>
        </w:tabs>
        <w:numPr>
          <w:ilvl w:val="0"/>
          <w:numId w:val="97"/>
        </w:numPr>
        <w:rPr>
          <w:rFonts w:ascii="Calibri" w:cs="Calibri" w:eastAsia="Calibri" w:hAnsi="Calibri"/>
          <w:sz w:val="14"/>
          <w:szCs w:val="14"/>
          <w:color w:val="auto"/>
        </w:rPr>
      </w:pPr>
      <w:r>
        <w:rPr>
          <w:rFonts w:ascii="Calibri" w:cs="Calibri" w:eastAsia="Calibri" w:hAnsi="Calibri"/>
          <w:sz w:val="14"/>
          <w:szCs w:val="14"/>
          <w:color w:val="auto"/>
        </w:rPr>
        <w:t>Excludes intercompany receivables and investments in subsidiaries.</w:t>
      </w:r>
    </w:p>
    <w:p>
      <w:pPr>
        <w:spacing w:after="0" w:line="86" w:lineRule="exact"/>
        <w:rPr>
          <w:rFonts w:ascii="Calibri" w:cs="Calibri" w:eastAsia="Calibri" w:hAnsi="Calibri"/>
          <w:sz w:val="14"/>
          <w:szCs w:val="14"/>
          <w:color w:val="auto"/>
        </w:rPr>
      </w:pPr>
    </w:p>
    <w:p>
      <w:pPr>
        <w:ind w:left="1300" w:right="60" w:hanging="346"/>
        <w:spacing w:after="0" w:line="226" w:lineRule="auto"/>
        <w:tabs>
          <w:tab w:leader="none" w:pos="1300" w:val="left"/>
        </w:tabs>
        <w:numPr>
          <w:ilvl w:val="0"/>
          <w:numId w:val="97"/>
        </w:numPr>
        <w:rPr>
          <w:rFonts w:ascii="Calibri" w:cs="Calibri" w:eastAsia="Calibri" w:hAnsi="Calibri"/>
          <w:sz w:val="14"/>
          <w:szCs w:val="14"/>
          <w:color w:val="auto"/>
        </w:rPr>
      </w:pPr>
      <w:r>
        <w:rPr>
          <w:rFonts w:ascii="Calibri" w:cs="Calibri" w:eastAsia="Calibri" w:hAnsi="Calibri"/>
          <w:sz w:val="14"/>
          <w:szCs w:val="14"/>
          <w:color w:val="auto"/>
        </w:rPr>
        <w:t>Includes $339.2 million attributable to land and seismic acquisition expenditures related to the exploration and production segment and $118.4 million in capital expenditures attributable to non-controlling interest in subsidiaries related to the midstream segment.</w:t>
      </w:r>
    </w:p>
    <w:p>
      <w:pPr>
        <w:spacing w:after="0" w:line="240"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ind w:right="142"/>
              <w:spacing w:after="0"/>
              <w:rPr>
                <w:sz w:val="20"/>
                <w:szCs w:val="20"/>
                <w:color w:val="auto"/>
              </w:rPr>
            </w:pPr>
            <w:r>
              <w:rPr>
                <w:rFonts w:ascii="Verdana" w:cs="Verdana" w:eastAsia="Verdana" w:hAnsi="Verdana"/>
                <w:sz w:val="14"/>
                <w:szCs w:val="14"/>
                <w:color w:val="auto"/>
                <w:w w:val="98"/>
              </w:rPr>
              <w:t>Exploration</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162"/>
              <w:spacing w:after="0"/>
              <w:rPr>
                <w:sz w:val="20"/>
                <w:szCs w:val="20"/>
                <w:color w:val="auto"/>
              </w:rPr>
            </w:pPr>
            <w:r>
              <w:rPr>
                <w:rFonts w:ascii="Verdana" w:cs="Verdana" w:eastAsia="Verdana" w:hAnsi="Verdana"/>
                <w:sz w:val="14"/>
                <w:szCs w:val="14"/>
                <w:color w:val="auto"/>
                <w:w w:val="98"/>
              </w:rPr>
              <w:t>Consolidations</w:t>
            </w:r>
          </w:p>
        </w:tc>
        <w:tc>
          <w:tcPr>
            <w:tcW w:w="200" w:type="dxa"/>
            <w:vAlign w:val="bottom"/>
          </w:tcPr>
          <w:p>
            <w:pPr>
              <w:spacing w:after="0"/>
              <w:rPr>
                <w:sz w:val="14"/>
                <w:szCs w:val="14"/>
                <w:color w:val="auto"/>
              </w:rPr>
            </w:pPr>
          </w:p>
        </w:tc>
        <w:tc>
          <w:tcPr>
            <w:tcW w:w="1100" w:type="dxa"/>
            <w:vAlign w:val="bottom"/>
          </w:tcPr>
          <w:p>
            <w:pPr>
              <w:jc w:val="right"/>
              <w:ind w:right="123"/>
              <w:spacing w:after="0"/>
              <w:rPr>
                <w:sz w:val="20"/>
                <w:szCs w:val="20"/>
                <w:color w:val="auto"/>
              </w:rPr>
            </w:pPr>
            <w:r>
              <w:rPr>
                <w:rFonts w:ascii="Verdana" w:cs="Verdana" w:eastAsia="Verdana" w:hAnsi="Verdana"/>
                <w:sz w:val="14"/>
                <w:szCs w:val="14"/>
                <w:color w:val="auto"/>
                <w:w w:val="97"/>
              </w:rPr>
              <w:t>Consolidated</w:t>
            </w:r>
          </w:p>
        </w:tc>
      </w:tr>
      <w:tr>
        <w:trPr>
          <w:trHeight w:val="193"/>
        </w:trPr>
        <w:tc>
          <w:tcPr>
            <w:tcW w:w="2820" w:type="dxa"/>
            <w:vAlign w:val="bottom"/>
            <w:tcBorders>
              <w:bottom w:val="single" w:sz="8" w:color="214E93"/>
            </w:tcBorders>
          </w:tcPr>
          <w:p>
            <w:pPr>
              <w:spacing w:after="0"/>
              <w:rPr>
                <w:sz w:val="16"/>
                <w:szCs w:val="16"/>
                <w:color w:val="auto"/>
              </w:rPr>
            </w:pPr>
          </w:p>
        </w:tc>
        <w:tc>
          <w:tcPr>
            <w:tcW w:w="1480" w:type="dxa"/>
            <w:vAlign w:val="bottom"/>
            <w:tcBorders>
              <w:bottom w:val="single" w:sz="8" w:color="214E93"/>
            </w:tcBorders>
            <w:gridSpan w:val="2"/>
          </w:tcPr>
          <w:p>
            <w:pPr>
              <w:ind w:left="360"/>
              <w:spacing w:after="0"/>
              <w:rPr>
                <w:sz w:val="20"/>
                <w:szCs w:val="20"/>
                <w:color w:val="auto"/>
              </w:rPr>
            </w:pPr>
            <w:r>
              <w:rPr>
                <w:rFonts w:ascii="Verdana" w:cs="Verdana" w:eastAsia="Verdana" w:hAnsi="Verdana"/>
                <w:sz w:val="14"/>
                <w:szCs w:val="14"/>
                <w:color w:val="auto"/>
              </w:rPr>
              <w:t>and Production</w:t>
            </w:r>
          </w:p>
        </w:tc>
        <w:tc>
          <w:tcPr>
            <w:tcW w:w="240" w:type="dxa"/>
            <w:vAlign w:val="bottom"/>
            <w:tcBorders>
              <w:bottom w:val="single" w:sz="8" w:color="214E93"/>
            </w:tcBorders>
          </w:tcPr>
          <w:p>
            <w:pPr>
              <w:spacing w:after="0"/>
              <w:rPr>
                <w:sz w:val="16"/>
                <w:szCs w:val="16"/>
                <w:color w:val="auto"/>
              </w:rPr>
            </w:pPr>
          </w:p>
        </w:tc>
        <w:tc>
          <w:tcPr>
            <w:tcW w:w="1000" w:type="dxa"/>
            <w:vAlign w:val="bottom"/>
            <w:tcBorders>
              <w:bottom w:val="single" w:sz="8" w:color="214E93"/>
            </w:tcBorders>
          </w:tcPr>
          <w:p>
            <w:pPr>
              <w:jc w:val="right"/>
              <w:ind w:right="162"/>
              <w:spacing w:after="0"/>
              <w:rPr>
                <w:sz w:val="20"/>
                <w:szCs w:val="20"/>
                <w:color w:val="auto"/>
              </w:rPr>
            </w:pPr>
            <w:r>
              <w:rPr>
                <w:rFonts w:ascii="Verdana" w:cs="Verdana" w:eastAsia="Verdana" w:hAnsi="Verdana"/>
                <w:sz w:val="14"/>
                <w:szCs w:val="14"/>
                <w:color w:val="auto"/>
              </w:rPr>
              <w:t>Midstream</w:t>
            </w:r>
          </w:p>
        </w:tc>
        <w:tc>
          <w:tcPr>
            <w:tcW w:w="240" w:type="dxa"/>
            <w:vAlign w:val="bottom"/>
            <w:tcBorders>
              <w:bottom w:val="single" w:sz="8" w:color="214E93"/>
            </w:tcBorders>
          </w:tcPr>
          <w:p>
            <w:pPr>
              <w:spacing w:after="0"/>
              <w:rPr>
                <w:sz w:val="16"/>
                <w:szCs w:val="16"/>
                <w:color w:val="auto"/>
              </w:rPr>
            </w:pPr>
          </w:p>
        </w:tc>
        <w:tc>
          <w:tcPr>
            <w:tcW w:w="1040" w:type="dxa"/>
            <w:vAlign w:val="bottom"/>
            <w:tcBorders>
              <w:bottom w:val="single" w:sz="8" w:color="214E93"/>
            </w:tcBorders>
          </w:tcPr>
          <w:p>
            <w:pPr>
              <w:jc w:val="right"/>
              <w:ind w:right="222"/>
              <w:spacing w:after="0"/>
              <w:rPr>
                <w:sz w:val="20"/>
                <w:szCs w:val="20"/>
                <w:color w:val="auto"/>
              </w:rPr>
            </w:pPr>
            <w:r>
              <w:rPr>
                <w:rFonts w:ascii="Verdana" w:cs="Verdana" w:eastAsia="Verdana" w:hAnsi="Verdana"/>
                <w:sz w:val="14"/>
                <w:szCs w:val="14"/>
                <w:color w:val="auto"/>
              </w:rPr>
              <w:t>Corporate</w:t>
            </w:r>
          </w:p>
        </w:tc>
        <w:tc>
          <w:tcPr>
            <w:tcW w:w="1440" w:type="dxa"/>
            <w:vAlign w:val="bottom"/>
            <w:tcBorders>
              <w:bottom w:val="single" w:sz="8" w:color="214E93"/>
            </w:tcBorders>
            <w:gridSpan w:val="2"/>
          </w:tcPr>
          <w:p>
            <w:pPr>
              <w:jc w:val="right"/>
              <w:ind w:right="82"/>
              <w:spacing w:after="0"/>
              <w:rPr>
                <w:sz w:val="20"/>
                <w:szCs w:val="20"/>
                <w:color w:val="auto"/>
              </w:rPr>
            </w:pPr>
            <w:r>
              <w:rPr>
                <w:rFonts w:ascii="Verdana" w:cs="Verdana" w:eastAsia="Verdana" w:hAnsi="Verdana"/>
                <w:sz w:val="14"/>
                <w:szCs w:val="14"/>
                <w:color w:val="auto"/>
              </w:rPr>
              <w:t>and Eliminations</w:t>
            </w:r>
          </w:p>
        </w:tc>
        <w:tc>
          <w:tcPr>
            <w:tcW w:w="200" w:type="dxa"/>
            <w:vAlign w:val="bottom"/>
            <w:tcBorders>
              <w:bottom w:val="single" w:sz="8" w:color="214E93"/>
            </w:tcBorders>
          </w:tcPr>
          <w:p>
            <w:pPr>
              <w:spacing w:after="0"/>
              <w:rPr>
                <w:sz w:val="16"/>
                <w:szCs w:val="16"/>
                <w:color w:val="auto"/>
              </w:rPr>
            </w:pPr>
          </w:p>
        </w:tc>
        <w:tc>
          <w:tcPr>
            <w:tcW w:w="1100" w:type="dxa"/>
            <w:vAlign w:val="bottom"/>
            <w:tcBorders>
              <w:bottom w:val="single" w:sz="8" w:color="214E93"/>
            </w:tcBorders>
          </w:tcPr>
          <w:p>
            <w:pPr>
              <w:jc w:val="right"/>
              <w:ind w:right="243"/>
              <w:spacing w:after="0"/>
              <w:rPr>
                <w:sz w:val="20"/>
                <w:szCs w:val="20"/>
                <w:color w:val="auto"/>
              </w:rPr>
            </w:pPr>
            <w:r>
              <w:rPr>
                <w:rFonts w:ascii="Verdana" w:cs="Verdana" w:eastAsia="Verdana" w:hAnsi="Verdana"/>
                <w:sz w:val="14"/>
                <w:szCs w:val="14"/>
                <w:color w:val="auto"/>
              </w:rPr>
              <w:t>Company</w:t>
            </w:r>
          </w:p>
        </w:tc>
      </w:tr>
      <w:tr>
        <w:trPr>
          <w:trHeight w:val="218"/>
        </w:trPr>
        <w:tc>
          <w:tcPr>
            <w:tcW w:w="2820" w:type="dxa"/>
            <w:vAlign w:val="bottom"/>
          </w:tcPr>
          <w:p>
            <w:pPr>
              <w:ind w:left="40"/>
              <w:spacing w:after="0" w:line="218" w:lineRule="exact"/>
              <w:rPr>
                <w:sz w:val="20"/>
                <w:szCs w:val="20"/>
                <w:color w:val="auto"/>
              </w:rPr>
            </w:pPr>
            <w:r>
              <w:rPr>
                <w:rFonts w:ascii="Calibri" w:cs="Calibri" w:eastAsia="Calibri" w:hAnsi="Calibri"/>
                <w:sz w:val="19"/>
                <w:szCs w:val="19"/>
                <w:b w:val="1"/>
                <w:bCs w:val="1"/>
                <w:color w:val="auto"/>
              </w:rPr>
              <w:t>Year Ended December 31, 2024</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3"/>
        </w:trPr>
        <w:tc>
          <w:tcPr>
            <w:tcW w:w="2820" w:type="dxa"/>
            <w:vAlign w:val="bottom"/>
          </w:tcPr>
          <w:p>
            <w:pPr>
              <w:ind w:left="40"/>
              <w:spacing w:after="0"/>
              <w:rPr>
                <w:sz w:val="20"/>
                <w:szCs w:val="20"/>
                <w:color w:val="auto"/>
              </w:rPr>
            </w:pPr>
            <w:r>
              <w:rPr>
                <w:rFonts w:ascii="Verdana" w:cs="Verdana" w:eastAsia="Verdana" w:hAnsi="Verdana"/>
                <w:sz w:val="16"/>
                <w:szCs w:val="16"/>
                <w:color w:val="auto"/>
              </w:rPr>
              <w:t>Oil and natural gas revenues</w:t>
            </w:r>
          </w:p>
        </w:tc>
        <w:tc>
          <w:tcPr>
            <w:tcW w:w="460" w:type="dxa"/>
            <w:vAlign w:val="bottom"/>
          </w:tcPr>
          <w:p>
            <w:pPr>
              <w:ind w:left="340"/>
              <w:spacing w:after="0"/>
              <w:rPr>
                <w:sz w:val="20"/>
                <w:szCs w:val="20"/>
                <w:color w:val="auto"/>
              </w:rPr>
            </w:pPr>
            <w:r>
              <w:rPr>
                <w:rFonts w:ascii="Verdana" w:cs="Verdana" w:eastAsia="Verdana" w:hAnsi="Verdana"/>
                <w:sz w:val="16"/>
                <w:szCs w:val="16"/>
                <w:color w:val="auto"/>
                <w:w w:val="97"/>
              </w:rPr>
              <w:t>$</w:t>
            </w:r>
          </w:p>
        </w:tc>
        <w:tc>
          <w:tcPr>
            <w:tcW w:w="1020" w:type="dxa"/>
            <w:vAlign w:val="bottom"/>
          </w:tcPr>
          <w:p>
            <w:pPr>
              <w:jc w:val="right"/>
              <w:ind w:right="22"/>
              <w:spacing w:after="0"/>
              <w:rPr>
                <w:sz w:val="20"/>
                <w:szCs w:val="20"/>
                <w:color w:val="auto"/>
              </w:rPr>
            </w:pPr>
            <w:r>
              <w:rPr>
                <w:rFonts w:ascii="Verdana" w:cs="Verdana" w:eastAsia="Verdana" w:hAnsi="Verdana"/>
                <w:sz w:val="16"/>
                <w:szCs w:val="16"/>
                <w:color w:val="auto"/>
              </w:rPr>
              <w:t>3,129,598</w:t>
            </w:r>
          </w:p>
        </w:tc>
        <w:tc>
          <w:tcPr>
            <w:tcW w:w="240" w:type="dxa"/>
            <w:vAlign w:val="bottom"/>
          </w:tcPr>
          <w:p>
            <w:pPr>
              <w:jc w:val="right"/>
              <w:spacing w:after="0"/>
              <w:rPr>
                <w:sz w:val="20"/>
                <w:szCs w:val="20"/>
                <w:color w:val="auto"/>
              </w:rPr>
            </w:pPr>
            <w:r>
              <w:rPr>
                <w:rFonts w:ascii="Verdana" w:cs="Verdana" w:eastAsia="Verdana" w:hAnsi="Verdana"/>
                <w:sz w:val="16"/>
                <w:szCs w:val="16"/>
                <w:color w:val="auto"/>
              </w:rPr>
              <w:t>$</w:t>
            </w:r>
          </w:p>
        </w:tc>
        <w:tc>
          <w:tcPr>
            <w:tcW w:w="1000" w:type="dxa"/>
            <w:vAlign w:val="bottom"/>
          </w:tcPr>
          <w:p>
            <w:pPr>
              <w:jc w:val="right"/>
              <w:ind w:right="22"/>
              <w:spacing w:after="0"/>
              <w:rPr>
                <w:sz w:val="20"/>
                <w:szCs w:val="20"/>
                <w:color w:val="auto"/>
              </w:rPr>
            </w:pPr>
            <w:r>
              <w:rPr>
                <w:rFonts w:ascii="Verdana" w:cs="Verdana" w:eastAsia="Verdana" w:hAnsi="Verdana"/>
                <w:sz w:val="16"/>
                <w:szCs w:val="16"/>
                <w:color w:val="auto"/>
              </w:rPr>
              <w:t>14,236</w:t>
            </w:r>
          </w:p>
        </w:tc>
        <w:tc>
          <w:tcPr>
            <w:tcW w:w="240" w:type="dxa"/>
            <w:vAlign w:val="bottom"/>
          </w:tcPr>
          <w:p>
            <w:pPr>
              <w:jc w:val="right"/>
              <w:spacing w:after="0"/>
              <w:rPr>
                <w:sz w:val="20"/>
                <w:szCs w:val="20"/>
                <w:color w:val="auto"/>
              </w:rPr>
            </w:pPr>
            <w:r>
              <w:rPr>
                <w:rFonts w:ascii="Verdana" w:cs="Verdana" w:eastAsia="Verdana" w:hAnsi="Verdana"/>
                <w:sz w:val="16"/>
                <w:szCs w:val="16"/>
                <w:color w:val="auto"/>
              </w:rPr>
              <w:t>$</w:t>
            </w:r>
          </w:p>
        </w:tc>
        <w:tc>
          <w:tcPr>
            <w:tcW w:w="1040" w:type="dxa"/>
            <w:vAlign w:val="bottom"/>
          </w:tcPr>
          <w:p>
            <w:pPr>
              <w:jc w:val="right"/>
              <w:ind w:right="62"/>
              <w:spacing w:after="0"/>
              <w:rPr>
                <w:sz w:val="20"/>
                <w:szCs w:val="20"/>
                <w:color w:val="auto"/>
              </w:rPr>
            </w:pPr>
            <w:r>
              <w:rPr>
                <w:rFonts w:ascii="Verdana" w:cs="Verdana" w:eastAsia="Verdana" w:hAnsi="Verdana"/>
                <w:sz w:val="16"/>
                <w:szCs w:val="16"/>
                <w:color w:val="auto"/>
              </w:rPr>
              <w:t>—</w:t>
            </w:r>
          </w:p>
        </w:tc>
        <w:tc>
          <w:tcPr>
            <w:tcW w:w="180" w:type="dxa"/>
            <w:vAlign w:val="bottom"/>
          </w:tcPr>
          <w:p>
            <w:pPr>
              <w:jc w:val="right"/>
              <w:spacing w:after="0"/>
              <w:rPr>
                <w:sz w:val="20"/>
                <w:szCs w:val="20"/>
                <w:color w:val="auto"/>
              </w:rPr>
            </w:pPr>
            <w:r>
              <w:rPr>
                <w:rFonts w:ascii="Verdana" w:cs="Verdana" w:eastAsia="Verdana" w:hAnsi="Verdana"/>
                <w:sz w:val="16"/>
                <w:szCs w:val="16"/>
                <w:color w:val="auto"/>
              </w:rPr>
              <w:t>$</w:t>
            </w:r>
          </w:p>
        </w:tc>
        <w:tc>
          <w:tcPr>
            <w:tcW w:w="1260" w:type="dxa"/>
            <w:vAlign w:val="bottom"/>
          </w:tcPr>
          <w:p>
            <w:pPr>
              <w:jc w:val="right"/>
              <w:ind w:right="62"/>
              <w:spacing w:after="0"/>
              <w:rPr>
                <w:sz w:val="20"/>
                <w:szCs w:val="20"/>
                <w:color w:val="auto"/>
              </w:rPr>
            </w:pPr>
            <w:r>
              <w:rPr>
                <w:rFonts w:ascii="Verdana" w:cs="Verdana" w:eastAsia="Verdana" w:hAnsi="Verdana"/>
                <w:sz w:val="16"/>
                <w:szCs w:val="16"/>
                <w:color w:val="auto"/>
              </w:rPr>
              <w:t>—</w:t>
            </w:r>
          </w:p>
        </w:tc>
        <w:tc>
          <w:tcPr>
            <w:tcW w:w="200" w:type="dxa"/>
            <w:vAlign w:val="bottom"/>
          </w:tcPr>
          <w:p>
            <w:pPr>
              <w:spacing w:after="0"/>
              <w:rPr>
                <w:sz w:val="23"/>
                <w:szCs w:val="23"/>
                <w:color w:val="auto"/>
              </w:rPr>
            </w:pPr>
          </w:p>
        </w:tc>
        <w:tc>
          <w:tcPr>
            <w:tcW w:w="1100" w:type="dxa"/>
            <w:vAlign w:val="bottom"/>
          </w:tcPr>
          <w:p>
            <w:pPr>
              <w:jc w:val="right"/>
              <w:ind w:right="3"/>
              <w:spacing w:after="0"/>
              <w:rPr>
                <w:sz w:val="20"/>
                <w:szCs w:val="20"/>
                <w:color w:val="auto"/>
              </w:rPr>
            </w:pPr>
            <w:r>
              <w:rPr>
                <w:rFonts w:ascii="Verdana" w:cs="Verdana" w:eastAsia="Verdana" w:hAnsi="Verdana"/>
                <w:sz w:val="16"/>
                <w:szCs w:val="16"/>
                <w:color w:val="auto"/>
              </w:rPr>
              <w:t>3,143,834</w:t>
            </w:r>
          </w:p>
        </w:tc>
      </w:tr>
      <w:tr>
        <w:trPr>
          <w:trHeight w:val="236"/>
        </w:trPr>
        <w:tc>
          <w:tcPr>
            <w:tcW w:w="2820" w:type="dxa"/>
            <w:vAlign w:val="bottom"/>
          </w:tcPr>
          <w:p>
            <w:pPr>
              <w:ind w:left="40"/>
              <w:spacing w:after="0"/>
              <w:rPr>
                <w:sz w:val="20"/>
                <w:szCs w:val="20"/>
                <w:color w:val="auto"/>
              </w:rPr>
            </w:pPr>
            <w:r>
              <w:rPr>
                <w:rFonts w:ascii="Verdana" w:cs="Verdana" w:eastAsia="Verdana" w:hAnsi="Verdana"/>
                <w:sz w:val="16"/>
                <w:szCs w:val="16"/>
                <w:color w:val="auto"/>
              </w:rPr>
              <w:t>Midstream services revenues</w:t>
            </w:r>
          </w:p>
        </w:tc>
        <w:tc>
          <w:tcPr>
            <w:tcW w:w="46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Verdana" w:cs="Verdana" w:eastAsia="Verdana" w:hAnsi="Verdana"/>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ind w:right="22"/>
              <w:spacing w:after="0"/>
              <w:rPr>
                <w:sz w:val="20"/>
                <w:szCs w:val="20"/>
                <w:color w:val="auto"/>
              </w:rPr>
            </w:pPr>
            <w:r>
              <w:rPr>
                <w:rFonts w:ascii="Verdana" w:cs="Verdana" w:eastAsia="Verdana" w:hAnsi="Verdana"/>
                <w:sz w:val="16"/>
                <w:szCs w:val="16"/>
                <w:color w:val="auto"/>
              </w:rPr>
              <w:t>453,464</w:t>
            </w:r>
          </w:p>
        </w:tc>
        <w:tc>
          <w:tcPr>
            <w:tcW w:w="240" w:type="dxa"/>
            <w:vAlign w:val="bottom"/>
          </w:tcPr>
          <w:p>
            <w:pPr>
              <w:spacing w:after="0"/>
              <w:rPr>
                <w:sz w:val="20"/>
                <w:szCs w:val="20"/>
                <w:color w:val="auto"/>
              </w:rPr>
            </w:pPr>
          </w:p>
        </w:tc>
        <w:tc>
          <w:tcPr>
            <w:tcW w:w="1040" w:type="dxa"/>
            <w:vAlign w:val="bottom"/>
          </w:tcPr>
          <w:p>
            <w:pPr>
              <w:jc w:val="right"/>
              <w:ind w:right="62"/>
              <w:spacing w:after="0"/>
              <w:rPr>
                <w:sz w:val="20"/>
                <w:szCs w:val="20"/>
                <w:color w:val="auto"/>
              </w:rPr>
            </w:pPr>
            <w:r>
              <w:rPr>
                <w:rFonts w:ascii="Verdana" w:cs="Verdana" w:eastAsia="Verdana" w:hAnsi="Verdana"/>
                <w:sz w:val="16"/>
                <w:szCs w:val="16"/>
                <w:color w:val="auto"/>
              </w:rPr>
              <w:t>—</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Verdana" w:cs="Verdana" w:eastAsia="Verdana" w:hAnsi="Verdana"/>
                <w:sz w:val="16"/>
                <w:szCs w:val="16"/>
                <w:color w:val="auto"/>
              </w:rPr>
              <w:t>(312,437)</w:t>
            </w:r>
          </w:p>
        </w:tc>
        <w:tc>
          <w:tcPr>
            <w:tcW w:w="200" w:type="dxa"/>
            <w:vAlign w:val="bottom"/>
          </w:tcPr>
          <w:p>
            <w:pPr>
              <w:spacing w:after="0"/>
              <w:rPr>
                <w:sz w:val="20"/>
                <w:szCs w:val="20"/>
                <w:color w:val="auto"/>
              </w:rPr>
            </w:pPr>
          </w:p>
        </w:tc>
        <w:tc>
          <w:tcPr>
            <w:tcW w:w="1100" w:type="dxa"/>
            <w:vAlign w:val="bottom"/>
          </w:tcPr>
          <w:p>
            <w:pPr>
              <w:jc w:val="right"/>
              <w:ind w:right="3"/>
              <w:spacing w:after="0"/>
              <w:rPr>
                <w:sz w:val="20"/>
                <w:szCs w:val="20"/>
                <w:color w:val="auto"/>
              </w:rPr>
            </w:pPr>
            <w:r>
              <w:rPr>
                <w:rFonts w:ascii="Verdana" w:cs="Verdana" w:eastAsia="Verdana" w:hAnsi="Verdana"/>
                <w:sz w:val="16"/>
                <w:szCs w:val="16"/>
                <w:color w:val="auto"/>
              </w:rPr>
              <w:t>141,027</w:t>
            </w:r>
          </w:p>
        </w:tc>
      </w:tr>
      <w:tr>
        <w:trPr>
          <w:trHeight w:val="236"/>
        </w:trPr>
        <w:tc>
          <w:tcPr>
            <w:tcW w:w="2820" w:type="dxa"/>
            <w:vAlign w:val="bottom"/>
          </w:tcPr>
          <w:p>
            <w:pPr>
              <w:ind w:left="40"/>
              <w:spacing w:after="0"/>
              <w:rPr>
                <w:sz w:val="20"/>
                <w:szCs w:val="20"/>
                <w:color w:val="auto"/>
              </w:rPr>
            </w:pPr>
            <w:r>
              <w:rPr>
                <w:rFonts w:ascii="Verdana" w:cs="Verdana" w:eastAsia="Verdana" w:hAnsi="Verdana"/>
                <w:sz w:val="16"/>
                <w:szCs w:val="16"/>
                <w:color w:val="auto"/>
              </w:rPr>
              <w:t>Sales of purchased natural gas</w:t>
            </w:r>
          </w:p>
        </w:tc>
        <w:tc>
          <w:tcPr>
            <w:tcW w:w="46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Verdana" w:cs="Verdana" w:eastAsia="Verdana" w:hAnsi="Verdana"/>
                <w:sz w:val="16"/>
                <w:szCs w:val="16"/>
                <w:color w:val="auto"/>
              </w:rPr>
              <w:t>22,186</w:t>
            </w:r>
          </w:p>
        </w:tc>
        <w:tc>
          <w:tcPr>
            <w:tcW w:w="240" w:type="dxa"/>
            <w:vAlign w:val="bottom"/>
          </w:tcPr>
          <w:p>
            <w:pPr>
              <w:spacing w:after="0"/>
              <w:rPr>
                <w:sz w:val="20"/>
                <w:szCs w:val="20"/>
                <w:color w:val="auto"/>
              </w:rPr>
            </w:pPr>
          </w:p>
        </w:tc>
        <w:tc>
          <w:tcPr>
            <w:tcW w:w="1000" w:type="dxa"/>
            <w:vAlign w:val="bottom"/>
          </w:tcPr>
          <w:p>
            <w:pPr>
              <w:jc w:val="right"/>
              <w:ind w:right="22"/>
              <w:spacing w:after="0"/>
              <w:rPr>
                <w:sz w:val="20"/>
                <w:szCs w:val="20"/>
                <w:color w:val="auto"/>
              </w:rPr>
            </w:pPr>
            <w:r>
              <w:rPr>
                <w:rFonts w:ascii="Verdana" w:cs="Verdana" w:eastAsia="Verdana" w:hAnsi="Verdana"/>
                <w:sz w:val="16"/>
                <w:szCs w:val="16"/>
                <w:color w:val="auto"/>
              </w:rPr>
              <w:t>171,911</w:t>
            </w:r>
          </w:p>
        </w:tc>
        <w:tc>
          <w:tcPr>
            <w:tcW w:w="240" w:type="dxa"/>
            <w:vAlign w:val="bottom"/>
          </w:tcPr>
          <w:p>
            <w:pPr>
              <w:spacing w:after="0"/>
              <w:rPr>
                <w:sz w:val="20"/>
                <w:szCs w:val="20"/>
                <w:color w:val="auto"/>
              </w:rPr>
            </w:pPr>
          </w:p>
        </w:tc>
        <w:tc>
          <w:tcPr>
            <w:tcW w:w="1040" w:type="dxa"/>
            <w:vAlign w:val="bottom"/>
          </w:tcPr>
          <w:p>
            <w:pPr>
              <w:jc w:val="right"/>
              <w:ind w:right="62"/>
              <w:spacing w:after="0"/>
              <w:rPr>
                <w:sz w:val="20"/>
                <w:szCs w:val="20"/>
                <w:color w:val="auto"/>
              </w:rPr>
            </w:pPr>
            <w:r>
              <w:rPr>
                <w:rFonts w:ascii="Verdana" w:cs="Verdana" w:eastAsia="Verdana" w:hAnsi="Verdana"/>
                <w:sz w:val="16"/>
                <w:szCs w:val="16"/>
                <w:color w:val="auto"/>
              </w:rPr>
              <w:t>—</w:t>
            </w:r>
          </w:p>
        </w:tc>
        <w:tc>
          <w:tcPr>
            <w:tcW w:w="180" w:type="dxa"/>
            <w:vAlign w:val="bottom"/>
          </w:tcPr>
          <w:p>
            <w:pPr>
              <w:spacing w:after="0"/>
              <w:rPr>
                <w:sz w:val="20"/>
                <w:szCs w:val="20"/>
                <w:color w:val="auto"/>
              </w:rPr>
            </w:pPr>
          </w:p>
        </w:tc>
        <w:tc>
          <w:tcPr>
            <w:tcW w:w="1260" w:type="dxa"/>
            <w:vAlign w:val="bottom"/>
          </w:tcPr>
          <w:p>
            <w:pPr>
              <w:jc w:val="right"/>
              <w:ind w:right="62"/>
              <w:spacing w:after="0"/>
              <w:rPr>
                <w:sz w:val="20"/>
                <w:szCs w:val="20"/>
                <w:color w:val="auto"/>
              </w:rPr>
            </w:pPr>
            <w:r>
              <w:rPr>
                <w:rFonts w:ascii="Verdana" w:cs="Verdana" w:eastAsia="Verdana" w:hAnsi="Verdana"/>
                <w:sz w:val="16"/>
                <w:szCs w:val="16"/>
                <w:color w:val="auto"/>
              </w:rPr>
              <w:t>—</w:t>
            </w:r>
          </w:p>
        </w:tc>
        <w:tc>
          <w:tcPr>
            <w:tcW w:w="200" w:type="dxa"/>
            <w:vAlign w:val="bottom"/>
          </w:tcPr>
          <w:p>
            <w:pPr>
              <w:spacing w:after="0"/>
              <w:rPr>
                <w:sz w:val="20"/>
                <w:szCs w:val="20"/>
                <w:color w:val="auto"/>
              </w:rPr>
            </w:pPr>
          </w:p>
        </w:tc>
        <w:tc>
          <w:tcPr>
            <w:tcW w:w="1100" w:type="dxa"/>
            <w:vAlign w:val="bottom"/>
          </w:tcPr>
          <w:p>
            <w:pPr>
              <w:jc w:val="right"/>
              <w:ind w:right="3"/>
              <w:spacing w:after="0"/>
              <w:rPr>
                <w:sz w:val="20"/>
                <w:szCs w:val="20"/>
                <w:color w:val="auto"/>
              </w:rPr>
            </w:pPr>
            <w:r>
              <w:rPr>
                <w:rFonts w:ascii="Verdana" w:cs="Verdana" w:eastAsia="Verdana" w:hAnsi="Verdana"/>
                <w:sz w:val="16"/>
                <w:szCs w:val="16"/>
                <w:color w:val="auto"/>
              </w:rPr>
              <w:t>194,097</w:t>
            </w:r>
          </w:p>
        </w:tc>
      </w:tr>
      <w:tr>
        <w:trPr>
          <w:trHeight w:val="236"/>
        </w:trPr>
        <w:tc>
          <w:tcPr>
            <w:tcW w:w="2820" w:type="dxa"/>
            <w:vAlign w:val="bottom"/>
          </w:tcPr>
          <w:p>
            <w:pPr>
              <w:ind w:left="40"/>
              <w:spacing w:after="0"/>
              <w:rPr>
                <w:sz w:val="20"/>
                <w:szCs w:val="20"/>
                <w:color w:val="auto"/>
              </w:rPr>
            </w:pPr>
            <w:r>
              <w:rPr>
                <w:rFonts w:ascii="Verdana" w:cs="Verdana" w:eastAsia="Verdana" w:hAnsi="Verdana"/>
                <w:sz w:val="16"/>
                <w:szCs w:val="16"/>
                <w:color w:val="auto"/>
              </w:rPr>
              <w:t>Realized gain on derivatives</w:t>
            </w:r>
          </w:p>
        </w:tc>
        <w:tc>
          <w:tcPr>
            <w:tcW w:w="46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Verdana" w:cs="Verdana" w:eastAsia="Verdana" w:hAnsi="Verdana"/>
                <w:sz w:val="16"/>
                <w:szCs w:val="16"/>
                <w:color w:val="auto"/>
              </w:rPr>
              <w:t>12,724</w:t>
            </w:r>
          </w:p>
        </w:tc>
        <w:tc>
          <w:tcPr>
            <w:tcW w:w="240" w:type="dxa"/>
            <w:vAlign w:val="bottom"/>
          </w:tcPr>
          <w:p>
            <w:pPr>
              <w:spacing w:after="0"/>
              <w:rPr>
                <w:sz w:val="20"/>
                <w:szCs w:val="20"/>
                <w:color w:val="auto"/>
              </w:rPr>
            </w:pPr>
          </w:p>
        </w:tc>
        <w:tc>
          <w:tcPr>
            <w:tcW w:w="1000" w:type="dxa"/>
            <w:vAlign w:val="bottom"/>
          </w:tcPr>
          <w:p>
            <w:pPr>
              <w:jc w:val="right"/>
              <w:ind w:right="22"/>
              <w:spacing w:after="0"/>
              <w:rPr>
                <w:sz w:val="20"/>
                <w:szCs w:val="20"/>
                <w:color w:val="auto"/>
              </w:rPr>
            </w:pPr>
            <w:r>
              <w:rPr>
                <w:rFonts w:ascii="Verdana" w:cs="Verdana" w:eastAsia="Verdana" w:hAnsi="Verdana"/>
                <w:sz w:val="16"/>
                <w:szCs w:val="16"/>
                <w:color w:val="auto"/>
              </w:rPr>
              <w:t>—</w:t>
            </w:r>
          </w:p>
        </w:tc>
        <w:tc>
          <w:tcPr>
            <w:tcW w:w="240" w:type="dxa"/>
            <w:vAlign w:val="bottom"/>
          </w:tcPr>
          <w:p>
            <w:pPr>
              <w:spacing w:after="0"/>
              <w:rPr>
                <w:sz w:val="20"/>
                <w:szCs w:val="20"/>
                <w:color w:val="auto"/>
              </w:rPr>
            </w:pPr>
          </w:p>
        </w:tc>
        <w:tc>
          <w:tcPr>
            <w:tcW w:w="1040" w:type="dxa"/>
            <w:vAlign w:val="bottom"/>
          </w:tcPr>
          <w:p>
            <w:pPr>
              <w:jc w:val="right"/>
              <w:ind w:right="62"/>
              <w:spacing w:after="0"/>
              <w:rPr>
                <w:sz w:val="20"/>
                <w:szCs w:val="20"/>
                <w:color w:val="auto"/>
              </w:rPr>
            </w:pPr>
            <w:r>
              <w:rPr>
                <w:rFonts w:ascii="Verdana" w:cs="Verdana" w:eastAsia="Verdana" w:hAnsi="Verdana"/>
                <w:sz w:val="16"/>
                <w:szCs w:val="16"/>
                <w:color w:val="auto"/>
              </w:rPr>
              <w:t>—</w:t>
            </w:r>
          </w:p>
        </w:tc>
        <w:tc>
          <w:tcPr>
            <w:tcW w:w="180" w:type="dxa"/>
            <w:vAlign w:val="bottom"/>
          </w:tcPr>
          <w:p>
            <w:pPr>
              <w:spacing w:after="0"/>
              <w:rPr>
                <w:sz w:val="20"/>
                <w:szCs w:val="20"/>
                <w:color w:val="auto"/>
              </w:rPr>
            </w:pPr>
          </w:p>
        </w:tc>
        <w:tc>
          <w:tcPr>
            <w:tcW w:w="1260" w:type="dxa"/>
            <w:vAlign w:val="bottom"/>
          </w:tcPr>
          <w:p>
            <w:pPr>
              <w:jc w:val="right"/>
              <w:ind w:right="62"/>
              <w:spacing w:after="0"/>
              <w:rPr>
                <w:sz w:val="20"/>
                <w:szCs w:val="20"/>
                <w:color w:val="auto"/>
              </w:rPr>
            </w:pPr>
            <w:r>
              <w:rPr>
                <w:rFonts w:ascii="Verdana" w:cs="Verdana" w:eastAsia="Verdana" w:hAnsi="Verdana"/>
                <w:sz w:val="16"/>
                <w:szCs w:val="16"/>
                <w:color w:val="auto"/>
              </w:rPr>
              <w:t>—</w:t>
            </w:r>
          </w:p>
        </w:tc>
        <w:tc>
          <w:tcPr>
            <w:tcW w:w="200" w:type="dxa"/>
            <w:vAlign w:val="bottom"/>
          </w:tcPr>
          <w:p>
            <w:pPr>
              <w:spacing w:after="0"/>
              <w:rPr>
                <w:sz w:val="20"/>
                <w:szCs w:val="20"/>
                <w:color w:val="auto"/>
              </w:rPr>
            </w:pPr>
          </w:p>
        </w:tc>
        <w:tc>
          <w:tcPr>
            <w:tcW w:w="1100" w:type="dxa"/>
            <w:vAlign w:val="bottom"/>
          </w:tcPr>
          <w:p>
            <w:pPr>
              <w:jc w:val="right"/>
              <w:ind w:right="3"/>
              <w:spacing w:after="0"/>
              <w:rPr>
                <w:sz w:val="20"/>
                <w:szCs w:val="20"/>
                <w:color w:val="auto"/>
              </w:rPr>
            </w:pPr>
            <w:r>
              <w:rPr>
                <w:rFonts w:ascii="Verdana" w:cs="Verdana" w:eastAsia="Verdana" w:hAnsi="Verdana"/>
                <w:sz w:val="16"/>
                <w:szCs w:val="16"/>
                <w:color w:val="auto"/>
              </w:rPr>
              <w:t>12,724</w:t>
            </w:r>
          </w:p>
        </w:tc>
      </w:tr>
      <w:tr>
        <w:trPr>
          <w:trHeight w:val="236"/>
        </w:trPr>
        <w:tc>
          <w:tcPr>
            <w:tcW w:w="2820" w:type="dxa"/>
            <w:vAlign w:val="bottom"/>
          </w:tcPr>
          <w:p>
            <w:pPr>
              <w:ind w:left="40"/>
              <w:spacing w:after="0"/>
              <w:rPr>
                <w:sz w:val="20"/>
                <w:szCs w:val="20"/>
                <w:color w:val="auto"/>
              </w:rPr>
            </w:pPr>
            <w:r>
              <w:rPr>
                <w:rFonts w:ascii="Verdana" w:cs="Verdana" w:eastAsia="Verdana" w:hAnsi="Verdana"/>
                <w:sz w:val="16"/>
                <w:szCs w:val="16"/>
                <w:color w:val="auto"/>
              </w:rPr>
              <w:t>Unrealized gain on derivatives</w:t>
            </w:r>
          </w:p>
        </w:tc>
        <w:tc>
          <w:tcPr>
            <w:tcW w:w="46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Verdana" w:cs="Verdana" w:eastAsia="Verdana" w:hAnsi="Verdana"/>
                <w:sz w:val="16"/>
                <w:szCs w:val="16"/>
                <w:color w:val="auto"/>
              </w:rPr>
              <w:t>13,299</w:t>
            </w:r>
          </w:p>
        </w:tc>
        <w:tc>
          <w:tcPr>
            <w:tcW w:w="240" w:type="dxa"/>
            <w:vAlign w:val="bottom"/>
          </w:tcPr>
          <w:p>
            <w:pPr>
              <w:spacing w:after="0"/>
              <w:rPr>
                <w:sz w:val="20"/>
                <w:szCs w:val="20"/>
                <w:color w:val="auto"/>
              </w:rPr>
            </w:pPr>
          </w:p>
        </w:tc>
        <w:tc>
          <w:tcPr>
            <w:tcW w:w="1000" w:type="dxa"/>
            <w:vAlign w:val="bottom"/>
          </w:tcPr>
          <w:p>
            <w:pPr>
              <w:jc w:val="right"/>
              <w:ind w:right="22"/>
              <w:spacing w:after="0"/>
              <w:rPr>
                <w:sz w:val="20"/>
                <w:szCs w:val="20"/>
                <w:color w:val="auto"/>
              </w:rPr>
            </w:pPr>
            <w:r>
              <w:rPr>
                <w:rFonts w:ascii="Verdana" w:cs="Verdana" w:eastAsia="Verdana" w:hAnsi="Verdana"/>
                <w:sz w:val="16"/>
                <w:szCs w:val="16"/>
                <w:color w:val="auto"/>
              </w:rPr>
              <w:t>—</w:t>
            </w:r>
          </w:p>
        </w:tc>
        <w:tc>
          <w:tcPr>
            <w:tcW w:w="240" w:type="dxa"/>
            <w:vAlign w:val="bottom"/>
          </w:tcPr>
          <w:p>
            <w:pPr>
              <w:spacing w:after="0"/>
              <w:rPr>
                <w:sz w:val="20"/>
                <w:szCs w:val="20"/>
                <w:color w:val="auto"/>
              </w:rPr>
            </w:pPr>
          </w:p>
        </w:tc>
        <w:tc>
          <w:tcPr>
            <w:tcW w:w="1040" w:type="dxa"/>
            <w:vAlign w:val="bottom"/>
          </w:tcPr>
          <w:p>
            <w:pPr>
              <w:jc w:val="right"/>
              <w:ind w:right="62"/>
              <w:spacing w:after="0"/>
              <w:rPr>
                <w:sz w:val="20"/>
                <w:szCs w:val="20"/>
                <w:color w:val="auto"/>
              </w:rPr>
            </w:pPr>
            <w:r>
              <w:rPr>
                <w:rFonts w:ascii="Verdana" w:cs="Verdana" w:eastAsia="Verdana" w:hAnsi="Verdana"/>
                <w:sz w:val="16"/>
                <w:szCs w:val="16"/>
                <w:color w:val="auto"/>
              </w:rPr>
              <w:t>—</w:t>
            </w:r>
          </w:p>
        </w:tc>
        <w:tc>
          <w:tcPr>
            <w:tcW w:w="180" w:type="dxa"/>
            <w:vAlign w:val="bottom"/>
          </w:tcPr>
          <w:p>
            <w:pPr>
              <w:spacing w:after="0"/>
              <w:rPr>
                <w:sz w:val="20"/>
                <w:szCs w:val="20"/>
                <w:color w:val="auto"/>
              </w:rPr>
            </w:pPr>
          </w:p>
        </w:tc>
        <w:tc>
          <w:tcPr>
            <w:tcW w:w="1260" w:type="dxa"/>
            <w:vAlign w:val="bottom"/>
          </w:tcPr>
          <w:p>
            <w:pPr>
              <w:jc w:val="right"/>
              <w:ind w:right="62"/>
              <w:spacing w:after="0"/>
              <w:rPr>
                <w:sz w:val="20"/>
                <w:szCs w:val="20"/>
                <w:color w:val="auto"/>
              </w:rPr>
            </w:pPr>
            <w:r>
              <w:rPr>
                <w:rFonts w:ascii="Verdana" w:cs="Verdana" w:eastAsia="Verdana" w:hAnsi="Verdana"/>
                <w:sz w:val="16"/>
                <w:szCs w:val="16"/>
                <w:color w:val="auto"/>
              </w:rPr>
              <w:t>—</w:t>
            </w:r>
          </w:p>
        </w:tc>
        <w:tc>
          <w:tcPr>
            <w:tcW w:w="200" w:type="dxa"/>
            <w:vAlign w:val="bottom"/>
          </w:tcPr>
          <w:p>
            <w:pPr>
              <w:spacing w:after="0"/>
              <w:rPr>
                <w:sz w:val="20"/>
                <w:szCs w:val="20"/>
                <w:color w:val="auto"/>
              </w:rPr>
            </w:pPr>
          </w:p>
        </w:tc>
        <w:tc>
          <w:tcPr>
            <w:tcW w:w="1100" w:type="dxa"/>
            <w:vAlign w:val="bottom"/>
          </w:tcPr>
          <w:p>
            <w:pPr>
              <w:jc w:val="right"/>
              <w:ind w:right="3"/>
              <w:spacing w:after="0"/>
              <w:rPr>
                <w:sz w:val="20"/>
                <w:szCs w:val="20"/>
                <w:color w:val="auto"/>
              </w:rPr>
            </w:pPr>
            <w:r>
              <w:rPr>
                <w:rFonts w:ascii="Verdana" w:cs="Verdana" w:eastAsia="Verdana" w:hAnsi="Verdana"/>
                <w:sz w:val="16"/>
                <w:szCs w:val="16"/>
                <w:color w:val="auto"/>
              </w:rPr>
              <w:t>13,299</w:t>
            </w:r>
          </w:p>
        </w:tc>
      </w:tr>
      <w:tr>
        <w:trPr>
          <w:trHeight w:val="261"/>
        </w:trPr>
        <w:tc>
          <w:tcPr>
            <w:tcW w:w="2820" w:type="dxa"/>
            <w:vAlign w:val="bottom"/>
          </w:tcPr>
          <w:p>
            <w:pPr>
              <w:ind w:left="40"/>
              <w:spacing w:after="0"/>
              <w:rPr>
                <w:sz w:val="20"/>
                <w:szCs w:val="20"/>
                <w:color w:val="auto"/>
              </w:rPr>
            </w:pPr>
            <w:r>
              <w:rPr>
                <w:rFonts w:ascii="Verdana" w:cs="Verdana" w:eastAsia="Verdana" w:hAnsi="Verdana"/>
                <w:sz w:val="16"/>
                <w:szCs w:val="16"/>
                <w:color w:val="auto"/>
              </w:rPr>
              <w:t>Operating expense</w:t>
            </w:r>
            <w:r>
              <w:rPr>
                <w:rFonts w:ascii="Verdana" w:cs="Verdana" w:eastAsia="Verdana" w:hAnsi="Verdana"/>
                <w:sz w:val="20"/>
                <w:szCs w:val="20"/>
                <w:color w:val="auto"/>
                <w:vertAlign w:val="superscript"/>
              </w:rPr>
              <w:t>(1)</w:t>
            </w:r>
          </w:p>
        </w:tc>
        <w:tc>
          <w:tcPr>
            <w:tcW w:w="460" w:type="dxa"/>
            <w:vAlign w:val="bottom"/>
          </w:tcPr>
          <w:p>
            <w:pPr>
              <w:spacing w:after="0"/>
              <w:rPr>
                <w:sz w:val="22"/>
                <w:szCs w:val="22"/>
                <w:color w:val="auto"/>
              </w:rPr>
            </w:pPr>
          </w:p>
        </w:tc>
        <w:tc>
          <w:tcPr>
            <w:tcW w:w="1020" w:type="dxa"/>
            <w:vAlign w:val="bottom"/>
          </w:tcPr>
          <w:p>
            <w:pPr>
              <w:jc w:val="right"/>
              <w:ind w:right="22"/>
              <w:spacing w:after="0"/>
              <w:rPr>
                <w:sz w:val="20"/>
                <w:szCs w:val="20"/>
                <w:color w:val="auto"/>
              </w:rPr>
            </w:pPr>
            <w:r>
              <w:rPr>
                <w:rFonts w:ascii="Verdana" w:cs="Verdana" w:eastAsia="Verdana" w:hAnsi="Verdana"/>
                <w:sz w:val="16"/>
                <w:szCs w:val="16"/>
                <w:color w:val="auto"/>
              </w:rPr>
              <w:t>488,507</w:t>
            </w:r>
          </w:p>
        </w:tc>
        <w:tc>
          <w:tcPr>
            <w:tcW w:w="240" w:type="dxa"/>
            <w:vAlign w:val="bottom"/>
          </w:tcPr>
          <w:p>
            <w:pPr>
              <w:spacing w:after="0"/>
              <w:rPr>
                <w:sz w:val="22"/>
                <w:szCs w:val="22"/>
                <w:color w:val="auto"/>
              </w:rPr>
            </w:pPr>
          </w:p>
        </w:tc>
        <w:tc>
          <w:tcPr>
            <w:tcW w:w="1000" w:type="dxa"/>
            <w:vAlign w:val="bottom"/>
          </w:tcPr>
          <w:p>
            <w:pPr>
              <w:jc w:val="right"/>
              <w:ind w:right="22"/>
              <w:spacing w:after="0"/>
              <w:rPr>
                <w:sz w:val="20"/>
                <w:szCs w:val="20"/>
                <w:color w:val="auto"/>
              </w:rPr>
            </w:pPr>
            <w:r>
              <w:rPr>
                <w:rFonts w:ascii="Verdana" w:cs="Verdana" w:eastAsia="Verdana" w:hAnsi="Verdana"/>
                <w:sz w:val="16"/>
                <w:szCs w:val="16"/>
                <w:color w:val="auto"/>
              </w:rPr>
              <w:t>167,400</w:t>
            </w:r>
          </w:p>
        </w:tc>
        <w:tc>
          <w:tcPr>
            <w:tcW w:w="240" w:type="dxa"/>
            <w:vAlign w:val="bottom"/>
          </w:tcPr>
          <w:p>
            <w:pPr>
              <w:spacing w:after="0"/>
              <w:rPr>
                <w:sz w:val="22"/>
                <w:szCs w:val="22"/>
                <w:color w:val="auto"/>
              </w:rPr>
            </w:pPr>
          </w:p>
        </w:tc>
        <w:tc>
          <w:tcPr>
            <w:tcW w:w="1040" w:type="dxa"/>
            <w:vAlign w:val="bottom"/>
          </w:tcPr>
          <w:p>
            <w:pPr>
              <w:jc w:val="right"/>
              <w:ind w:right="62"/>
              <w:spacing w:after="0"/>
              <w:rPr>
                <w:sz w:val="20"/>
                <w:szCs w:val="20"/>
                <w:color w:val="auto"/>
              </w:rPr>
            </w:pPr>
            <w:r>
              <w:rPr>
                <w:rFonts w:ascii="Verdana" w:cs="Verdana" w:eastAsia="Verdana" w:hAnsi="Verdana"/>
                <w:sz w:val="16"/>
                <w:szCs w:val="16"/>
                <w:color w:val="auto"/>
              </w:rPr>
              <w:t>—</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6"/>
                <w:szCs w:val="16"/>
                <w:color w:val="auto"/>
              </w:rPr>
              <w:t>(163,362)</w:t>
            </w:r>
          </w:p>
        </w:tc>
        <w:tc>
          <w:tcPr>
            <w:tcW w:w="200" w:type="dxa"/>
            <w:vAlign w:val="bottom"/>
          </w:tcPr>
          <w:p>
            <w:pPr>
              <w:spacing w:after="0"/>
              <w:rPr>
                <w:sz w:val="22"/>
                <w:szCs w:val="22"/>
                <w:color w:val="auto"/>
              </w:rPr>
            </w:pPr>
          </w:p>
        </w:tc>
        <w:tc>
          <w:tcPr>
            <w:tcW w:w="1100" w:type="dxa"/>
            <w:vAlign w:val="bottom"/>
          </w:tcPr>
          <w:p>
            <w:pPr>
              <w:jc w:val="right"/>
              <w:ind w:right="3"/>
              <w:spacing w:after="0"/>
              <w:rPr>
                <w:sz w:val="20"/>
                <w:szCs w:val="20"/>
                <w:color w:val="auto"/>
              </w:rPr>
            </w:pPr>
            <w:r>
              <w:rPr>
                <w:rFonts w:ascii="Verdana" w:cs="Verdana" w:eastAsia="Verdana" w:hAnsi="Verdana"/>
                <w:sz w:val="16"/>
                <w:szCs w:val="16"/>
                <w:color w:val="auto"/>
              </w:rPr>
              <w:t>492,545</w:t>
            </w:r>
          </w:p>
        </w:tc>
      </w:tr>
      <w:tr>
        <w:trPr>
          <w:trHeight w:val="223"/>
        </w:trPr>
        <w:tc>
          <w:tcPr>
            <w:tcW w:w="2820" w:type="dxa"/>
            <w:vAlign w:val="bottom"/>
            <w:tcBorders>
              <w:bottom w:val="single" w:sz="8" w:color="auto"/>
            </w:tcBorders>
          </w:tcPr>
          <w:p>
            <w:pPr>
              <w:ind w:left="40"/>
              <w:spacing w:after="0" w:line="222" w:lineRule="exact"/>
              <w:rPr>
                <w:sz w:val="20"/>
                <w:szCs w:val="20"/>
                <w:color w:val="auto"/>
              </w:rPr>
            </w:pPr>
            <w:r>
              <w:rPr>
                <w:rFonts w:ascii="Verdana" w:cs="Verdana" w:eastAsia="Verdana" w:hAnsi="Verdana"/>
                <w:sz w:val="16"/>
                <w:szCs w:val="16"/>
                <w:color w:val="auto"/>
              </w:rPr>
              <w:t>Other expenses</w:t>
            </w:r>
            <w:r>
              <w:rPr>
                <w:rFonts w:ascii="Verdana" w:cs="Verdana" w:eastAsia="Verdana" w:hAnsi="Verdana"/>
                <w:sz w:val="20"/>
                <w:szCs w:val="20"/>
                <w:color w:val="auto"/>
                <w:vertAlign w:val="superscript"/>
              </w:rPr>
              <w:t>(2)</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2"/>
              <w:spacing w:after="0"/>
              <w:rPr>
                <w:sz w:val="20"/>
                <w:szCs w:val="20"/>
                <w:color w:val="auto"/>
              </w:rPr>
            </w:pPr>
            <w:r>
              <w:rPr>
                <w:rFonts w:ascii="Verdana" w:cs="Verdana" w:eastAsia="Verdana" w:hAnsi="Verdana"/>
                <w:sz w:val="16"/>
                <w:szCs w:val="16"/>
                <w:color w:val="auto"/>
              </w:rPr>
              <w:t>1,386,821</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2"/>
              <w:spacing w:after="0"/>
              <w:rPr>
                <w:sz w:val="20"/>
                <w:szCs w:val="20"/>
                <w:color w:val="auto"/>
              </w:rPr>
            </w:pPr>
            <w:r>
              <w:rPr>
                <w:rFonts w:ascii="Verdana" w:cs="Verdana" w:eastAsia="Verdana" w:hAnsi="Verdana"/>
                <w:sz w:val="16"/>
                <w:szCs w:val="16"/>
                <w:color w:val="auto"/>
              </w:rPr>
              <w:t>226,218</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2"/>
              <w:spacing w:after="0"/>
              <w:rPr>
                <w:sz w:val="20"/>
                <w:szCs w:val="20"/>
                <w:color w:val="auto"/>
              </w:rPr>
            </w:pPr>
            <w:r>
              <w:rPr>
                <w:rFonts w:ascii="Verdana" w:cs="Verdana" w:eastAsia="Verdana" w:hAnsi="Verdana"/>
                <w:sz w:val="16"/>
                <w:szCs w:val="16"/>
                <w:color w:val="auto"/>
              </w:rPr>
              <w:t>113,774</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(149,075)</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
              <w:spacing w:after="0"/>
              <w:rPr>
                <w:sz w:val="20"/>
                <w:szCs w:val="20"/>
                <w:color w:val="auto"/>
              </w:rPr>
            </w:pPr>
            <w:r>
              <w:rPr>
                <w:rFonts w:ascii="Verdana" w:cs="Verdana" w:eastAsia="Verdana" w:hAnsi="Verdana"/>
                <w:sz w:val="16"/>
                <w:szCs w:val="16"/>
                <w:color w:val="auto"/>
              </w:rPr>
              <w:t>1,577,738</w:t>
            </w:r>
          </w:p>
        </w:tc>
      </w:tr>
      <w:tr>
        <w:trPr>
          <w:trHeight w:val="211"/>
        </w:trPr>
        <w:tc>
          <w:tcPr>
            <w:tcW w:w="2820" w:type="dxa"/>
            <w:vAlign w:val="bottom"/>
            <w:tcBorders>
              <w:bottom w:val="single" w:sz="8" w:color="214E93"/>
            </w:tcBorders>
          </w:tcPr>
          <w:p>
            <w:pPr>
              <w:ind w:left="40"/>
              <w:spacing w:after="0" w:line="211" w:lineRule="exact"/>
              <w:rPr>
                <w:sz w:val="20"/>
                <w:szCs w:val="20"/>
                <w:color w:val="auto"/>
              </w:rPr>
            </w:pPr>
            <w:r>
              <w:rPr>
                <w:rFonts w:ascii="Verdana" w:cs="Verdana" w:eastAsia="Verdana" w:hAnsi="Verdana"/>
                <w:sz w:val="16"/>
                <w:szCs w:val="16"/>
                <w:color w:val="auto"/>
              </w:rPr>
              <w:t>Operating income</w:t>
            </w:r>
            <w:r>
              <w:rPr>
                <w:rFonts w:ascii="Verdana" w:cs="Verdana" w:eastAsia="Verdana" w:hAnsi="Verdana"/>
                <w:sz w:val="20"/>
                <w:szCs w:val="20"/>
                <w:color w:val="auto"/>
                <w:vertAlign w:val="superscript"/>
              </w:rPr>
              <w:t>(3)</w:t>
            </w:r>
          </w:p>
        </w:tc>
        <w:tc>
          <w:tcPr>
            <w:tcW w:w="460" w:type="dxa"/>
            <w:vAlign w:val="bottom"/>
            <w:tcBorders>
              <w:bottom w:val="single" w:sz="8" w:color="214E93"/>
            </w:tcBorders>
          </w:tcPr>
          <w:p>
            <w:pPr>
              <w:ind w:left="340"/>
              <w:spacing w:after="0"/>
              <w:rPr>
                <w:sz w:val="20"/>
                <w:szCs w:val="20"/>
                <w:color w:val="auto"/>
              </w:rPr>
            </w:pPr>
            <w:r>
              <w:rPr>
                <w:rFonts w:ascii="Verdana" w:cs="Verdana" w:eastAsia="Verdana" w:hAnsi="Verdana"/>
                <w:sz w:val="16"/>
                <w:szCs w:val="16"/>
                <w:color w:val="auto"/>
                <w:w w:val="97"/>
              </w:rPr>
              <w:t>$</w:t>
            </w:r>
          </w:p>
        </w:tc>
        <w:tc>
          <w:tcPr>
            <w:tcW w:w="1020" w:type="dxa"/>
            <w:vAlign w:val="bottom"/>
            <w:tcBorders>
              <w:bottom w:val="single" w:sz="8" w:color="214E93"/>
            </w:tcBorders>
          </w:tcPr>
          <w:p>
            <w:pPr>
              <w:jc w:val="right"/>
              <w:ind w:right="22"/>
              <w:spacing w:after="0"/>
              <w:rPr>
                <w:sz w:val="20"/>
                <w:szCs w:val="20"/>
                <w:color w:val="auto"/>
              </w:rPr>
            </w:pPr>
            <w:r>
              <w:rPr>
                <w:rFonts w:ascii="Verdana" w:cs="Verdana" w:eastAsia="Verdana" w:hAnsi="Verdana"/>
                <w:sz w:val="16"/>
                <w:szCs w:val="16"/>
                <w:color w:val="auto"/>
              </w:rPr>
              <w:t>1,302,479</w:t>
            </w:r>
          </w:p>
        </w:tc>
        <w:tc>
          <w:tcPr>
            <w:tcW w:w="24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w:t>
            </w:r>
          </w:p>
        </w:tc>
        <w:tc>
          <w:tcPr>
            <w:tcW w:w="1000" w:type="dxa"/>
            <w:vAlign w:val="bottom"/>
            <w:tcBorders>
              <w:bottom w:val="single" w:sz="8" w:color="214E93"/>
            </w:tcBorders>
          </w:tcPr>
          <w:p>
            <w:pPr>
              <w:jc w:val="right"/>
              <w:ind w:right="22"/>
              <w:spacing w:after="0"/>
              <w:rPr>
                <w:sz w:val="20"/>
                <w:szCs w:val="20"/>
                <w:color w:val="auto"/>
              </w:rPr>
            </w:pPr>
            <w:r>
              <w:rPr>
                <w:rFonts w:ascii="Verdana" w:cs="Verdana" w:eastAsia="Verdana" w:hAnsi="Verdana"/>
                <w:sz w:val="16"/>
                <w:szCs w:val="16"/>
                <w:color w:val="auto"/>
              </w:rPr>
              <w:t>245,993</w:t>
            </w:r>
          </w:p>
        </w:tc>
        <w:tc>
          <w:tcPr>
            <w:tcW w:w="24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w:t>
            </w:r>
          </w:p>
        </w:tc>
        <w:tc>
          <w:tcPr>
            <w:tcW w:w="1040" w:type="dxa"/>
            <w:vAlign w:val="bottom"/>
            <w:tcBorders>
              <w:bottom w:val="single" w:sz="8" w:color="214E93"/>
            </w:tcBorders>
          </w:tcPr>
          <w:p>
            <w:pPr>
              <w:jc w:val="right"/>
              <w:ind w:right="2"/>
              <w:spacing w:after="0"/>
              <w:rPr>
                <w:sz w:val="20"/>
                <w:szCs w:val="20"/>
                <w:color w:val="auto"/>
              </w:rPr>
            </w:pPr>
            <w:r>
              <w:rPr>
                <w:rFonts w:ascii="Verdana" w:cs="Verdana" w:eastAsia="Verdana" w:hAnsi="Verdana"/>
                <w:sz w:val="16"/>
                <w:szCs w:val="16"/>
                <w:color w:val="auto"/>
              </w:rPr>
              <w:t>(113,774)</w:t>
            </w:r>
          </w:p>
        </w:tc>
        <w:tc>
          <w:tcPr>
            <w:tcW w:w="18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w:t>
            </w:r>
          </w:p>
        </w:tc>
        <w:tc>
          <w:tcPr>
            <w:tcW w:w="1260" w:type="dxa"/>
            <w:vAlign w:val="bottom"/>
            <w:tcBorders>
              <w:bottom w:val="single" w:sz="8" w:color="214E93"/>
            </w:tcBorders>
          </w:tcPr>
          <w:p>
            <w:pPr>
              <w:jc w:val="right"/>
              <w:ind w:right="62"/>
              <w:spacing w:after="0"/>
              <w:rPr>
                <w:sz w:val="20"/>
                <w:szCs w:val="20"/>
                <w:color w:val="auto"/>
              </w:rPr>
            </w:pPr>
            <w:r>
              <w:rPr>
                <w:rFonts w:ascii="Verdana" w:cs="Verdana" w:eastAsia="Verdana" w:hAnsi="Verdana"/>
                <w:sz w:val="16"/>
                <w:szCs w:val="16"/>
                <w:color w:val="auto"/>
              </w:rPr>
              <w:t>—</w:t>
            </w:r>
          </w:p>
        </w:tc>
        <w:tc>
          <w:tcPr>
            <w:tcW w:w="20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w:t>
            </w:r>
          </w:p>
        </w:tc>
        <w:tc>
          <w:tcPr>
            <w:tcW w:w="1100" w:type="dxa"/>
            <w:vAlign w:val="bottom"/>
            <w:tcBorders>
              <w:bottom w:val="single" w:sz="8" w:color="214E93"/>
            </w:tcBorders>
          </w:tcPr>
          <w:p>
            <w:pPr>
              <w:jc w:val="right"/>
              <w:ind w:right="3"/>
              <w:spacing w:after="0"/>
              <w:rPr>
                <w:sz w:val="20"/>
                <w:szCs w:val="20"/>
                <w:color w:val="auto"/>
              </w:rPr>
            </w:pPr>
            <w:r>
              <w:rPr>
                <w:rFonts w:ascii="Verdana" w:cs="Verdana" w:eastAsia="Verdana" w:hAnsi="Verdana"/>
                <w:sz w:val="16"/>
                <w:szCs w:val="16"/>
                <w:color w:val="auto"/>
              </w:rPr>
              <w:t>1,434,698</w:t>
            </w:r>
          </w:p>
        </w:tc>
      </w:tr>
      <w:tr>
        <w:trPr>
          <w:trHeight w:val="216"/>
        </w:trPr>
        <w:tc>
          <w:tcPr>
            <w:tcW w:w="2820" w:type="dxa"/>
            <w:vAlign w:val="bottom"/>
            <w:tcBorders>
              <w:bottom w:val="single" w:sz="8" w:color="214E93"/>
            </w:tcBorders>
          </w:tcPr>
          <w:p>
            <w:pPr>
              <w:ind w:left="40"/>
              <w:spacing w:after="0" w:line="216" w:lineRule="exact"/>
              <w:rPr>
                <w:sz w:val="20"/>
                <w:szCs w:val="20"/>
                <w:color w:val="auto"/>
              </w:rPr>
            </w:pPr>
            <w:r>
              <w:rPr>
                <w:rFonts w:ascii="Verdana" w:cs="Verdana" w:eastAsia="Verdana" w:hAnsi="Verdana"/>
                <w:sz w:val="16"/>
                <w:szCs w:val="16"/>
                <w:color w:val="auto"/>
              </w:rPr>
              <w:t>Total assets</w:t>
            </w:r>
            <w:r>
              <w:rPr>
                <w:rFonts w:ascii="Verdana" w:cs="Verdana" w:eastAsia="Verdana" w:hAnsi="Verdana"/>
                <w:sz w:val="20"/>
                <w:szCs w:val="20"/>
                <w:color w:val="auto"/>
                <w:vertAlign w:val="superscript"/>
              </w:rPr>
              <w:t>(4)</w:t>
            </w:r>
          </w:p>
        </w:tc>
        <w:tc>
          <w:tcPr>
            <w:tcW w:w="460" w:type="dxa"/>
            <w:vAlign w:val="bottom"/>
            <w:tcBorders>
              <w:bottom w:val="single" w:sz="8" w:color="214E93"/>
            </w:tcBorders>
          </w:tcPr>
          <w:p>
            <w:pPr>
              <w:ind w:left="340"/>
              <w:spacing w:after="0"/>
              <w:rPr>
                <w:sz w:val="20"/>
                <w:szCs w:val="20"/>
                <w:color w:val="auto"/>
              </w:rPr>
            </w:pPr>
            <w:r>
              <w:rPr>
                <w:rFonts w:ascii="Verdana" w:cs="Verdana" w:eastAsia="Verdana" w:hAnsi="Verdana"/>
                <w:sz w:val="16"/>
                <w:szCs w:val="16"/>
                <w:color w:val="auto"/>
                <w:w w:val="97"/>
              </w:rPr>
              <w:t>$</w:t>
            </w:r>
          </w:p>
        </w:tc>
        <w:tc>
          <w:tcPr>
            <w:tcW w:w="1020" w:type="dxa"/>
            <w:vAlign w:val="bottom"/>
            <w:tcBorders>
              <w:bottom w:val="single" w:sz="8" w:color="214E93"/>
            </w:tcBorders>
          </w:tcPr>
          <w:p>
            <w:pPr>
              <w:jc w:val="right"/>
              <w:ind w:right="22"/>
              <w:spacing w:after="0"/>
              <w:rPr>
                <w:sz w:val="20"/>
                <w:szCs w:val="20"/>
                <w:color w:val="auto"/>
              </w:rPr>
            </w:pPr>
            <w:r>
              <w:rPr>
                <w:rFonts w:ascii="Verdana" w:cs="Verdana" w:eastAsia="Verdana" w:hAnsi="Verdana"/>
                <w:sz w:val="16"/>
                <w:szCs w:val="16"/>
                <w:color w:val="auto"/>
              </w:rPr>
              <w:t>9,117,095</w:t>
            </w:r>
          </w:p>
        </w:tc>
        <w:tc>
          <w:tcPr>
            <w:tcW w:w="24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w:t>
            </w:r>
          </w:p>
        </w:tc>
        <w:tc>
          <w:tcPr>
            <w:tcW w:w="1000" w:type="dxa"/>
            <w:vAlign w:val="bottom"/>
            <w:tcBorders>
              <w:bottom w:val="single" w:sz="8" w:color="214E93"/>
            </w:tcBorders>
          </w:tcPr>
          <w:p>
            <w:pPr>
              <w:jc w:val="right"/>
              <w:ind w:right="22"/>
              <w:spacing w:after="0"/>
              <w:rPr>
                <w:sz w:val="20"/>
                <w:szCs w:val="20"/>
                <w:color w:val="auto"/>
              </w:rPr>
            </w:pPr>
            <w:r>
              <w:rPr>
                <w:rFonts w:ascii="Verdana" w:cs="Verdana" w:eastAsia="Verdana" w:hAnsi="Verdana"/>
                <w:sz w:val="16"/>
                <w:szCs w:val="16"/>
                <w:color w:val="auto"/>
              </w:rPr>
              <w:t>1,613,936</w:t>
            </w:r>
          </w:p>
        </w:tc>
        <w:tc>
          <w:tcPr>
            <w:tcW w:w="24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w:t>
            </w:r>
          </w:p>
        </w:tc>
        <w:tc>
          <w:tcPr>
            <w:tcW w:w="1040" w:type="dxa"/>
            <w:vAlign w:val="bottom"/>
            <w:tcBorders>
              <w:bottom w:val="single" w:sz="8" w:color="214E93"/>
            </w:tcBorders>
          </w:tcPr>
          <w:p>
            <w:pPr>
              <w:jc w:val="right"/>
              <w:ind w:right="62"/>
              <w:spacing w:after="0"/>
              <w:rPr>
                <w:sz w:val="20"/>
                <w:szCs w:val="20"/>
                <w:color w:val="auto"/>
              </w:rPr>
            </w:pPr>
            <w:r>
              <w:rPr>
                <w:rFonts w:ascii="Verdana" w:cs="Verdana" w:eastAsia="Verdana" w:hAnsi="Verdana"/>
                <w:sz w:val="16"/>
                <w:szCs w:val="16"/>
                <w:color w:val="auto"/>
              </w:rPr>
              <w:t>119,078</w:t>
            </w:r>
          </w:p>
        </w:tc>
        <w:tc>
          <w:tcPr>
            <w:tcW w:w="18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w:t>
            </w:r>
          </w:p>
        </w:tc>
        <w:tc>
          <w:tcPr>
            <w:tcW w:w="1260" w:type="dxa"/>
            <w:vAlign w:val="bottom"/>
            <w:tcBorders>
              <w:bottom w:val="single" w:sz="8" w:color="214E93"/>
            </w:tcBorders>
          </w:tcPr>
          <w:p>
            <w:pPr>
              <w:jc w:val="right"/>
              <w:ind w:right="62"/>
              <w:spacing w:after="0"/>
              <w:rPr>
                <w:sz w:val="20"/>
                <w:szCs w:val="20"/>
                <w:color w:val="auto"/>
              </w:rPr>
            </w:pPr>
            <w:r>
              <w:rPr>
                <w:rFonts w:ascii="Verdana" w:cs="Verdana" w:eastAsia="Verdana" w:hAnsi="Verdana"/>
                <w:sz w:val="16"/>
                <w:szCs w:val="16"/>
                <w:color w:val="auto"/>
              </w:rPr>
              <w:t>—</w:t>
            </w:r>
          </w:p>
        </w:tc>
        <w:tc>
          <w:tcPr>
            <w:tcW w:w="20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w:t>
            </w:r>
          </w:p>
        </w:tc>
        <w:tc>
          <w:tcPr>
            <w:tcW w:w="1100" w:type="dxa"/>
            <w:vAlign w:val="bottom"/>
            <w:tcBorders>
              <w:bottom w:val="single" w:sz="8" w:color="214E93"/>
            </w:tcBorders>
          </w:tcPr>
          <w:p>
            <w:pPr>
              <w:jc w:val="right"/>
              <w:ind w:right="3"/>
              <w:spacing w:after="0"/>
              <w:rPr>
                <w:sz w:val="20"/>
                <w:szCs w:val="20"/>
                <w:color w:val="auto"/>
              </w:rPr>
            </w:pPr>
            <w:r>
              <w:rPr>
                <w:rFonts w:ascii="Verdana" w:cs="Verdana" w:eastAsia="Verdana" w:hAnsi="Verdana"/>
                <w:sz w:val="16"/>
                <w:szCs w:val="16"/>
                <w:color w:val="auto"/>
              </w:rPr>
              <w:t>10,850,109</w:t>
            </w:r>
          </w:p>
        </w:tc>
      </w:tr>
      <w:tr>
        <w:trPr>
          <w:trHeight w:val="216"/>
        </w:trPr>
        <w:tc>
          <w:tcPr>
            <w:tcW w:w="2820" w:type="dxa"/>
            <w:vAlign w:val="bottom"/>
            <w:tcBorders>
              <w:bottom w:val="single" w:sz="8" w:color="214E93"/>
            </w:tcBorders>
          </w:tcPr>
          <w:p>
            <w:pPr>
              <w:ind w:left="40"/>
              <w:spacing w:after="0" w:line="216" w:lineRule="exact"/>
              <w:rPr>
                <w:sz w:val="20"/>
                <w:szCs w:val="20"/>
                <w:color w:val="auto"/>
              </w:rPr>
            </w:pPr>
            <w:r>
              <w:rPr>
                <w:rFonts w:ascii="Verdana" w:cs="Verdana" w:eastAsia="Verdana" w:hAnsi="Verdana"/>
                <w:sz w:val="16"/>
                <w:szCs w:val="16"/>
                <w:color w:val="auto"/>
              </w:rPr>
              <w:t>Capital expenditures</w:t>
            </w:r>
            <w:r>
              <w:rPr>
                <w:rFonts w:ascii="Verdana" w:cs="Verdana" w:eastAsia="Verdana" w:hAnsi="Verdana"/>
                <w:sz w:val="20"/>
                <w:szCs w:val="20"/>
                <w:color w:val="auto"/>
                <w:vertAlign w:val="superscript"/>
              </w:rPr>
              <w:t>(5)</w:t>
            </w:r>
          </w:p>
        </w:tc>
        <w:tc>
          <w:tcPr>
            <w:tcW w:w="460" w:type="dxa"/>
            <w:vAlign w:val="bottom"/>
            <w:tcBorders>
              <w:bottom w:val="single" w:sz="8" w:color="214E93"/>
            </w:tcBorders>
          </w:tcPr>
          <w:p>
            <w:pPr>
              <w:ind w:left="340"/>
              <w:spacing w:after="0"/>
              <w:rPr>
                <w:sz w:val="20"/>
                <w:szCs w:val="20"/>
                <w:color w:val="auto"/>
              </w:rPr>
            </w:pPr>
            <w:r>
              <w:rPr>
                <w:rFonts w:ascii="Verdana" w:cs="Verdana" w:eastAsia="Verdana" w:hAnsi="Verdana"/>
                <w:sz w:val="16"/>
                <w:szCs w:val="16"/>
                <w:color w:val="auto"/>
                <w:w w:val="97"/>
              </w:rPr>
              <w:t>$</w:t>
            </w:r>
          </w:p>
        </w:tc>
        <w:tc>
          <w:tcPr>
            <w:tcW w:w="1020" w:type="dxa"/>
            <w:vAlign w:val="bottom"/>
            <w:tcBorders>
              <w:bottom w:val="single" w:sz="8" w:color="214E93"/>
            </w:tcBorders>
          </w:tcPr>
          <w:p>
            <w:pPr>
              <w:jc w:val="right"/>
              <w:ind w:right="22"/>
              <w:spacing w:after="0"/>
              <w:rPr>
                <w:sz w:val="20"/>
                <w:szCs w:val="20"/>
                <w:color w:val="auto"/>
              </w:rPr>
            </w:pPr>
            <w:r>
              <w:rPr>
                <w:rFonts w:ascii="Verdana" w:cs="Verdana" w:eastAsia="Verdana" w:hAnsi="Verdana"/>
                <w:sz w:val="16"/>
                <w:szCs w:val="16"/>
                <w:color w:val="auto"/>
              </w:rPr>
              <w:t>3,396,543</w:t>
            </w:r>
          </w:p>
        </w:tc>
        <w:tc>
          <w:tcPr>
            <w:tcW w:w="24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w:t>
            </w:r>
          </w:p>
        </w:tc>
        <w:tc>
          <w:tcPr>
            <w:tcW w:w="1000" w:type="dxa"/>
            <w:vAlign w:val="bottom"/>
            <w:tcBorders>
              <w:bottom w:val="single" w:sz="8" w:color="214E93"/>
            </w:tcBorders>
          </w:tcPr>
          <w:p>
            <w:pPr>
              <w:jc w:val="right"/>
              <w:ind w:right="22"/>
              <w:spacing w:after="0"/>
              <w:rPr>
                <w:sz w:val="20"/>
                <w:szCs w:val="20"/>
                <w:color w:val="auto"/>
              </w:rPr>
            </w:pPr>
            <w:r>
              <w:rPr>
                <w:rFonts w:ascii="Verdana" w:cs="Verdana" w:eastAsia="Verdana" w:hAnsi="Verdana"/>
                <w:sz w:val="16"/>
                <w:szCs w:val="16"/>
                <w:color w:val="auto"/>
              </w:rPr>
              <w:t>504,315</w:t>
            </w:r>
          </w:p>
        </w:tc>
        <w:tc>
          <w:tcPr>
            <w:tcW w:w="24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w:t>
            </w:r>
          </w:p>
        </w:tc>
        <w:tc>
          <w:tcPr>
            <w:tcW w:w="1040" w:type="dxa"/>
            <w:vAlign w:val="bottom"/>
            <w:tcBorders>
              <w:bottom w:val="single" w:sz="8" w:color="214E93"/>
            </w:tcBorders>
          </w:tcPr>
          <w:p>
            <w:pPr>
              <w:jc w:val="right"/>
              <w:ind w:right="62"/>
              <w:spacing w:after="0"/>
              <w:rPr>
                <w:sz w:val="20"/>
                <w:szCs w:val="20"/>
                <w:color w:val="auto"/>
              </w:rPr>
            </w:pPr>
            <w:r>
              <w:rPr>
                <w:rFonts w:ascii="Verdana" w:cs="Verdana" w:eastAsia="Verdana" w:hAnsi="Verdana"/>
                <w:sz w:val="16"/>
                <w:szCs w:val="16"/>
                <w:color w:val="auto"/>
              </w:rPr>
              <w:t>5,691</w:t>
            </w:r>
          </w:p>
        </w:tc>
        <w:tc>
          <w:tcPr>
            <w:tcW w:w="18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w:t>
            </w:r>
          </w:p>
        </w:tc>
        <w:tc>
          <w:tcPr>
            <w:tcW w:w="1260" w:type="dxa"/>
            <w:vAlign w:val="bottom"/>
            <w:tcBorders>
              <w:bottom w:val="single" w:sz="8" w:color="214E93"/>
            </w:tcBorders>
          </w:tcPr>
          <w:p>
            <w:pPr>
              <w:jc w:val="right"/>
              <w:ind w:right="62"/>
              <w:spacing w:after="0"/>
              <w:rPr>
                <w:sz w:val="20"/>
                <w:szCs w:val="20"/>
                <w:color w:val="auto"/>
              </w:rPr>
            </w:pPr>
            <w:r>
              <w:rPr>
                <w:rFonts w:ascii="Verdana" w:cs="Verdana" w:eastAsia="Verdana" w:hAnsi="Verdana"/>
                <w:sz w:val="16"/>
                <w:szCs w:val="16"/>
                <w:color w:val="auto"/>
              </w:rPr>
              <w:t>—</w:t>
            </w:r>
          </w:p>
        </w:tc>
        <w:tc>
          <w:tcPr>
            <w:tcW w:w="20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w:t>
            </w:r>
          </w:p>
        </w:tc>
        <w:tc>
          <w:tcPr>
            <w:tcW w:w="1100" w:type="dxa"/>
            <w:vAlign w:val="bottom"/>
            <w:tcBorders>
              <w:bottom w:val="single" w:sz="8" w:color="214E93"/>
            </w:tcBorders>
          </w:tcPr>
          <w:p>
            <w:pPr>
              <w:jc w:val="right"/>
              <w:ind w:right="3"/>
              <w:spacing w:after="0"/>
              <w:rPr>
                <w:sz w:val="20"/>
                <w:szCs w:val="20"/>
                <w:color w:val="auto"/>
              </w:rPr>
            </w:pPr>
            <w:r>
              <w:rPr>
                <w:rFonts w:ascii="Verdana" w:cs="Verdana" w:eastAsia="Verdana" w:hAnsi="Verdana"/>
                <w:sz w:val="16"/>
                <w:szCs w:val="16"/>
                <w:color w:val="auto"/>
              </w:rPr>
              <w:t>3,906,549</w:t>
            </w:r>
          </w:p>
        </w:tc>
      </w:tr>
    </w:tbl>
    <w:p>
      <w:pPr>
        <w:spacing w:after="0" w:line="20" w:lineRule="exact"/>
        <w:rPr>
          <w:sz w:val="20"/>
          <w:szCs w:val="20"/>
          <w:color w:val="auto"/>
        </w:rPr>
      </w:pPr>
    </w:p>
    <w:p>
      <w:pPr>
        <w:spacing w:after="0" w:line="118" w:lineRule="exact"/>
        <w:rPr>
          <w:sz w:val="20"/>
          <w:szCs w:val="20"/>
          <w:color w:val="auto"/>
        </w:rPr>
      </w:pPr>
    </w:p>
    <w:p>
      <w:pPr>
        <w:ind w:left="1300" w:hanging="346"/>
        <w:spacing w:after="0"/>
        <w:tabs>
          <w:tab w:leader="none" w:pos="1300" w:val="left"/>
        </w:tabs>
        <w:numPr>
          <w:ilvl w:val="0"/>
          <w:numId w:val="98"/>
        </w:numPr>
        <w:rPr>
          <w:rFonts w:ascii="Calibri" w:cs="Calibri" w:eastAsia="Calibri" w:hAnsi="Calibri"/>
          <w:sz w:val="13"/>
          <w:szCs w:val="13"/>
          <w:color w:val="auto"/>
        </w:rPr>
      </w:pPr>
      <w:r>
        <w:rPr>
          <w:rFonts w:ascii="Calibri" w:cs="Calibri" w:eastAsia="Calibri" w:hAnsi="Calibri"/>
          <w:sz w:val="13"/>
          <w:szCs w:val="13"/>
          <w:color w:val="auto"/>
        </w:rPr>
        <w:t>Operating expense includes lease operating expense for the exploration and production segment and midstream operating expense for the midstream segment.</w:t>
      </w:r>
    </w:p>
    <w:p>
      <w:pPr>
        <w:spacing w:after="0" w:line="86" w:lineRule="exact"/>
        <w:rPr>
          <w:rFonts w:ascii="Calibri" w:cs="Calibri" w:eastAsia="Calibri" w:hAnsi="Calibri"/>
          <w:sz w:val="13"/>
          <w:szCs w:val="13"/>
          <w:color w:val="auto"/>
        </w:rPr>
      </w:pPr>
    </w:p>
    <w:p>
      <w:pPr>
        <w:ind w:left="1300" w:right="120" w:hanging="346"/>
        <w:spacing w:after="0" w:line="248" w:lineRule="auto"/>
        <w:tabs>
          <w:tab w:leader="none" w:pos="1300" w:val="left"/>
        </w:tabs>
        <w:numPr>
          <w:ilvl w:val="0"/>
          <w:numId w:val="98"/>
        </w:numPr>
        <w:rPr>
          <w:rFonts w:ascii="Calibri" w:cs="Calibri" w:eastAsia="Calibri" w:hAnsi="Calibri"/>
          <w:sz w:val="13"/>
          <w:szCs w:val="13"/>
          <w:color w:val="auto"/>
        </w:rPr>
      </w:pPr>
      <w:r>
        <w:rPr>
          <w:rFonts w:ascii="Calibri" w:cs="Calibri" w:eastAsia="Calibri" w:hAnsi="Calibri"/>
          <w:sz w:val="13"/>
          <w:szCs w:val="13"/>
          <w:color w:val="auto"/>
        </w:rPr>
        <w:t>Includes depletion, depreciation and amortization expenses of $929.0 million and $43.9 million for the exploration and production and midstream segments, respectively. Also includes corporate depletion, depreciation and amortization expenses of $1.4 million. Other expenses for each reportable segment also includes (i) transportation and processing, (ii) general and administrative expenses, (iii) accretion of asset retirement obligations, (iv) purchased natural gas and</w:t>
      </w:r>
    </w:p>
    <w:p>
      <w:pPr>
        <w:ind w:left="1300"/>
        <w:spacing w:after="0" w:line="232" w:lineRule="auto"/>
        <w:rPr>
          <w:rFonts w:ascii="Calibri" w:cs="Calibri" w:eastAsia="Calibri" w:hAnsi="Calibri"/>
          <w:sz w:val="13"/>
          <w:szCs w:val="13"/>
          <w:color w:val="auto"/>
        </w:rPr>
      </w:pPr>
      <w:r>
        <w:rPr>
          <w:rFonts w:ascii="Calibri" w:cs="Calibri" w:eastAsia="Calibri" w:hAnsi="Calibri"/>
          <w:sz w:val="14"/>
          <w:szCs w:val="14"/>
          <w:color w:val="auto"/>
        </w:rPr>
        <w:t>(v) taxes other than income.</w:t>
      </w:r>
    </w:p>
    <w:p>
      <w:pPr>
        <w:spacing w:after="0" w:line="73" w:lineRule="exact"/>
        <w:rPr>
          <w:rFonts w:ascii="Calibri" w:cs="Calibri" w:eastAsia="Calibri" w:hAnsi="Calibri"/>
          <w:sz w:val="13"/>
          <w:szCs w:val="13"/>
          <w:color w:val="auto"/>
        </w:rPr>
      </w:pPr>
    </w:p>
    <w:p>
      <w:pPr>
        <w:ind w:left="1300" w:hanging="346"/>
        <w:spacing w:after="0"/>
        <w:tabs>
          <w:tab w:leader="none" w:pos="1300" w:val="left"/>
        </w:tabs>
        <w:numPr>
          <w:ilvl w:val="0"/>
          <w:numId w:val="98"/>
        </w:numPr>
        <w:rPr>
          <w:rFonts w:ascii="Calibri" w:cs="Calibri" w:eastAsia="Calibri" w:hAnsi="Calibri"/>
          <w:sz w:val="14"/>
          <w:szCs w:val="14"/>
          <w:color w:val="auto"/>
        </w:rPr>
      </w:pPr>
      <w:r>
        <w:rPr>
          <w:rFonts w:ascii="Calibri" w:cs="Calibri" w:eastAsia="Calibri" w:hAnsi="Calibri"/>
          <w:sz w:val="14"/>
          <w:szCs w:val="14"/>
          <w:color w:val="auto"/>
        </w:rPr>
        <w:t>Includes $86.0 million in net income attributable to non-controlling interest in subsidiaries related to the midstream segment.</w:t>
      </w:r>
    </w:p>
    <w:p>
      <w:pPr>
        <w:spacing w:after="0" w:line="73" w:lineRule="exact"/>
        <w:rPr>
          <w:rFonts w:ascii="Calibri" w:cs="Calibri" w:eastAsia="Calibri" w:hAnsi="Calibri"/>
          <w:sz w:val="14"/>
          <w:szCs w:val="14"/>
          <w:color w:val="auto"/>
        </w:rPr>
      </w:pPr>
    </w:p>
    <w:p>
      <w:pPr>
        <w:ind w:left="1300" w:hanging="346"/>
        <w:spacing w:after="0"/>
        <w:tabs>
          <w:tab w:leader="none" w:pos="1300" w:val="left"/>
        </w:tabs>
        <w:numPr>
          <w:ilvl w:val="0"/>
          <w:numId w:val="98"/>
        </w:numPr>
        <w:rPr>
          <w:rFonts w:ascii="Calibri" w:cs="Calibri" w:eastAsia="Calibri" w:hAnsi="Calibri"/>
          <w:sz w:val="14"/>
          <w:szCs w:val="14"/>
          <w:color w:val="auto"/>
        </w:rPr>
      </w:pPr>
      <w:r>
        <w:rPr>
          <w:rFonts w:ascii="Calibri" w:cs="Calibri" w:eastAsia="Calibri" w:hAnsi="Calibri"/>
          <w:sz w:val="14"/>
          <w:szCs w:val="14"/>
          <w:color w:val="auto"/>
        </w:rPr>
        <w:t>Excludes intercompany receivables and investments in subsidiaries.</w:t>
      </w:r>
    </w:p>
    <w:p>
      <w:pPr>
        <w:spacing w:after="0" w:line="86" w:lineRule="exact"/>
        <w:rPr>
          <w:rFonts w:ascii="Calibri" w:cs="Calibri" w:eastAsia="Calibri" w:hAnsi="Calibri"/>
          <w:sz w:val="14"/>
          <w:szCs w:val="14"/>
          <w:color w:val="auto"/>
        </w:rPr>
      </w:pPr>
    </w:p>
    <w:p>
      <w:pPr>
        <w:ind w:left="1300" w:right="140" w:hanging="346"/>
        <w:spacing w:after="0" w:line="247" w:lineRule="auto"/>
        <w:tabs>
          <w:tab w:leader="none" w:pos="1300" w:val="left"/>
        </w:tabs>
        <w:numPr>
          <w:ilvl w:val="0"/>
          <w:numId w:val="98"/>
        </w:numPr>
        <w:rPr>
          <w:rFonts w:ascii="Calibri" w:cs="Calibri" w:eastAsia="Calibri" w:hAnsi="Calibri"/>
          <w:sz w:val="13"/>
          <w:szCs w:val="13"/>
          <w:color w:val="auto"/>
        </w:rPr>
      </w:pPr>
      <w:r>
        <w:rPr>
          <w:rFonts w:ascii="Calibri" w:cs="Calibri" w:eastAsia="Calibri" w:hAnsi="Calibri"/>
          <w:sz w:val="13"/>
          <w:szCs w:val="13"/>
          <w:color w:val="auto"/>
        </w:rPr>
        <w:t>Includes $2.08 billion attributable to land and seismic acquisition expenditures related to the exploration and production segment, $236.2 million in midstream acquisition expenditures and $29.5 million in capital expenditures attributable to non-controlling interest in subsidiaries related to the midstream segment.</w:t>
      </w:r>
    </w:p>
    <w:p>
      <w:pPr>
        <w:sectPr>
          <w:pgSz w:w="11880" w:h="15480" w:orient="portrait"/>
          <w:cols w:equalWidth="0" w:num="1">
            <w:col w:w="10340"/>
          </w:cols>
          <w:pgMar w:left="38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0"/>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0340"/>
          </w:cols>
          <w:pgMar w:left="380" w:top="498" w:right="1160" w:bottom="0" w:gutter="0" w:footer="0" w:header="0"/>
          <w:type w:val="continuous"/>
        </w:sectPr>
      </w:pPr>
    </w:p>
    <w:bookmarkStart w:id="172" w:name="page173"/>
    <w:bookmarkEnd w:id="172"/>
    <w:tbl>
      <w:tblPr>
        <w:tblLayout w:type="fixed"/>
        <w:tblInd w:w="0" w:type="dxa"/>
        <w:tblCellMar>
          <w:top w:w="0" w:type="dxa"/>
          <w:left w:w="0" w:type="dxa"/>
          <w:bottom w:w="0" w:type="dxa"/>
          <w:right w:w="0" w:type="dxa"/>
        </w:tblCellMar>
      </w:tblPr>
      <w:tr>
        <w:trPr>
          <w:trHeight w:val="220"/>
        </w:trPr>
        <w:tc>
          <w:tcPr>
            <w:tcW w:w="11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3"/>
          </w:tcPr>
          <w:p>
            <w:pPr>
              <w:ind w:left="280"/>
              <w:spacing w:after="0"/>
              <w:rPr>
                <w:sz w:val="20"/>
                <w:szCs w:val="20"/>
                <w:color w:val="auto"/>
              </w:rPr>
            </w:pPr>
            <w:r>
              <w:rPr>
                <w:rFonts w:ascii="Calibri" w:cs="Calibri" w:eastAsia="Calibri" w:hAnsi="Calibri"/>
                <w:sz w:val="18"/>
                <w:szCs w:val="18"/>
                <w:color w:val="auto"/>
                <w:w w:val="98"/>
              </w:rPr>
              <w:t>2025 ANNUAL REPORT</w:t>
            </w:r>
          </w:p>
        </w:tc>
        <w:tc>
          <w:tcPr>
            <w:tcW w:w="20" w:type="dxa"/>
            <w:vAlign w:val="bottom"/>
          </w:tcPr>
          <w:p>
            <w:pPr>
              <w:spacing w:after="0"/>
              <w:rPr>
                <w:sz w:val="19"/>
                <w:szCs w:val="19"/>
                <w:color w:val="auto"/>
              </w:rPr>
            </w:pPr>
          </w:p>
        </w:tc>
        <w:tc>
          <w:tcPr>
            <w:tcW w:w="780" w:type="dxa"/>
            <w:vAlign w:val="bottom"/>
            <w:gridSpan w:val="2"/>
          </w:tcPr>
          <w:p>
            <w:pPr>
              <w:ind w:left="460"/>
              <w:spacing w:after="0"/>
              <w:rPr>
                <w:sz w:val="20"/>
                <w:szCs w:val="20"/>
                <w:color w:val="auto"/>
              </w:rPr>
            </w:pPr>
            <w:r>
              <w:rPr>
                <w:rFonts w:ascii="Calibri" w:cs="Calibri" w:eastAsia="Calibri" w:hAnsi="Calibri"/>
                <w:sz w:val="18"/>
                <w:szCs w:val="18"/>
                <w:color w:val="auto"/>
                <w:w w:val="93"/>
              </w:rPr>
              <w:t>F-42</w:t>
            </w:r>
          </w:p>
        </w:tc>
      </w:tr>
      <w:tr>
        <w:trPr>
          <w:trHeight w:val="496"/>
        </w:trPr>
        <w:tc>
          <w:tcPr>
            <w:tcW w:w="6300" w:type="dxa"/>
            <w:vAlign w:val="bottom"/>
            <w:tcBorders>
              <w:bottom w:val="single" w:sz="8" w:color="214E93"/>
            </w:tcBorders>
            <w:gridSpan w:val="5"/>
          </w:tcPr>
          <w:p>
            <w:pPr>
              <w:spacing w:after="0"/>
              <w:rPr>
                <w:sz w:val="24"/>
                <w:szCs w:val="24"/>
                <w:color w:val="auto"/>
              </w:rPr>
            </w:pPr>
          </w:p>
        </w:tc>
        <w:tc>
          <w:tcPr>
            <w:tcW w:w="1000" w:type="dxa"/>
            <w:vAlign w:val="bottom"/>
            <w:tcBorders>
              <w:bottom w:val="single" w:sz="8" w:color="214E93"/>
            </w:tcBorders>
          </w:tcPr>
          <w:p>
            <w:pPr>
              <w:spacing w:after="0"/>
              <w:rPr>
                <w:sz w:val="24"/>
                <w:szCs w:val="24"/>
                <w:color w:val="auto"/>
              </w:rPr>
            </w:pPr>
          </w:p>
        </w:tc>
        <w:tc>
          <w:tcPr>
            <w:tcW w:w="260" w:type="dxa"/>
            <w:vAlign w:val="bottom"/>
            <w:tcBorders>
              <w:bottom w:val="single" w:sz="8" w:color="214E93"/>
            </w:tcBorders>
          </w:tcPr>
          <w:p>
            <w:pPr>
              <w:spacing w:after="0"/>
              <w:rPr>
                <w:sz w:val="24"/>
                <w:szCs w:val="24"/>
                <w:color w:val="auto"/>
              </w:rPr>
            </w:pPr>
          </w:p>
        </w:tc>
        <w:tc>
          <w:tcPr>
            <w:tcW w:w="1020" w:type="dxa"/>
            <w:vAlign w:val="bottom"/>
            <w:tcBorders>
              <w:bottom w:val="single" w:sz="8" w:color="214E93"/>
            </w:tcBorders>
          </w:tcPr>
          <w:p>
            <w:pPr>
              <w:spacing w:after="0"/>
              <w:rPr>
                <w:sz w:val="24"/>
                <w:szCs w:val="24"/>
                <w:color w:val="auto"/>
              </w:rPr>
            </w:pPr>
          </w:p>
        </w:tc>
        <w:tc>
          <w:tcPr>
            <w:tcW w:w="180" w:type="dxa"/>
            <w:vAlign w:val="bottom"/>
            <w:tcBorders>
              <w:bottom w:val="single" w:sz="8" w:color="214E93"/>
            </w:tcBorders>
          </w:tcPr>
          <w:p>
            <w:pPr>
              <w:spacing w:after="0"/>
              <w:rPr>
                <w:sz w:val="24"/>
                <w:szCs w:val="24"/>
                <w:color w:val="auto"/>
              </w:rPr>
            </w:pPr>
          </w:p>
        </w:tc>
        <w:tc>
          <w:tcPr>
            <w:tcW w:w="1260" w:type="dxa"/>
            <w:vAlign w:val="bottom"/>
            <w:tcBorders>
              <w:bottom w:val="single" w:sz="8" w:color="214E93"/>
            </w:tcBorders>
          </w:tcPr>
          <w:p>
            <w:pPr>
              <w:spacing w:after="0"/>
              <w:rPr>
                <w:sz w:val="24"/>
                <w:szCs w:val="24"/>
                <w:color w:val="auto"/>
              </w:rPr>
            </w:pPr>
          </w:p>
        </w:tc>
        <w:tc>
          <w:tcPr>
            <w:tcW w:w="200" w:type="dxa"/>
            <w:vAlign w:val="bottom"/>
            <w:tcBorders>
              <w:bottom w:val="single" w:sz="8" w:color="214E93"/>
            </w:tcBorders>
          </w:tcPr>
          <w:p>
            <w:pPr>
              <w:spacing w:after="0"/>
              <w:rPr>
                <w:sz w:val="24"/>
                <w:szCs w:val="24"/>
                <w:color w:val="auto"/>
              </w:rPr>
            </w:pPr>
          </w:p>
        </w:tc>
        <w:tc>
          <w:tcPr>
            <w:tcW w:w="480" w:type="dxa"/>
            <w:vAlign w:val="bottom"/>
            <w:tcBorders>
              <w:bottom w:val="single" w:sz="8" w:color="214E93"/>
            </w:tcBorders>
          </w:tcPr>
          <w:p>
            <w:pPr>
              <w:spacing w:after="0"/>
              <w:rPr>
                <w:sz w:val="24"/>
                <w:szCs w:val="24"/>
                <w:color w:val="auto"/>
              </w:rPr>
            </w:pPr>
          </w:p>
        </w:tc>
        <w:tc>
          <w:tcPr>
            <w:tcW w:w="20" w:type="dxa"/>
            <w:vAlign w:val="bottom"/>
            <w:tcBorders>
              <w:bottom w:val="single" w:sz="8" w:color="214E93"/>
            </w:tcBorders>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88"/>
        </w:trPr>
        <w:tc>
          <w:tcPr>
            <w:tcW w:w="6300" w:type="dxa"/>
            <w:vAlign w:val="bottom"/>
            <w:gridSpan w:val="5"/>
          </w:tcPr>
          <w:p>
            <w:pPr>
              <w:jc w:val="right"/>
              <w:ind w:right="41"/>
              <w:spacing w:after="0"/>
              <w:rPr>
                <w:sz w:val="20"/>
                <w:szCs w:val="20"/>
                <w:color w:val="auto"/>
              </w:rPr>
            </w:pPr>
            <w:r>
              <w:rPr>
                <w:rFonts w:ascii="Verdana" w:cs="Verdana" w:eastAsia="Verdana" w:hAnsi="Verdana"/>
                <w:sz w:val="20"/>
                <w:szCs w:val="20"/>
                <w:color w:val="214E93"/>
              </w:rPr>
              <w:t>NOTE 16 — SEGMENT INFORMATION — Continued</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99"/>
        </w:trPr>
        <w:tc>
          <w:tcPr>
            <w:tcW w:w="11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jc w:val="right"/>
              <w:ind w:right="162"/>
              <w:spacing w:after="0"/>
              <w:rPr>
                <w:sz w:val="20"/>
                <w:szCs w:val="20"/>
                <w:color w:val="auto"/>
              </w:rPr>
            </w:pPr>
            <w:r>
              <w:rPr>
                <w:rFonts w:ascii="Verdana" w:cs="Verdana" w:eastAsia="Verdana" w:hAnsi="Verdana"/>
                <w:sz w:val="14"/>
                <w:szCs w:val="14"/>
                <w:color w:val="auto"/>
              </w:rPr>
              <w:t>Exploration</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161"/>
              <w:spacing w:after="0"/>
              <w:rPr>
                <w:sz w:val="20"/>
                <w:szCs w:val="20"/>
                <w:color w:val="auto"/>
              </w:rPr>
            </w:pPr>
            <w:r>
              <w:rPr>
                <w:rFonts w:ascii="Verdana" w:cs="Verdana" w:eastAsia="Verdana" w:hAnsi="Verdana"/>
                <w:sz w:val="14"/>
                <w:szCs w:val="14"/>
                <w:color w:val="auto"/>
                <w:w w:val="98"/>
              </w:rPr>
              <w:t>Consolidations</w:t>
            </w:r>
          </w:p>
        </w:tc>
        <w:tc>
          <w:tcPr>
            <w:tcW w:w="200" w:type="dxa"/>
            <w:vAlign w:val="bottom"/>
          </w:tcPr>
          <w:p>
            <w:pPr>
              <w:spacing w:after="0"/>
              <w:rPr>
                <w:sz w:val="24"/>
                <w:szCs w:val="24"/>
                <w:color w:val="auto"/>
              </w:rPr>
            </w:pPr>
          </w:p>
        </w:tc>
        <w:tc>
          <w:tcPr>
            <w:tcW w:w="1280" w:type="dxa"/>
            <w:vAlign w:val="bottom"/>
            <w:gridSpan w:val="4"/>
          </w:tcPr>
          <w:p>
            <w:pPr>
              <w:jc w:val="center"/>
              <w:ind w:right="340"/>
              <w:spacing w:after="0"/>
              <w:rPr>
                <w:sz w:val="20"/>
                <w:szCs w:val="20"/>
                <w:color w:val="auto"/>
              </w:rPr>
            </w:pPr>
            <w:r>
              <w:rPr>
                <w:rFonts w:ascii="Verdana" w:cs="Verdana" w:eastAsia="Verdana" w:hAnsi="Verdana"/>
                <w:sz w:val="14"/>
                <w:szCs w:val="14"/>
                <w:color w:val="auto"/>
                <w:w w:val="99"/>
              </w:rPr>
              <w:t>Consolidated</w:t>
            </w:r>
          </w:p>
        </w:tc>
      </w:tr>
      <w:tr>
        <w:trPr>
          <w:trHeight w:val="193"/>
        </w:trPr>
        <w:tc>
          <w:tcPr>
            <w:tcW w:w="11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800" w:type="dxa"/>
            <w:vAlign w:val="bottom"/>
            <w:gridSpan w:val="2"/>
          </w:tcPr>
          <w:p>
            <w:pPr>
              <w:ind w:left="640"/>
              <w:spacing w:after="0"/>
              <w:rPr>
                <w:sz w:val="20"/>
                <w:szCs w:val="20"/>
                <w:color w:val="auto"/>
              </w:rPr>
            </w:pPr>
            <w:r>
              <w:rPr>
                <w:rFonts w:ascii="Verdana" w:cs="Verdana" w:eastAsia="Verdana" w:hAnsi="Verdana"/>
                <w:sz w:val="14"/>
                <w:szCs w:val="14"/>
                <w:color w:val="auto"/>
              </w:rPr>
              <w:t>and Production</w:t>
            </w:r>
          </w:p>
        </w:tc>
        <w:tc>
          <w:tcPr>
            <w:tcW w:w="200" w:type="dxa"/>
            <w:vAlign w:val="bottom"/>
          </w:tcPr>
          <w:p>
            <w:pPr>
              <w:spacing w:after="0"/>
              <w:rPr>
                <w:sz w:val="16"/>
                <w:szCs w:val="16"/>
                <w:color w:val="auto"/>
              </w:rPr>
            </w:pPr>
          </w:p>
        </w:tc>
        <w:tc>
          <w:tcPr>
            <w:tcW w:w="1000" w:type="dxa"/>
            <w:vAlign w:val="bottom"/>
          </w:tcPr>
          <w:p>
            <w:pPr>
              <w:jc w:val="right"/>
              <w:ind w:right="162"/>
              <w:spacing w:after="0"/>
              <w:rPr>
                <w:sz w:val="20"/>
                <w:szCs w:val="20"/>
                <w:color w:val="auto"/>
              </w:rPr>
            </w:pPr>
            <w:r>
              <w:rPr>
                <w:rFonts w:ascii="Verdana" w:cs="Verdana" w:eastAsia="Verdana" w:hAnsi="Verdana"/>
                <w:sz w:val="14"/>
                <w:szCs w:val="14"/>
                <w:color w:val="auto"/>
              </w:rPr>
              <w:t>Midstream</w:t>
            </w:r>
          </w:p>
        </w:tc>
        <w:tc>
          <w:tcPr>
            <w:tcW w:w="260" w:type="dxa"/>
            <w:vAlign w:val="bottom"/>
          </w:tcPr>
          <w:p>
            <w:pPr>
              <w:spacing w:after="0"/>
              <w:rPr>
                <w:sz w:val="16"/>
                <w:szCs w:val="16"/>
                <w:color w:val="auto"/>
              </w:rPr>
            </w:pPr>
          </w:p>
        </w:tc>
        <w:tc>
          <w:tcPr>
            <w:tcW w:w="1020" w:type="dxa"/>
            <w:vAlign w:val="bottom"/>
          </w:tcPr>
          <w:p>
            <w:pPr>
              <w:jc w:val="right"/>
              <w:ind w:right="222"/>
              <w:spacing w:after="0"/>
              <w:rPr>
                <w:sz w:val="20"/>
                <w:szCs w:val="20"/>
                <w:color w:val="auto"/>
              </w:rPr>
            </w:pPr>
            <w:r>
              <w:rPr>
                <w:rFonts w:ascii="Verdana" w:cs="Verdana" w:eastAsia="Verdana" w:hAnsi="Verdana"/>
                <w:sz w:val="14"/>
                <w:szCs w:val="14"/>
                <w:color w:val="auto"/>
              </w:rPr>
              <w:t>Corporate</w:t>
            </w:r>
          </w:p>
        </w:tc>
        <w:tc>
          <w:tcPr>
            <w:tcW w:w="1440" w:type="dxa"/>
            <w:vAlign w:val="bottom"/>
            <w:gridSpan w:val="2"/>
          </w:tcPr>
          <w:p>
            <w:pPr>
              <w:jc w:val="right"/>
              <w:ind w:right="81"/>
              <w:spacing w:after="0"/>
              <w:rPr>
                <w:sz w:val="20"/>
                <w:szCs w:val="20"/>
                <w:color w:val="auto"/>
              </w:rPr>
            </w:pPr>
            <w:r>
              <w:rPr>
                <w:rFonts w:ascii="Verdana" w:cs="Verdana" w:eastAsia="Verdana" w:hAnsi="Verdana"/>
                <w:sz w:val="14"/>
                <w:szCs w:val="14"/>
                <w:color w:val="auto"/>
              </w:rPr>
              <w:t>and Eliminations</w:t>
            </w:r>
          </w:p>
        </w:tc>
        <w:tc>
          <w:tcPr>
            <w:tcW w:w="200" w:type="dxa"/>
            <w:vAlign w:val="bottom"/>
          </w:tcPr>
          <w:p>
            <w:pPr>
              <w:spacing w:after="0"/>
              <w:rPr>
                <w:sz w:val="16"/>
                <w:szCs w:val="16"/>
                <w:color w:val="auto"/>
              </w:rPr>
            </w:pPr>
          </w:p>
        </w:tc>
        <w:tc>
          <w:tcPr>
            <w:tcW w:w="1280" w:type="dxa"/>
            <w:vAlign w:val="bottom"/>
            <w:gridSpan w:val="4"/>
          </w:tcPr>
          <w:p>
            <w:pPr>
              <w:jc w:val="center"/>
              <w:ind w:right="340"/>
              <w:spacing w:after="0"/>
              <w:rPr>
                <w:sz w:val="20"/>
                <w:szCs w:val="20"/>
                <w:color w:val="auto"/>
              </w:rPr>
            </w:pPr>
            <w:r>
              <w:rPr>
                <w:rFonts w:ascii="Verdana" w:cs="Verdana" w:eastAsia="Verdana" w:hAnsi="Verdana"/>
                <w:sz w:val="14"/>
                <w:szCs w:val="14"/>
                <w:color w:val="auto"/>
                <w:w w:val="99"/>
              </w:rPr>
              <w:t>Company</w:t>
            </w:r>
          </w:p>
        </w:tc>
      </w:tr>
      <w:tr>
        <w:trPr>
          <w:trHeight w:val="218"/>
        </w:trPr>
        <w:tc>
          <w:tcPr>
            <w:tcW w:w="1160" w:type="dxa"/>
            <w:vAlign w:val="bottom"/>
          </w:tcPr>
          <w:p>
            <w:pPr>
              <w:spacing w:after="0"/>
              <w:rPr>
                <w:sz w:val="18"/>
                <w:szCs w:val="18"/>
                <w:color w:val="auto"/>
              </w:rPr>
            </w:pPr>
          </w:p>
        </w:tc>
        <w:tc>
          <w:tcPr>
            <w:tcW w:w="3140" w:type="dxa"/>
            <w:vAlign w:val="bottom"/>
            <w:tcBorders>
              <w:top w:val="single" w:sz="8" w:color="214E93"/>
            </w:tcBorders>
          </w:tcPr>
          <w:p>
            <w:pPr>
              <w:ind w:left="40"/>
              <w:spacing w:after="0" w:line="218" w:lineRule="exact"/>
              <w:rPr>
                <w:sz w:val="20"/>
                <w:szCs w:val="20"/>
                <w:color w:val="auto"/>
              </w:rPr>
            </w:pPr>
            <w:r>
              <w:rPr>
                <w:rFonts w:ascii="Calibri" w:cs="Calibri" w:eastAsia="Calibri" w:hAnsi="Calibri"/>
                <w:sz w:val="19"/>
                <w:szCs w:val="19"/>
                <w:b w:val="1"/>
                <w:bCs w:val="1"/>
                <w:color w:val="auto"/>
              </w:rPr>
              <w:t>Year Ended December 31, 2023</w:t>
            </w:r>
          </w:p>
        </w:tc>
        <w:tc>
          <w:tcPr>
            <w:tcW w:w="740" w:type="dxa"/>
            <w:vAlign w:val="bottom"/>
            <w:tcBorders>
              <w:top w:val="single" w:sz="8" w:color="214E93"/>
            </w:tcBorders>
          </w:tcPr>
          <w:p>
            <w:pPr>
              <w:spacing w:after="0"/>
              <w:rPr>
                <w:sz w:val="18"/>
                <w:szCs w:val="18"/>
                <w:color w:val="auto"/>
              </w:rPr>
            </w:pPr>
          </w:p>
        </w:tc>
        <w:tc>
          <w:tcPr>
            <w:tcW w:w="1060" w:type="dxa"/>
            <w:vAlign w:val="bottom"/>
            <w:tcBorders>
              <w:top w:val="single" w:sz="8" w:color="214E93"/>
            </w:tcBorders>
          </w:tcPr>
          <w:p>
            <w:pPr>
              <w:spacing w:after="0"/>
              <w:rPr>
                <w:sz w:val="18"/>
                <w:szCs w:val="18"/>
                <w:color w:val="auto"/>
              </w:rPr>
            </w:pPr>
          </w:p>
        </w:tc>
        <w:tc>
          <w:tcPr>
            <w:tcW w:w="200" w:type="dxa"/>
            <w:vAlign w:val="bottom"/>
            <w:tcBorders>
              <w:top w:val="single" w:sz="8" w:color="214E93"/>
            </w:tcBorders>
          </w:tcPr>
          <w:p>
            <w:pPr>
              <w:spacing w:after="0"/>
              <w:rPr>
                <w:sz w:val="18"/>
                <w:szCs w:val="18"/>
                <w:color w:val="auto"/>
              </w:rPr>
            </w:pPr>
          </w:p>
        </w:tc>
        <w:tc>
          <w:tcPr>
            <w:tcW w:w="1000" w:type="dxa"/>
            <w:vAlign w:val="bottom"/>
            <w:tcBorders>
              <w:top w:val="single" w:sz="8" w:color="214E93"/>
            </w:tcBorders>
          </w:tcPr>
          <w:p>
            <w:pPr>
              <w:spacing w:after="0"/>
              <w:rPr>
                <w:sz w:val="18"/>
                <w:szCs w:val="18"/>
                <w:color w:val="auto"/>
              </w:rPr>
            </w:pPr>
          </w:p>
        </w:tc>
        <w:tc>
          <w:tcPr>
            <w:tcW w:w="260" w:type="dxa"/>
            <w:vAlign w:val="bottom"/>
            <w:tcBorders>
              <w:top w:val="single" w:sz="8" w:color="214E93"/>
            </w:tcBorders>
          </w:tcPr>
          <w:p>
            <w:pPr>
              <w:spacing w:after="0"/>
              <w:rPr>
                <w:sz w:val="18"/>
                <w:szCs w:val="18"/>
                <w:color w:val="auto"/>
              </w:rPr>
            </w:pPr>
          </w:p>
        </w:tc>
        <w:tc>
          <w:tcPr>
            <w:tcW w:w="1020" w:type="dxa"/>
            <w:vAlign w:val="bottom"/>
            <w:tcBorders>
              <w:top w:val="single" w:sz="8" w:color="214E93"/>
            </w:tcBorders>
          </w:tcPr>
          <w:p>
            <w:pPr>
              <w:spacing w:after="0"/>
              <w:rPr>
                <w:sz w:val="18"/>
                <w:szCs w:val="18"/>
                <w:color w:val="auto"/>
              </w:rPr>
            </w:pPr>
          </w:p>
        </w:tc>
        <w:tc>
          <w:tcPr>
            <w:tcW w:w="180" w:type="dxa"/>
            <w:vAlign w:val="bottom"/>
            <w:tcBorders>
              <w:top w:val="single" w:sz="8" w:color="214E93"/>
            </w:tcBorders>
          </w:tcPr>
          <w:p>
            <w:pPr>
              <w:spacing w:after="0"/>
              <w:rPr>
                <w:sz w:val="18"/>
                <w:szCs w:val="18"/>
                <w:color w:val="auto"/>
              </w:rPr>
            </w:pPr>
          </w:p>
        </w:tc>
        <w:tc>
          <w:tcPr>
            <w:tcW w:w="1260" w:type="dxa"/>
            <w:vAlign w:val="bottom"/>
            <w:tcBorders>
              <w:top w:val="single" w:sz="8" w:color="214E93"/>
            </w:tcBorders>
          </w:tcPr>
          <w:p>
            <w:pPr>
              <w:spacing w:after="0"/>
              <w:rPr>
                <w:sz w:val="18"/>
                <w:szCs w:val="18"/>
                <w:color w:val="auto"/>
              </w:rPr>
            </w:pPr>
          </w:p>
        </w:tc>
        <w:tc>
          <w:tcPr>
            <w:tcW w:w="200" w:type="dxa"/>
            <w:vAlign w:val="bottom"/>
            <w:tcBorders>
              <w:top w:val="single" w:sz="8" w:color="214E93"/>
            </w:tcBorders>
          </w:tcPr>
          <w:p>
            <w:pPr>
              <w:spacing w:after="0"/>
              <w:rPr>
                <w:sz w:val="18"/>
                <w:szCs w:val="18"/>
                <w:color w:val="auto"/>
              </w:rPr>
            </w:pPr>
          </w:p>
        </w:tc>
        <w:tc>
          <w:tcPr>
            <w:tcW w:w="480" w:type="dxa"/>
            <w:vAlign w:val="bottom"/>
            <w:tcBorders>
              <w:top w:val="single" w:sz="8" w:color="214E93"/>
            </w:tcBorders>
          </w:tcPr>
          <w:p>
            <w:pPr>
              <w:spacing w:after="0"/>
              <w:rPr>
                <w:sz w:val="18"/>
                <w:szCs w:val="18"/>
                <w:color w:val="auto"/>
              </w:rPr>
            </w:pPr>
          </w:p>
        </w:tc>
        <w:tc>
          <w:tcPr>
            <w:tcW w:w="20" w:type="dxa"/>
            <w:vAlign w:val="bottom"/>
            <w:tcBorders>
              <w:top w:val="single" w:sz="8" w:color="214E93"/>
            </w:tcBorders>
          </w:tcPr>
          <w:p>
            <w:pPr>
              <w:spacing w:after="0"/>
              <w:rPr>
                <w:sz w:val="18"/>
                <w:szCs w:val="18"/>
                <w:color w:val="auto"/>
              </w:rPr>
            </w:pPr>
          </w:p>
        </w:tc>
        <w:tc>
          <w:tcPr>
            <w:tcW w:w="600" w:type="dxa"/>
            <w:vAlign w:val="bottom"/>
            <w:tcBorders>
              <w:top w:val="single" w:sz="8" w:color="214E93"/>
            </w:tcBorders>
          </w:tcPr>
          <w:p>
            <w:pPr>
              <w:spacing w:after="0"/>
              <w:rPr>
                <w:sz w:val="18"/>
                <w:szCs w:val="18"/>
                <w:color w:val="auto"/>
              </w:rPr>
            </w:pPr>
          </w:p>
        </w:tc>
        <w:tc>
          <w:tcPr>
            <w:tcW w:w="180" w:type="dxa"/>
            <w:vAlign w:val="bottom"/>
          </w:tcPr>
          <w:p>
            <w:pPr>
              <w:spacing w:after="0"/>
              <w:rPr>
                <w:sz w:val="18"/>
                <w:szCs w:val="18"/>
                <w:color w:val="auto"/>
              </w:rPr>
            </w:pPr>
          </w:p>
        </w:tc>
      </w:tr>
      <w:tr>
        <w:trPr>
          <w:trHeight w:val="273"/>
        </w:trPr>
        <w:tc>
          <w:tcPr>
            <w:tcW w:w="1160" w:type="dxa"/>
            <w:vAlign w:val="bottom"/>
          </w:tcPr>
          <w:p>
            <w:pPr>
              <w:spacing w:after="0"/>
              <w:rPr>
                <w:sz w:val="23"/>
                <w:szCs w:val="23"/>
                <w:color w:val="auto"/>
              </w:rPr>
            </w:pPr>
          </w:p>
        </w:tc>
        <w:tc>
          <w:tcPr>
            <w:tcW w:w="3140" w:type="dxa"/>
            <w:vAlign w:val="bottom"/>
          </w:tcPr>
          <w:p>
            <w:pPr>
              <w:ind w:left="40"/>
              <w:spacing w:after="0"/>
              <w:rPr>
                <w:sz w:val="20"/>
                <w:szCs w:val="20"/>
                <w:color w:val="auto"/>
              </w:rPr>
            </w:pPr>
            <w:r>
              <w:rPr>
                <w:rFonts w:ascii="Verdana" w:cs="Verdana" w:eastAsia="Verdana" w:hAnsi="Verdana"/>
                <w:sz w:val="16"/>
                <w:szCs w:val="16"/>
                <w:color w:val="auto"/>
              </w:rPr>
              <w:t>Oil and natural gas revenues</w:t>
            </w:r>
          </w:p>
        </w:tc>
        <w:tc>
          <w:tcPr>
            <w:tcW w:w="740" w:type="dxa"/>
            <w:vAlign w:val="bottom"/>
          </w:tcPr>
          <w:p>
            <w:pPr>
              <w:ind w:left="620"/>
              <w:spacing w:after="0"/>
              <w:rPr>
                <w:sz w:val="20"/>
                <w:szCs w:val="20"/>
                <w:color w:val="auto"/>
              </w:rPr>
            </w:pPr>
            <w:r>
              <w:rPr>
                <w:rFonts w:ascii="Verdana" w:cs="Verdana" w:eastAsia="Verdana" w:hAnsi="Verdana"/>
                <w:sz w:val="16"/>
                <w:szCs w:val="16"/>
                <w:color w:val="131313"/>
                <w:w w:val="97"/>
              </w:rPr>
              <w:t>$</w:t>
            </w:r>
          </w:p>
        </w:tc>
        <w:tc>
          <w:tcPr>
            <w:tcW w:w="1060" w:type="dxa"/>
            <w:vAlign w:val="bottom"/>
          </w:tcPr>
          <w:p>
            <w:pPr>
              <w:jc w:val="right"/>
              <w:ind w:right="62"/>
              <w:spacing w:after="0"/>
              <w:rPr>
                <w:sz w:val="20"/>
                <w:szCs w:val="20"/>
                <w:color w:val="auto"/>
              </w:rPr>
            </w:pPr>
            <w:r>
              <w:rPr>
                <w:rFonts w:ascii="Verdana" w:cs="Verdana" w:eastAsia="Verdana" w:hAnsi="Verdana"/>
                <w:sz w:val="16"/>
                <w:szCs w:val="16"/>
                <w:color w:val="131313"/>
              </w:rPr>
              <w:t>2,538,813</w:t>
            </w:r>
          </w:p>
        </w:tc>
        <w:tc>
          <w:tcPr>
            <w:tcW w:w="200" w:type="dxa"/>
            <w:vAlign w:val="bottom"/>
          </w:tcPr>
          <w:p>
            <w:pPr>
              <w:jc w:val="right"/>
              <w:spacing w:after="0"/>
              <w:rPr>
                <w:sz w:val="20"/>
                <w:szCs w:val="20"/>
                <w:color w:val="auto"/>
              </w:rPr>
            </w:pPr>
            <w:r>
              <w:rPr>
                <w:rFonts w:ascii="Verdana" w:cs="Verdana" w:eastAsia="Verdana" w:hAnsi="Verdana"/>
                <w:sz w:val="16"/>
                <w:szCs w:val="16"/>
                <w:color w:val="131313"/>
              </w:rPr>
              <w:t>$</w:t>
            </w:r>
          </w:p>
        </w:tc>
        <w:tc>
          <w:tcPr>
            <w:tcW w:w="1000" w:type="dxa"/>
            <w:vAlign w:val="bottom"/>
          </w:tcPr>
          <w:p>
            <w:pPr>
              <w:jc w:val="right"/>
              <w:ind w:right="22"/>
              <w:spacing w:after="0"/>
              <w:rPr>
                <w:sz w:val="20"/>
                <w:szCs w:val="20"/>
                <w:color w:val="auto"/>
              </w:rPr>
            </w:pPr>
            <w:r>
              <w:rPr>
                <w:rFonts w:ascii="Verdana" w:cs="Verdana" w:eastAsia="Verdana" w:hAnsi="Verdana"/>
                <w:sz w:val="16"/>
                <w:szCs w:val="16"/>
                <w:color w:val="131313"/>
              </w:rPr>
              <w:t>6,786</w:t>
            </w:r>
          </w:p>
        </w:tc>
        <w:tc>
          <w:tcPr>
            <w:tcW w:w="260" w:type="dxa"/>
            <w:vAlign w:val="bottom"/>
          </w:tcPr>
          <w:p>
            <w:pPr>
              <w:jc w:val="right"/>
              <w:spacing w:after="0"/>
              <w:rPr>
                <w:sz w:val="20"/>
                <w:szCs w:val="20"/>
                <w:color w:val="auto"/>
              </w:rPr>
            </w:pPr>
            <w:r>
              <w:rPr>
                <w:rFonts w:ascii="Verdana" w:cs="Verdana" w:eastAsia="Verdana" w:hAnsi="Verdana"/>
                <w:sz w:val="16"/>
                <w:szCs w:val="16"/>
                <w:color w:val="131313"/>
              </w:rPr>
              <w:t>$</w:t>
            </w:r>
          </w:p>
        </w:tc>
        <w:tc>
          <w:tcPr>
            <w:tcW w:w="1020" w:type="dxa"/>
            <w:vAlign w:val="bottom"/>
          </w:tcPr>
          <w:p>
            <w:pPr>
              <w:jc w:val="right"/>
              <w:ind w:right="62"/>
              <w:spacing w:after="0"/>
              <w:rPr>
                <w:sz w:val="20"/>
                <w:szCs w:val="20"/>
                <w:color w:val="auto"/>
              </w:rPr>
            </w:pPr>
            <w:r>
              <w:rPr>
                <w:rFonts w:ascii="Verdana" w:cs="Verdana" w:eastAsia="Verdana" w:hAnsi="Verdana"/>
                <w:sz w:val="16"/>
                <w:szCs w:val="16"/>
                <w:color w:val="131313"/>
              </w:rPr>
              <w:t>—</w:t>
            </w:r>
          </w:p>
        </w:tc>
        <w:tc>
          <w:tcPr>
            <w:tcW w:w="180" w:type="dxa"/>
            <w:vAlign w:val="bottom"/>
          </w:tcPr>
          <w:p>
            <w:pPr>
              <w:jc w:val="right"/>
              <w:spacing w:after="0"/>
              <w:rPr>
                <w:sz w:val="20"/>
                <w:szCs w:val="20"/>
                <w:color w:val="auto"/>
              </w:rPr>
            </w:pPr>
            <w:r>
              <w:rPr>
                <w:rFonts w:ascii="Verdana" w:cs="Verdana" w:eastAsia="Verdana" w:hAnsi="Verdana"/>
                <w:sz w:val="16"/>
                <w:szCs w:val="16"/>
                <w:color w:val="131313"/>
              </w:rPr>
              <w:t>$</w:t>
            </w:r>
          </w:p>
        </w:tc>
        <w:tc>
          <w:tcPr>
            <w:tcW w:w="1260" w:type="dxa"/>
            <w:vAlign w:val="bottom"/>
          </w:tcPr>
          <w:p>
            <w:pPr>
              <w:jc w:val="right"/>
              <w:ind w:right="61"/>
              <w:spacing w:after="0"/>
              <w:rPr>
                <w:sz w:val="20"/>
                <w:szCs w:val="20"/>
                <w:color w:val="auto"/>
              </w:rPr>
            </w:pPr>
            <w:r>
              <w:rPr>
                <w:rFonts w:ascii="Verdana" w:cs="Verdana" w:eastAsia="Verdana" w:hAnsi="Verdana"/>
                <w:sz w:val="16"/>
                <w:szCs w:val="16"/>
                <w:color w:val="131313"/>
              </w:rPr>
              <w:t>—</w:t>
            </w:r>
          </w:p>
        </w:tc>
        <w:tc>
          <w:tcPr>
            <w:tcW w:w="200" w:type="dxa"/>
            <w:vAlign w:val="bottom"/>
          </w:tcPr>
          <w:p>
            <w:pPr>
              <w:jc w:val="right"/>
              <w:spacing w:after="0"/>
              <w:rPr>
                <w:sz w:val="20"/>
                <w:szCs w:val="20"/>
                <w:color w:val="auto"/>
              </w:rPr>
            </w:pPr>
            <w:r>
              <w:rPr>
                <w:rFonts w:ascii="Verdana" w:cs="Verdana" w:eastAsia="Verdana" w:hAnsi="Verdana"/>
                <w:sz w:val="16"/>
                <w:szCs w:val="16"/>
                <w:color w:val="131313"/>
              </w:rPr>
              <w:t>$</w:t>
            </w:r>
          </w:p>
        </w:tc>
        <w:tc>
          <w:tcPr>
            <w:tcW w:w="1100" w:type="dxa"/>
            <w:vAlign w:val="bottom"/>
            <w:gridSpan w:val="3"/>
          </w:tcPr>
          <w:p>
            <w:pPr>
              <w:jc w:val="right"/>
              <w:spacing w:after="0"/>
              <w:rPr>
                <w:sz w:val="20"/>
                <w:szCs w:val="20"/>
                <w:color w:val="auto"/>
              </w:rPr>
            </w:pPr>
            <w:r>
              <w:rPr>
                <w:rFonts w:ascii="Verdana" w:cs="Verdana" w:eastAsia="Verdana" w:hAnsi="Verdana"/>
                <w:sz w:val="16"/>
                <w:szCs w:val="16"/>
                <w:color w:val="131313"/>
              </w:rPr>
              <w:t>2,545,599</w:t>
            </w:r>
          </w:p>
        </w:tc>
        <w:tc>
          <w:tcPr>
            <w:tcW w:w="180" w:type="dxa"/>
            <w:vAlign w:val="bottom"/>
          </w:tcPr>
          <w:p>
            <w:pPr>
              <w:spacing w:after="0"/>
              <w:rPr>
                <w:sz w:val="23"/>
                <w:szCs w:val="23"/>
                <w:color w:val="auto"/>
              </w:rPr>
            </w:pPr>
          </w:p>
        </w:tc>
      </w:tr>
      <w:tr>
        <w:trPr>
          <w:trHeight w:val="236"/>
        </w:trPr>
        <w:tc>
          <w:tcPr>
            <w:tcW w:w="1160" w:type="dxa"/>
            <w:vAlign w:val="bottom"/>
          </w:tcPr>
          <w:p>
            <w:pPr>
              <w:spacing w:after="0"/>
              <w:rPr>
                <w:sz w:val="20"/>
                <w:szCs w:val="20"/>
                <w:color w:val="auto"/>
              </w:rPr>
            </w:pPr>
          </w:p>
        </w:tc>
        <w:tc>
          <w:tcPr>
            <w:tcW w:w="3140" w:type="dxa"/>
            <w:vAlign w:val="bottom"/>
          </w:tcPr>
          <w:p>
            <w:pPr>
              <w:ind w:left="40"/>
              <w:spacing w:after="0"/>
              <w:rPr>
                <w:sz w:val="20"/>
                <w:szCs w:val="20"/>
                <w:color w:val="auto"/>
              </w:rPr>
            </w:pPr>
            <w:r>
              <w:rPr>
                <w:rFonts w:ascii="Verdana" w:cs="Verdana" w:eastAsia="Verdana" w:hAnsi="Verdana"/>
                <w:sz w:val="16"/>
                <w:szCs w:val="16"/>
                <w:color w:val="auto"/>
              </w:rPr>
              <w:t>Midstream services revenues</w:t>
            </w:r>
          </w:p>
        </w:tc>
        <w:tc>
          <w:tcPr>
            <w:tcW w:w="740" w:type="dxa"/>
            <w:vAlign w:val="bottom"/>
          </w:tcPr>
          <w:p>
            <w:pPr>
              <w:spacing w:after="0"/>
              <w:rPr>
                <w:sz w:val="20"/>
                <w:szCs w:val="20"/>
                <w:color w:val="auto"/>
              </w:rPr>
            </w:pPr>
          </w:p>
        </w:tc>
        <w:tc>
          <w:tcPr>
            <w:tcW w:w="1060" w:type="dxa"/>
            <w:vAlign w:val="bottom"/>
          </w:tcPr>
          <w:p>
            <w:pPr>
              <w:jc w:val="right"/>
              <w:ind w:right="62"/>
              <w:spacing w:after="0"/>
              <w:rPr>
                <w:sz w:val="20"/>
                <w:szCs w:val="20"/>
                <w:color w:val="auto"/>
              </w:rPr>
            </w:pPr>
            <w:r>
              <w:rPr>
                <w:rFonts w:ascii="Verdana" w:cs="Verdana" w:eastAsia="Verdana" w:hAnsi="Verdana"/>
                <w:sz w:val="16"/>
                <w:szCs w:val="16"/>
                <w:color w:val="131313"/>
              </w:rPr>
              <w:t>—</w:t>
            </w:r>
          </w:p>
        </w:tc>
        <w:tc>
          <w:tcPr>
            <w:tcW w:w="200" w:type="dxa"/>
            <w:vAlign w:val="bottom"/>
          </w:tcPr>
          <w:p>
            <w:pPr>
              <w:spacing w:after="0"/>
              <w:rPr>
                <w:sz w:val="20"/>
                <w:szCs w:val="20"/>
                <w:color w:val="auto"/>
              </w:rPr>
            </w:pPr>
          </w:p>
        </w:tc>
        <w:tc>
          <w:tcPr>
            <w:tcW w:w="1000" w:type="dxa"/>
            <w:vAlign w:val="bottom"/>
          </w:tcPr>
          <w:p>
            <w:pPr>
              <w:jc w:val="right"/>
              <w:ind w:right="22"/>
              <w:spacing w:after="0"/>
              <w:rPr>
                <w:sz w:val="20"/>
                <w:szCs w:val="20"/>
                <w:color w:val="auto"/>
              </w:rPr>
            </w:pPr>
            <w:r>
              <w:rPr>
                <w:rFonts w:ascii="Verdana" w:cs="Verdana" w:eastAsia="Verdana" w:hAnsi="Verdana"/>
                <w:sz w:val="16"/>
                <w:szCs w:val="16"/>
                <w:color w:val="131313"/>
              </w:rPr>
              <w:t>346,933</w:t>
            </w:r>
          </w:p>
        </w:tc>
        <w:tc>
          <w:tcPr>
            <w:tcW w:w="260" w:type="dxa"/>
            <w:vAlign w:val="bottom"/>
          </w:tcPr>
          <w:p>
            <w:pPr>
              <w:spacing w:after="0"/>
              <w:rPr>
                <w:sz w:val="20"/>
                <w:szCs w:val="20"/>
                <w:color w:val="auto"/>
              </w:rPr>
            </w:pPr>
          </w:p>
        </w:tc>
        <w:tc>
          <w:tcPr>
            <w:tcW w:w="1020" w:type="dxa"/>
            <w:vAlign w:val="bottom"/>
          </w:tcPr>
          <w:p>
            <w:pPr>
              <w:jc w:val="right"/>
              <w:ind w:right="62"/>
              <w:spacing w:after="0"/>
              <w:rPr>
                <w:sz w:val="20"/>
                <w:szCs w:val="20"/>
                <w:color w:val="auto"/>
              </w:rPr>
            </w:pPr>
            <w:r>
              <w:rPr>
                <w:rFonts w:ascii="Verdana" w:cs="Verdana" w:eastAsia="Verdana" w:hAnsi="Verdana"/>
                <w:sz w:val="16"/>
                <w:szCs w:val="16"/>
                <w:color w:val="131313"/>
              </w:rPr>
              <w:t>—</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Verdana" w:cs="Verdana" w:eastAsia="Verdana" w:hAnsi="Verdana"/>
                <w:sz w:val="16"/>
                <w:szCs w:val="16"/>
                <w:color w:val="131313"/>
              </w:rPr>
              <w:t>(224,780)</w:t>
            </w:r>
          </w:p>
        </w:tc>
        <w:tc>
          <w:tcPr>
            <w:tcW w:w="20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Verdana" w:cs="Verdana" w:eastAsia="Verdana" w:hAnsi="Verdana"/>
                <w:sz w:val="16"/>
                <w:szCs w:val="16"/>
                <w:color w:val="131313"/>
              </w:rPr>
              <w:t>122,153</w:t>
            </w:r>
          </w:p>
        </w:tc>
        <w:tc>
          <w:tcPr>
            <w:tcW w:w="180" w:type="dxa"/>
            <w:vAlign w:val="bottom"/>
          </w:tcPr>
          <w:p>
            <w:pPr>
              <w:spacing w:after="0"/>
              <w:rPr>
                <w:sz w:val="20"/>
                <w:szCs w:val="20"/>
                <w:color w:val="auto"/>
              </w:rPr>
            </w:pPr>
          </w:p>
        </w:tc>
      </w:tr>
      <w:tr>
        <w:trPr>
          <w:trHeight w:val="236"/>
        </w:trPr>
        <w:tc>
          <w:tcPr>
            <w:tcW w:w="1160" w:type="dxa"/>
            <w:vAlign w:val="bottom"/>
          </w:tcPr>
          <w:p>
            <w:pPr>
              <w:spacing w:after="0"/>
              <w:rPr>
                <w:sz w:val="20"/>
                <w:szCs w:val="20"/>
                <w:color w:val="auto"/>
              </w:rPr>
            </w:pPr>
          </w:p>
        </w:tc>
        <w:tc>
          <w:tcPr>
            <w:tcW w:w="3140" w:type="dxa"/>
            <w:vAlign w:val="bottom"/>
          </w:tcPr>
          <w:p>
            <w:pPr>
              <w:ind w:left="40"/>
              <w:spacing w:after="0"/>
              <w:rPr>
                <w:sz w:val="20"/>
                <w:szCs w:val="20"/>
                <w:color w:val="auto"/>
              </w:rPr>
            </w:pPr>
            <w:r>
              <w:rPr>
                <w:rFonts w:ascii="Verdana" w:cs="Verdana" w:eastAsia="Verdana" w:hAnsi="Verdana"/>
                <w:sz w:val="16"/>
                <w:szCs w:val="16"/>
                <w:color w:val="auto"/>
              </w:rPr>
              <w:t>Sales of purchased natural gas</w:t>
            </w:r>
          </w:p>
        </w:tc>
        <w:tc>
          <w:tcPr>
            <w:tcW w:w="740" w:type="dxa"/>
            <w:vAlign w:val="bottom"/>
          </w:tcPr>
          <w:p>
            <w:pPr>
              <w:spacing w:after="0"/>
              <w:rPr>
                <w:sz w:val="20"/>
                <w:szCs w:val="20"/>
                <w:color w:val="auto"/>
              </w:rPr>
            </w:pPr>
          </w:p>
        </w:tc>
        <w:tc>
          <w:tcPr>
            <w:tcW w:w="1060" w:type="dxa"/>
            <w:vAlign w:val="bottom"/>
          </w:tcPr>
          <w:p>
            <w:pPr>
              <w:jc w:val="right"/>
              <w:ind w:right="62"/>
              <w:spacing w:after="0"/>
              <w:rPr>
                <w:sz w:val="20"/>
                <w:szCs w:val="20"/>
                <w:color w:val="auto"/>
              </w:rPr>
            </w:pPr>
            <w:r>
              <w:rPr>
                <w:rFonts w:ascii="Verdana" w:cs="Verdana" w:eastAsia="Verdana" w:hAnsi="Verdana"/>
                <w:sz w:val="16"/>
                <w:szCs w:val="16"/>
                <w:color w:val="131313"/>
              </w:rPr>
              <w:t>23,521</w:t>
            </w:r>
          </w:p>
        </w:tc>
        <w:tc>
          <w:tcPr>
            <w:tcW w:w="200" w:type="dxa"/>
            <w:vAlign w:val="bottom"/>
          </w:tcPr>
          <w:p>
            <w:pPr>
              <w:spacing w:after="0"/>
              <w:rPr>
                <w:sz w:val="20"/>
                <w:szCs w:val="20"/>
                <w:color w:val="auto"/>
              </w:rPr>
            </w:pPr>
          </w:p>
        </w:tc>
        <w:tc>
          <w:tcPr>
            <w:tcW w:w="1000" w:type="dxa"/>
            <w:vAlign w:val="bottom"/>
          </w:tcPr>
          <w:p>
            <w:pPr>
              <w:jc w:val="right"/>
              <w:ind w:right="22"/>
              <w:spacing w:after="0"/>
              <w:rPr>
                <w:sz w:val="20"/>
                <w:szCs w:val="20"/>
                <w:color w:val="auto"/>
              </w:rPr>
            </w:pPr>
            <w:r>
              <w:rPr>
                <w:rFonts w:ascii="Verdana" w:cs="Verdana" w:eastAsia="Verdana" w:hAnsi="Verdana"/>
                <w:sz w:val="16"/>
                <w:szCs w:val="16"/>
                <w:color w:val="131313"/>
              </w:rPr>
              <w:t>126,348</w:t>
            </w:r>
          </w:p>
        </w:tc>
        <w:tc>
          <w:tcPr>
            <w:tcW w:w="260" w:type="dxa"/>
            <w:vAlign w:val="bottom"/>
          </w:tcPr>
          <w:p>
            <w:pPr>
              <w:spacing w:after="0"/>
              <w:rPr>
                <w:sz w:val="20"/>
                <w:szCs w:val="20"/>
                <w:color w:val="auto"/>
              </w:rPr>
            </w:pPr>
          </w:p>
        </w:tc>
        <w:tc>
          <w:tcPr>
            <w:tcW w:w="1020" w:type="dxa"/>
            <w:vAlign w:val="bottom"/>
          </w:tcPr>
          <w:p>
            <w:pPr>
              <w:jc w:val="right"/>
              <w:ind w:right="62"/>
              <w:spacing w:after="0"/>
              <w:rPr>
                <w:sz w:val="20"/>
                <w:szCs w:val="20"/>
                <w:color w:val="auto"/>
              </w:rPr>
            </w:pPr>
            <w:r>
              <w:rPr>
                <w:rFonts w:ascii="Verdana" w:cs="Verdana" w:eastAsia="Verdana" w:hAnsi="Verdana"/>
                <w:sz w:val="16"/>
                <w:szCs w:val="16"/>
                <w:color w:val="131313"/>
              </w:rPr>
              <w:t>—</w:t>
            </w:r>
          </w:p>
        </w:tc>
        <w:tc>
          <w:tcPr>
            <w:tcW w:w="180" w:type="dxa"/>
            <w:vAlign w:val="bottom"/>
          </w:tcPr>
          <w:p>
            <w:pPr>
              <w:spacing w:after="0"/>
              <w:rPr>
                <w:sz w:val="20"/>
                <w:szCs w:val="20"/>
                <w:color w:val="auto"/>
              </w:rPr>
            </w:pPr>
          </w:p>
        </w:tc>
        <w:tc>
          <w:tcPr>
            <w:tcW w:w="1260" w:type="dxa"/>
            <w:vAlign w:val="bottom"/>
          </w:tcPr>
          <w:p>
            <w:pPr>
              <w:jc w:val="right"/>
              <w:ind w:right="61"/>
              <w:spacing w:after="0"/>
              <w:rPr>
                <w:sz w:val="20"/>
                <w:szCs w:val="20"/>
                <w:color w:val="auto"/>
              </w:rPr>
            </w:pPr>
            <w:r>
              <w:rPr>
                <w:rFonts w:ascii="Verdana" w:cs="Verdana" w:eastAsia="Verdana" w:hAnsi="Verdana"/>
                <w:sz w:val="16"/>
                <w:szCs w:val="16"/>
                <w:color w:val="131313"/>
              </w:rPr>
              <w:t>—</w:t>
            </w:r>
          </w:p>
        </w:tc>
        <w:tc>
          <w:tcPr>
            <w:tcW w:w="20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Verdana" w:cs="Verdana" w:eastAsia="Verdana" w:hAnsi="Verdana"/>
                <w:sz w:val="16"/>
                <w:szCs w:val="16"/>
                <w:color w:val="131313"/>
              </w:rPr>
              <w:t>149,869</w:t>
            </w:r>
          </w:p>
        </w:tc>
        <w:tc>
          <w:tcPr>
            <w:tcW w:w="180" w:type="dxa"/>
            <w:vAlign w:val="bottom"/>
          </w:tcPr>
          <w:p>
            <w:pPr>
              <w:spacing w:after="0"/>
              <w:rPr>
                <w:sz w:val="20"/>
                <w:szCs w:val="20"/>
                <w:color w:val="auto"/>
              </w:rPr>
            </w:pPr>
          </w:p>
        </w:tc>
      </w:tr>
      <w:tr>
        <w:trPr>
          <w:trHeight w:val="236"/>
        </w:trPr>
        <w:tc>
          <w:tcPr>
            <w:tcW w:w="1160" w:type="dxa"/>
            <w:vAlign w:val="bottom"/>
          </w:tcPr>
          <w:p>
            <w:pPr>
              <w:spacing w:after="0"/>
              <w:rPr>
                <w:sz w:val="20"/>
                <w:szCs w:val="20"/>
                <w:color w:val="auto"/>
              </w:rPr>
            </w:pPr>
          </w:p>
        </w:tc>
        <w:tc>
          <w:tcPr>
            <w:tcW w:w="3140" w:type="dxa"/>
            <w:vAlign w:val="bottom"/>
          </w:tcPr>
          <w:p>
            <w:pPr>
              <w:ind w:left="40"/>
              <w:spacing w:after="0"/>
              <w:rPr>
                <w:sz w:val="20"/>
                <w:szCs w:val="20"/>
                <w:color w:val="auto"/>
              </w:rPr>
            </w:pPr>
            <w:r>
              <w:rPr>
                <w:rFonts w:ascii="Verdana" w:cs="Verdana" w:eastAsia="Verdana" w:hAnsi="Verdana"/>
                <w:sz w:val="16"/>
                <w:szCs w:val="16"/>
                <w:color w:val="auto"/>
              </w:rPr>
              <w:t>Realized loss on derivatives</w:t>
            </w:r>
          </w:p>
        </w:tc>
        <w:tc>
          <w:tcPr>
            <w:tcW w:w="74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Verdana" w:cs="Verdana" w:eastAsia="Verdana" w:hAnsi="Verdana"/>
                <w:sz w:val="16"/>
                <w:szCs w:val="16"/>
                <w:color w:val="131313"/>
              </w:rPr>
              <w:t>(9,575)</w:t>
            </w:r>
          </w:p>
        </w:tc>
        <w:tc>
          <w:tcPr>
            <w:tcW w:w="200" w:type="dxa"/>
            <w:vAlign w:val="bottom"/>
          </w:tcPr>
          <w:p>
            <w:pPr>
              <w:spacing w:after="0"/>
              <w:rPr>
                <w:sz w:val="20"/>
                <w:szCs w:val="20"/>
                <w:color w:val="auto"/>
              </w:rPr>
            </w:pPr>
          </w:p>
        </w:tc>
        <w:tc>
          <w:tcPr>
            <w:tcW w:w="1000" w:type="dxa"/>
            <w:vAlign w:val="bottom"/>
          </w:tcPr>
          <w:p>
            <w:pPr>
              <w:jc w:val="right"/>
              <w:ind w:right="22"/>
              <w:spacing w:after="0"/>
              <w:rPr>
                <w:sz w:val="20"/>
                <w:szCs w:val="20"/>
                <w:color w:val="auto"/>
              </w:rPr>
            </w:pPr>
            <w:r>
              <w:rPr>
                <w:rFonts w:ascii="Verdana" w:cs="Verdana" w:eastAsia="Verdana" w:hAnsi="Verdana"/>
                <w:sz w:val="16"/>
                <w:szCs w:val="16"/>
                <w:color w:val="131313"/>
              </w:rPr>
              <w:t>—</w:t>
            </w:r>
          </w:p>
        </w:tc>
        <w:tc>
          <w:tcPr>
            <w:tcW w:w="260" w:type="dxa"/>
            <w:vAlign w:val="bottom"/>
          </w:tcPr>
          <w:p>
            <w:pPr>
              <w:spacing w:after="0"/>
              <w:rPr>
                <w:sz w:val="20"/>
                <w:szCs w:val="20"/>
                <w:color w:val="auto"/>
              </w:rPr>
            </w:pPr>
          </w:p>
        </w:tc>
        <w:tc>
          <w:tcPr>
            <w:tcW w:w="1020" w:type="dxa"/>
            <w:vAlign w:val="bottom"/>
          </w:tcPr>
          <w:p>
            <w:pPr>
              <w:jc w:val="right"/>
              <w:ind w:right="62"/>
              <w:spacing w:after="0"/>
              <w:rPr>
                <w:sz w:val="20"/>
                <w:szCs w:val="20"/>
                <w:color w:val="auto"/>
              </w:rPr>
            </w:pPr>
            <w:r>
              <w:rPr>
                <w:rFonts w:ascii="Verdana" w:cs="Verdana" w:eastAsia="Verdana" w:hAnsi="Verdana"/>
                <w:sz w:val="16"/>
                <w:szCs w:val="16"/>
                <w:color w:val="131313"/>
              </w:rPr>
              <w:t>—</w:t>
            </w:r>
          </w:p>
        </w:tc>
        <w:tc>
          <w:tcPr>
            <w:tcW w:w="180" w:type="dxa"/>
            <w:vAlign w:val="bottom"/>
          </w:tcPr>
          <w:p>
            <w:pPr>
              <w:spacing w:after="0"/>
              <w:rPr>
                <w:sz w:val="20"/>
                <w:szCs w:val="20"/>
                <w:color w:val="auto"/>
              </w:rPr>
            </w:pPr>
          </w:p>
        </w:tc>
        <w:tc>
          <w:tcPr>
            <w:tcW w:w="1260" w:type="dxa"/>
            <w:vAlign w:val="bottom"/>
          </w:tcPr>
          <w:p>
            <w:pPr>
              <w:jc w:val="right"/>
              <w:ind w:right="61"/>
              <w:spacing w:after="0"/>
              <w:rPr>
                <w:sz w:val="20"/>
                <w:szCs w:val="20"/>
                <w:color w:val="auto"/>
              </w:rPr>
            </w:pPr>
            <w:r>
              <w:rPr>
                <w:rFonts w:ascii="Verdana" w:cs="Verdana" w:eastAsia="Verdana" w:hAnsi="Verdana"/>
                <w:sz w:val="16"/>
                <w:szCs w:val="16"/>
                <w:color w:val="131313"/>
              </w:rPr>
              <w:t>—</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Verdana" w:cs="Verdana" w:eastAsia="Verdana" w:hAnsi="Verdana"/>
                <w:sz w:val="16"/>
                <w:szCs w:val="16"/>
                <w:color w:val="131313"/>
                <w:w w:val="98"/>
              </w:rPr>
              <w:t>(9,575)</w:t>
            </w:r>
          </w:p>
        </w:tc>
        <w:tc>
          <w:tcPr>
            <w:tcW w:w="180" w:type="dxa"/>
            <w:vAlign w:val="bottom"/>
          </w:tcPr>
          <w:p>
            <w:pPr>
              <w:spacing w:after="0"/>
              <w:rPr>
                <w:sz w:val="20"/>
                <w:szCs w:val="20"/>
                <w:color w:val="auto"/>
              </w:rPr>
            </w:pPr>
          </w:p>
        </w:tc>
      </w:tr>
      <w:tr>
        <w:trPr>
          <w:trHeight w:val="236"/>
        </w:trPr>
        <w:tc>
          <w:tcPr>
            <w:tcW w:w="1160" w:type="dxa"/>
            <w:vAlign w:val="bottom"/>
          </w:tcPr>
          <w:p>
            <w:pPr>
              <w:spacing w:after="0"/>
              <w:rPr>
                <w:sz w:val="20"/>
                <w:szCs w:val="20"/>
                <w:color w:val="auto"/>
              </w:rPr>
            </w:pPr>
          </w:p>
        </w:tc>
        <w:tc>
          <w:tcPr>
            <w:tcW w:w="3140" w:type="dxa"/>
            <w:vAlign w:val="bottom"/>
          </w:tcPr>
          <w:p>
            <w:pPr>
              <w:ind w:left="40"/>
              <w:spacing w:after="0"/>
              <w:rPr>
                <w:sz w:val="20"/>
                <w:szCs w:val="20"/>
                <w:color w:val="auto"/>
              </w:rPr>
            </w:pPr>
            <w:r>
              <w:rPr>
                <w:rFonts w:ascii="Verdana" w:cs="Verdana" w:eastAsia="Verdana" w:hAnsi="Verdana"/>
                <w:sz w:val="16"/>
                <w:szCs w:val="16"/>
                <w:color w:val="auto"/>
              </w:rPr>
              <w:t>Unrealized loss on derivatives</w:t>
            </w:r>
          </w:p>
        </w:tc>
        <w:tc>
          <w:tcPr>
            <w:tcW w:w="74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Verdana" w:cs="Verdana" w:eastAsia="Verdana" w:hAnsi="Verdana"/>
                <w:sz w:val="16"/>
                <w:szCs w:val="16"/>
                <w:color w:val="131313"/>
              </w:rPr>
              <w:t>(1,261)</w:t>
            </w:r>
          </w:p>
        </w:tc>
        <w:tc>
          <w:tcPr>
            <w:tcW w:w="200" w:type="dxa"/>
            <w:vAlign w:val="bottom"/>
          </w:tcPr>
          <w:p>
            <w:pPr>
              <w:spacing w:after="0"/>
              <w:rPr>
                <w:sz w:val="20"/>
                <w:szCs w:val="20"/>
                <w:color w:val="auto"/>
              </w:rPr>
            </w:pPr>
          </w:p>
        </w:tc>
        <w:tc>
          <w:tcPr>
            <w:tcW w:w="1000" w:type="dxa"/>
            <w:vAlign w:val="bottom"/>
          </w:tcPr>
          <w:p>
            <w:pPr>
              <w:jc w:val="right"/>
              <w:ind w:right="22"/>
              <w:spacing w:after="0"/>
              <w:rPr>
                <w:sz w:val="20"/>
                <w:szCs w:val="20"/>
                <w:color w:val="auto"/>
              </w:rPr>
            </w:pPr>
            <w:r>
              <w:rPr>
                <w:rFonts w:ascii="Verdana" w:cs="Verdana" w:eastAsia="Verdana" w:hAnsi="Verdana"/>
                <w:sz w:val="16"/>
                <w:szCs w:val="16"/>
                <w:color w:val="131313"/>
              </w:rPr>
              <w:t>—</w:t>
            </w:r>
          </w:p>
        </w:tc>
        <w:tc>
          <w:tcPr>
            <w:tcW w:w="260" w:type="dxa"/>
            <w:vAlign w:val="bottom"/>
          </w:tcPr>
          <w:p>
            <w:pPr>
              <w:spacing w:after="0"/>
              <w:rPr>
                <w:sz w:val="20"/>
                <w:szCs w:val="20"/>
                <w:color w:val="auto"/>
              </w:rPr>
            </w:pPr>
          </w:p>
        </w:tc>
        <w:tc>
          <w:tcPr>
            <w:tcW w:w="1020" w:type="dxa"/>
            <w:vAlign w:val="bottom"/>
          </w:tcPr>
          <w:p>
            <w:pPr>
              <w:jc w:val="right"/>
              <w:ind w:right="62"/>
              <w:spacing w:after="0"/>
              <w:rPr>
                <w:sz w:val="20"/>
                <w:szCs w:val="20"/>
                <w:color w:val="auto"/>
              </w:rPr>
            </w:pPr>
            <w:r>
              <w:rPr>
                <w:rFonts w:ascii="Verdana" w:cs="Verdana" w:eastAsia="Verdana" w:hAnsi="Verdana"/>
                <w:sz w:val="16"/>
                <w:szCs w:val="16"/>
                <w:color w:val="131313"/>
              </w:rPr>
              <w:t>—</w:t>
            </w:r>
          </w:p>
        </w:tc>
        <w:tc>
          <w:tcPr>
            <w:tcW w:w="180" w:type="dxa"/>
            <w:vAlign w:val="bottom"/>
          </w:tcPr>
          <w:p>
            <w:pPr>
              <w:spacing w:after="0"/>
              <w:rPr>
                <w:sz w:val="20"/>
                <w:szCs w:val="20"/>
                <w:color w:val="auto"/>
              </w:rPr>
            </w:pPr>
          </w:p>
        </w:tc>
        <w:tc>
          <w:tcPr>
            <w:tcW w:w="1260" w:type="dxa"/>
            <w:vAlign w:val="bottom"/>
          </w:tcPr>
          <w:p>
            <w:pPr>
              <w:jc w:val="right"/>
              <w:ind w:right="61"/>
              <w:spacing w:after="0"/>
              <w:rPr>
                <w:sz w:val="20"/>
                <w:szCs w:val="20"/>
                <w:color w:val="auto"/>
              </w:rPr>
            </w:pPr>
            <w:r>
              <w:rPr>
                <w:rFonts w:ascii="Verdana" w:cs="Verdana" w:eastAsia="Verdana" w:hAnsi="Verdana"/>
                <w:sz w:val="16"/>
                <w:szCs w:val="16"/>
                <w:color w:val="131313"/>
              </w:rPr>
              <w:t>—</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Verdana" w:cs="Verdana" w:eastAsia="Verdana" w:hAnsi="Verdana"/>
                <w:sz w:val="16"/>
                <w:szCs w:val="16"/>
                <w:color w:val="131313"/>
                <w:w w:val="98"/>
              </w:rPr>
              <w:t>(1,261)</w:t>
            </w:r>
          </w:p>
        </w:tc>
        <w:tc>
          <w:tcPr>
            <w:tcW w:w="180" w:type="dxa"/>
            <w:vAlign w:val="bottom"/>
          </w:tcPr>
          <w:p>
            <w:pPr>
              <w:spacing w:after="0"/>
              <w:rPr>
                <w:sz w:val="20"/>
                <w:szCs w:val="20"/>
                <w:color w:val="auto"/>
              </w:rPr>
            </w:pPr>
          </w:p>
        </w:tc>
      </w:tr>
      <w:tr>
        <w:trPr>
          <w:trHeight w:val="261"/>
        </w:trPr>
        <w:tc>
          <w:tcPr>
            <w:tcW w:w="1160" w:type="dxa"/>
            <w:vAlign w:val="bottom"/>
          </w:tcPr>
          <w:p>
            <w:pPr>
              <w:spacing w:after="0"/>
              <w:rPr>
                <w:sz w:val="22"/>
                <w:szCs w:val="22"/>
                <w:color w:val="auto"/>
              </w:rPr>
            </w:pPr>
          </w:p>
        </w:tc>
        <w:tc>
          <w:tcPr>
            <w:tcW w:w="3140" w:type="dxa"/>
            <w:vAlign w:val="bottom"/>
          </w:tcPr>
          <w:p>
            <w:pPr>
              <w:ind w:left="40"/>
              <w:spacing w:after="0"/>
              <w:rPr>
                <w:sz w:val="20"/>
                <w:szCs w:val="20"/>
                <w:color w:val="auto"/>
              </w:rPr>
            </w:pPr>
            <w:r>
              <w:rPr>
                <w:rFonts w:ascii="Verdana" w:cs="Verdana" w:eastAsia="Verdana" w:hAnsi="Verdana"/>
                <w:sz w:val="16"/>
                <w:szCs w:val="16"/>
                <w:color w:val="auto"/>
              </w:rPr>
              <w:t>Operating expense</w:t>
            </w:r>
            <w:r>
              <w:rPr>
                <w:rFonts w:ascii="Verdana" w:cs="Verdana" w:eastAsia="Verdana" w:hAnsi="Verdana"/>
                <w:sz w:val="20"/>
                <w:szCs w:val="20"/>
                <w:color w:val="auto"/>
                <w:vertAlign w:val="superscript"/>
              </w:rPr>
              <w:t>(1)</w:t>
            </w:r>
          </w:p>
        </w:tc>
        <w:tc>
          <w:tcPr>
            <w:tcW w:w="740" w:type="dxa"/>
            <w:vAlign w:val="bottom"/>
          </w:tcPr>
          <w:p>
            <w:pPr>
              <w:spacing w:after="0"/>
              <w:rPr>
                <w:sz w:val="22"/>
                <w:szCs w:val="22"/>
                <w:color w:val="auto"/>
              </w:rPr>
            </w:pPr>
          </w:p>
        </w:tc>
        <w:tc>
          <w:tcPr>
            <w:tcW w:w="1060" w:type="dxa"/>
            <w:vAlign w:val="bottom"/>
          </w:tcPr>
          <w:p>
            <w:pPr>
              <w:jc w:val="right"/>
              <w:ind w:right="62"/>
              <w:spacing w:after="0"/>
              <w:rPr>
                <w:sz w:val="20"/>
                <w:szCs w:val="20"/>
                <w:color w:val="auto"/>
              </w:rPr>
            </w:pPr>
            <w:r>
              <w:rPr>
                <w:rFonts w:ascii="Verdana" w:cs="Verdana" w:eastAsia="Verdana" w:hAnsi="Verdana"/>
                <w:sz w:val="16"/>
                <w:szCs w:val="16"/>
                <w:color w:val="131313"/>
              </w:rPr>
              <w:t>347,655</w:t>
            </w:r>
          </w:p>
        </w:tc>
        <w:tc>
          <w:tcPr>
            <w:tcW w:w="200" w:type="dxa"/>
            <w:vAlign w:val="bottom"/>
          </w:tcPr>
          <w:p>
            <w:pPr>
              <w:spacing w:after="0"/>
              <w:rPr>
                <w:sz w:val="22"/>
                <w:szCs w:val="22"/>
                <w:color w:val="auto"/>
              </w:rPr>
            </w:pPr>
          </w:p>
        </w:tc>
        <w:tc>
          <w:tcPr>
            <w:tcW w:w="1000" w:type="dxa"/>
            <w:vAlign w:val="bottom"/>
          </w:tcPr>
          <w:p>
            <w:pPr>
              <w:jc w:val="right"/>
              <w:ind w:right="22"/>
              <w:spacing w:after="0"/>
              <w:rPr>
                <w:sz w:val="20"/>
                <w:szCs w:val="20"/>
                <w:color w:val="auto"/>
              </w:rPr>
            </w:pPr>
            <w:r>
              <w:rPr>
                <w:rFonts w:ascii="Verdana" w:cs="Verdana" w:eastAsia="Verdana" w:hAnsi="Verdana"/>
                <w:sz w:val="16"/>
                <w:szCs w:val="16"/>
                <w:color w:val="131313"/>
              </w:rPr>
              <w:t>124,021</w:t>
            </w:r>
          </w:p>
        </w:tc>
        <w:tc>
          <w:tcPr>
            <w:tcW w:w="260" w:type="dxa"/>
            <w:vAlign w:val="bottom"/>
          </w:tcPr>
          <w:p>
            <w:pPr>
              <w:spacing w:after="0"/>
              <w:rPr>
                <w:sz w:val="22"/>
                <w:szCs w:val="22"/>
                <w:color w:val="auto"/>
              </w:rPr>
            </w:pPr>
          </w:p>
        </w:tc>
        <w:tc>
          <w:tcPr>
            <w:tcW w:w="1020" w:type="dxa"/>
            <w:vAlign w:val="bottom"/>
          </w:tcPr>
          <w:p>
            <w:pPr>
              <w:jc w:val="right"/>
              <w:ind w:right="62"/>
              <w:spacing w:after="0"/>
              <w:rPr>
                <w:sz w:val="20"/>
                <w:szCs w:val="20"/>
                <w:color w:val="auto"/>
              </w:rPr>
            </w:pPr>
            <w:r>
              <w:rPr>
                <w:rFonts w:ascii="Verdana" w:cs="Verdana" w:eastAsia="Verdana" w:hAnsi="Verdana"/>
                <w:sz w:val="16"/>
                <w:szCs w:val="16"/>
                <w:color w:val="131313"/>
              </w:rPr>
              <w:t>—</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6"/>
                <w:szCs w:val="16"/>
                <w:color w:val="131313"/>
              </w:rPr>
              <w:t>(115,134)</w:t>
            </w:r>
          </w:p>
        </w:tc>
        <w:tc>
          <w:tcPr>
            <w:tcW w:w="200" w:type="dxa"/>
            <w:vAlign w:val="bottom"/>
          </w:tcPr>
          <w:p>
            <w:pPr>
              <w:spacing w:after="0"/>
              <w:rPr>
                <w:sz w:val="22"/>
                <w:szCs w:val="22"/>
                <w:color w:val="auto"/>
              </w:rPr>
            </w:pPr>
          </w:p>
        </w:tc>
        <w:tc>
          <w:tcPr>
            <w:tcW w:w="1100" w:type="dxa"/>
            <w:vAlign w:val="bottom"/>
            <w:gridSpan w:val="3"/>
          </w:tcPr>
          <w:p>
            <w:pPr>
              <w:jc w:val="right"/>
              <w:spacing w:after="0"/>
              <w:rPr>
                <w:sz w:val="20"/>
                <w:szCs w:val="20"/>
                <w:color w:val="auto"/>
              </w:rPr>
            </w:pPr>
            <w:r>
              <w:rPr>
                <w:rFonts w:ascii="Verdana" w:cs="Verdana" w:eastAsia="Verdana" w:hAnsi="Verdana"/>
                <w:sz w:val="16"/>
                <w:szCs w:val="16"/>
                <w:color w:val="131313"/>
              </w:rPr>
              <w:t>356,542</w:t>
            </w:r>
          </w:p>
        </w:tc>
        <w:tc>
          <w:tcPr>
            <w:tcW w:w="180" w:type="dxa"/>
            <w:vAlign w:val="bottom"/>
          </w:tcPr>
          <w:p>
            <w:pPr>
              <w:spacing w:after="0"/>
              <w:rPr>
                <w:sz w:val="22"/>
                <w:szCs w:val="22"/>
                <w:color w:val="auto"/>
              </w:rPr>
            </w:pPr>
          </w:p>
        </w:tc>
      </w:tr>
      <w:tr>
        <w:trPr>
          <w:trHeight w:val="223"/>
        </w:trPr>
        <w:tc>
          <w:tcPr>
            <w:tcW w:w="1160" w:type="dxa"/>
            <w:vAlign w:val="bottom"/>
          </w:tcPr>
          <w:p>
            <w:pPr>
              <w:spacing w:after="0"/>
              <w:rPr>
                <w:sz w:val="19"/>
                <w:szCs w:val="19"/>
                <w:color w:val="auto"/>
              </w:rPr>
            </w:pPr>
          </w:p>
        </w:tc>
        <w:tc>
          <w:tcPr>
            <w:tcW w:w="3140" w:type="dxa"/>
            <w:vAlign w:val="bottom"/>
            <w:tcBorders>
              <w:bottom w:val="single" w:sz="8" w:color="auto"/>
            </w:tcBorders>
          </w:tcPr>
          <w:p>
            <w:pPr>
              <w:ind w:left="40"/>
              <w:spacing w:after="0" w:line="222" w:lineRule="exact"/>
              <w:rPr>
                <w:sz w:val="20"/>
                <w:szCs w:val="20"/>
                <w:color w:val="auto"/>
              </w:rPr>
            </w:pPr>
            <w:r>
              <w:rPr>
                <w:rFonts w:ascii="Verdana" w:cs="Verdana" w:eastAsia="Verdana" w:hAnsi="Verdana"/>
                <w:sz w:val="16"/>
                <w:szCs w:val="16"/>
                <w:color w:val="auto"/>
              </w:rPr>
              <w:t>Other expenses</w:t>
            </w:r>
            <w:r>
              <w:rPr>
                <w:rFonts w:ascii="Verdana" w:cs="Verdana" w:eastAsia="Verdana" w:hAnsi="Verdana"/>
                <w:sz w:val="20"/>
                <w:szCs w:val="20"/>
                <w:color w:val="auto"/>
                <w:vertAlign w:val="superscript"/>
              </w:rPr>
              <w:t>(2)</w:t>
            </w:r>
          </w:p>
        </w:tc>
        <w:tc>
          <w:tcPr>
            <w:tcW w:w="7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2"/>
              <w:spacing w:after="0"/>
              <w:rPr>
                <w:sz w:val="20"/>
                <w:szCs w:val="20"/>
                <w:color w:val="auto"/>
              </w:rPr>
            </w:pPr>
            <w:r>
              <w:rPr>
                <w:rFonts w:ascii="Verdana" w:cs="Verdana" w:eastAsia="Verdana" w:hAnsi="Verdana"/>
                <w:sz w:val="16"/>
                <w:szCs w:val="16"/>
                <w:color w:val="131313"/>
              </w:rPr>
              <w:t>1,070,302</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2"/>
              <w:spacing w:after="0"/>
              <w:rPr>
                <w:sz w:val="20"/>
                <w:szCs w:val="20"/>
                <w:color w:val="auto"/>
              </w:rPr>
            </w:pPr>
            <w:r>
              <w:rPr>
                <w:rFonts w:ascii="Verdana" w:cs="Verdana" w:eastAsia="Verdana" w:hAnsi="Verdana"/>
                <w:sz w:val="16"/>
                <w:szCs w:val="16"/>
                <w:color w:val="131313"/>
              </w:rPr>
              <w:t>180,903</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62"/>
              <w:spacing w:after="0"/>
              <w:rPr>
                <w:sz w:val="20"/>
                <w:szCs w:val="20"/>
                <w:color w:val="auto"/>
              </w:rPr>
            </w:pPr>
            <w:r>
              <w:rPr>
                <w:rFonts w:ascii="Verdana" w:cs="Verdana" w:eastAsia="Verdana" w:hAnsi="Verdana"/>
                <w:sz w:val="16"/>
                <w:szCs w:val="16"/>
                <w:color w:val="131313"/>
              </w:rPr>
              <w:t>99,362</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131313"/>
              </w:rPr>
              <w:t>(109,646)</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6"/>
                <w:szCs w:val="16"/>
                <w:color w:val="131313"/>
              </w:rPr>
              <w:t>1,240,921</w:t>
            </w:r>
          </w:p>
        </w:tc>
        <w:tc>
          <w:tcPr>
            <w:tcW w:w="180" w:type="dxa"/>
            <w:vAlign w:val="bottom"/>
          </w:tcPr>
          <w:p>
            <w:pPr>
              <w:spacing w:after="0"/>
              <w:rPr>
                <w:sz w:val="19"/>
                <w:szCs w:val="19"/>
                <w:color w:val="auto"/>
              </w:rPr>
            </w:pPr>
          </w:p>
        </w:tc>
      </w:tr>
      <w:tr>
        <w:trPr>
          <w:trHeight w:val="211"/>
        </w:trPr>
        <w:tc>
          <w:tcPr>
            <w:tcW w:w="1160" w:type="dxa"/>
            <w:vAlign w:val="bottom"/>
          </w:tcPr>
          <w:p>
            <w:pPr>
              <w:spacing w:after="0"/>
              <w:rPr>
                <w:sz w:val="18"/>
                <w:szCs w:val="18"/>
                <w:color w:val="auto"/>
              </w:rPr>
            </w:pPr>
          </w:p>
        </w:tc>
        <w:tc>
          <w:tcPr>
            <w:tcW w:w="3140" w:type="dxa"/>
            <w:vAlign w:val="bottom"/>
            <w:tcBorders>
              <w:bottom w:val="single" w:sz="8" w:color="214E93"/>
            </w:tcBorders>
          </w:tcPr>
          <w:p>
            <w:pPr>
              <w:ind w:left="40"/>
              <w:spacing w:after="0" w:line="211" w:lineRule="exact"/>
              <w:rPr>
                <w:sz w:val="20"/>
                <w:szCs w:val="20"/>
                <w:color w:val="auto"/>
              </w:rPr>
            </w:pPr>
            <w:r>
              <w:rPr>
                <w:rFonts w:ascii="Verdana" w:cs="Verdana" w:eastAsia="Verdana" w:hAnsi="Verdana"/>
                <w:sz w:val="16"/>
                <w:szCs w:val="16"/>
                <w:color w:val="auto"/>
              </w:rPr>
              <w:t>Operating income</w:t>
            </w:r>
            <w:r>
              <w:rPr>
                <w:rFonts w:ascii="Verdana" w:cs="Verdana" w:eastAsia="Verdana" w:hAnsi="Verdana"/>
                <w:sz w:val="20"/>
                <w:szCs w:val="20"/>
                <w:color w:val="auto"/>
                <w:vertAlign w:val="superscript"/>
              </w:rPr>
              <w:t>(3)</w:t>
            </w:r>
          </w:p>
        </w:tc>
        <w:tc>
          <w:tcPr>
            <w:tcW w:w="740" w:type="dxa"/>
            <w:vAlign w:val="bottom"/>
            <w:tcBorders>
              <w:bottom w:val="single" w:sz="8" w:color="214E93"/>
            </w:tcBorders>
          </w:tcPr>
          <w:p>
            <w:pPr>
              <w:ind w:left="620"/>
              <w:spacing w:after="0"/>
              <w:rPr>
                <w:sz w:val="20"/>
                <w:szCs w:val="20"/>
                <w:color w:val="auto"/>
              </w:rPr>
            </w:pPr>
            <w:r>
              <w:rPr>
                <w:rFonts w:ascii="Verdana" w:cs="Verdana" w:eastAsia="Verdana" w:hAnsi="Verdana"/>
                <w:sz w:val="16"/>
                <w:szCs w:val="16"/>
                <w:color w:val="auto"/>
                <w:w w:val="97"/>
              </w:rPr>
              <w:t>$</w:t>
            </w:r>
          </w:p>
        </w:tc>
        <w:tc>
          <w:tcPr>
            <w:tcW w:w="1060" w:type="dxa"/>
            <w:vAlign w:val="bottom"/>
            <w:tcBorders>
              <w:bottom w:val="single" w:sz="8" w:color="214E93"/>
            </w:tcBorders>
          </w:tcPr>
          <w:p>
            <w:pPr>
              <w:jc w:val="right"/>
              <w:ind w:right="62"/>
              <w:spacing w:after="0"/>
              <w:rPr>
                <w:sz w:val="20"/>
                <w:szCs w:val="20"/>
                <w:color w:val="auto"/>
              </w:rPr>
            </w:pPr>
            <w:r>
              <w:rPr>
                <w:rFonts w:ascii="Verdana" w:cs="Verdana" w:eastAsia="Verdana" w:hAnsi="Verdana"/>
                <w:sz w:val="16"/>
                <w:szCs w:val="16"/>
                <w:color w:val="auto"/>
              </w:rPr>
              <w:t>1,133,541</w:t>
            </w:r>
          </w:p>
        </w:tc>
        <w:tc>
          <w:tcPr>
            <w:tcW w:w="20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w:t>
            </w:r>
          </w:p>
        </w:tc>
        <w:tc>
          <w:tcPr>
            <w:tcW w:w="1000" w:type="dxa"/>
            <w:vAlign w:val="bottom"/>
            <w:tcBorders>
              <w:bottom w:val="single" w:sz="8" w:color="214E93"/>
            </w:tcBorders>
          </w:tcPr>
          <w:p>
            <w:pPr>
              <w:jc w:val="right"/>
              <w:ind w:right="22"/>
              <w:spacing w:after="0"/>
              <w:rPr>
                <w:sz w:val="20"/>
                <w:szCs w:val="20"/>
                <w:color w:val="auto"/>
              </w:rPr>
            </w:pPr>
            <w:r>
              <w:rPr>
                <w:rFonts w:ascii="Verdana" w:cs="Verdana" w:eastAsia="Verdana" w:hAnsi="Verdana"/>
                <w:sz w:val="16"/>
                <w:szCs w:val="16"/>
                <w:color w:val="auto"/>
              </w:rPr>
              <w:t>175,143</w:t>
            </w:r>
          </w:p>
        </w:tc>
        <w:tc>
          <w:tcPr>
            <w:tcW w:w="26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w:t>
            </w:r>
          </w:p>
        </w:tc>
        <w:tc>
          <w:tcPr>
            <w:tcW w:w="1020" w:type="dxa"/>
            <w:vAlign w:val="bottom"/>
            <w:tcBorders>
              <w:bottom w:val="single" w:sz="8" w:color="214E93"/>
            </w:tcBorders>
          </w:tcPr>
          <w:p>
            <w:pPr>
              <w:jc w:val="right"/>
              <w:ind w:right="2"/>
              <w:spacing w:after="0"/>
              <w:rPr>
                <w:sz w:val="20"/>
                <w:szCs w:val="20"/>
                <w:color w:val="auto"/>
              </w:rPr>
            </w:pPr>
            <w:r>
              <w:rPr>
                <w:rFonts w:ascii="Verdana" w:cs="Verdana" w:eastAsia="Verdana" w:hAnsi="Verdana"/>
                <w:sz w:val="16"/>
                <w:szCs w:val="16"/>
                <w:color w:val="auto"/>
              </w:rPr>
              <w:t>(99,362)</w:t>
            </w:r>
          </w:p>
        </w:tc>
        <w:tc>
          <w:tcPr>
            <w:tcW w:w="18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w:t>
            </w:r>
          </w:p>
        </w:tc>
        <w:tc>
          <w:tcPr>
            <w:tcW w:w="1260" w:type="dxa"/>
            <w:vAlign w:val="bottom"/>
            <w:tcBorders>
              <w:bottom w:val="single" w:sz="8" w:color="214E93"/>
            </w:tcBorders>
          </w:tcPr>
          <w:p>
            <w:pPr>
              <w:jc w:val="right"/>
              <w:ind w:right="61"/>
              <w:spacing w:after="0"/>
              <w:rPr>
                <w:sz w:val="20"/>
                <w:szCs w:val="20"/>
                <w:color w:val="auto"/>
              </w:rPr>
            </w:pPr>
            <w:r>
              <w:rPr>
                <w:rFonts w:ascii="Verdana" w:cs="Verdana" w:eastAsia="Verdana" w:hAnsi="Verdana"/>
                <w:sz w:val="16"/>
                <w:szCs w:val="16"/>
                <w:color w:val="auto"/>
              </w:rPr>
              <w:t>—</w:t>
            </w:r>
          </w:p>
        </w:tc>
        <w:tc>
          <w:tcPr>
            <w:tcW w:w="20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w:t>
            </w:r>
          </w:p>
        </w:tc>
        <w:tc>
          <w:tcPr>
            <w:tcW w:w="1100" w:type="dxa"/>
            <w:vAlign w:val="bottom"/>
            <w:tcBorders>
              <w:bottom w:val="single" w:sz="8" w:color="214E93"/>
            </w:tcBorders>
            <w:gridSpan w:val="3"/>
          </w:tcPr>
          <w:p>
            <w:pPr>
              <w:jc w:val="right"/>
              <w:spacing w:after="0"/>
              <w:rPr>
                <w:sz w:val="20"/>
                <w:szCs w:val="20"/>
                <w:color w:val="auto"/>
              </w:rPr>
            </w:pPr>
            <w:r>
              <w:rPr>
                <w:rFonts w:ascii="Verdana" w:cs="Verdana" w:eastAsia="Verdana" w:hAnsi="Verdana"/>
                <w:sz w:val="16"/>
                <w:szCs w:val="16"/>
                <w:color w:val="auto"/>
              </w:rPr>
              <w:t>1,209,322</w:t>
            </w:r>
          </w:p>
        </w:tc>
        <w:tc>
          <w:tcPr>
            <w:tcW w:w="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40" w:type="dxa"/>
            <w:vAlign w:val="bottom"/>
            <w:tcBorders>
              <w:bottom w:val="single" w:sz="8" w:color="214E93"/>
            </w:tcBorders>
          </w:tcPr>
          <w:p>
            <w:pPr>
              <w:ind w:left="40"/>
              <w:spacing w:after="0" w:line="216" w:lineRule="exact"/>
              <w:rPr>
                <w:sz w:val="20"/>
                <w:szCs w:val="20"/>
                <w:color w:val="auto"/>
              </w:rPr>
            </w:pPr>
            <w:r>
              <w:rPr>
                <w:rFonts w:ascii="Verdana" w:cs="Verdana" w:eastAsia="Verdana" w:hAnsi="Verdana"/>
                <w:sz w:val="16"/>
                <w:szCs w:val="16"/>
                <w:color w:val="auto"/>
              </w:rPr>
              <w:t>Total assets</w:t>
            </w:r>
            <w:r>
              <w:rPr>
                <w:rFonts w:ascii="Verdana" w:cs="Verdana" w:eastAsia="Verdana" w:hAnsi="Verdana"/>
                <w:sz w:val="20"/>
                <w:szCs w:val="20"/>
                <w:color w:val="auto"/>
                <w:vertAlign w:val="superscript"/>
              </w:rPr>
              <w:t>(4)</w:t>
            </w:r>
          </w:p>
        </w:tc>
        <w:tc>
          <w:tcPr>
            <w:tcW w:w="740" w:type="dxa"/>
            <w:vAlign w:val="bottom"/>
            <w:tcBorders>
              <w:bottom w:val="single" w:sz="8" w:color="214E93"/>
            </w:tcBorders>
          </w:tcPr>
          <w:p>
            <w:pPr>
              <w:ind w:left="620"/>
              <w:spacing w:after="0"/>
              <w:rPr>
                <w:sz w:val="20"/>
                <w:szCs w:val="20"/>
                <w:color w:val="auto"/>
              </w:rPr>
            </w:pPr>
            <w:r>
              <w:rPr>
                <w:rFonts w:ascii="Verdana" w:cs="Verdana" w:eastAsia="Verdana" w:hAnsi="Verdana"/>
                <w:sz w:val="16"/>
                <w:szCs w:val="16"/>
                <w:color w:val="auto"/>
                <w:w w:val="97"/>
              </w:rPr>
              <w:t>$</w:t>
            </w:r>
          </w:p>
        </w:tc>
        <w:tc>
          <w:tcPr>
            <w:tcW w:w="1060" w:type="dxa"/>
            <w:vAlign w:val="bottom"/>
            <w:tcBorders>
              <w:bottom w:val="single" w:sz="8" w:color="214E93"/>
            </w:tcBorders>
          </w:tcPr>
          <w:p>
            <w:pPr>
              <w:jc w:val="right"/>
              <w:ind w:right="62"/>
              <w:spacing w:after="0"/>
              <w:rPr>
                <w:sz w:val="20"/>
                <w:szCs w:val="20"/>
                <w:color w:val="auto"/>
              </w:rPr>
            </w:pPr>
            <w:r>
              <w:rPr>
                <w:rFonts w:ascii="Verdana" w:cs="Verdana" w:eastAsia="Verdana" w:hAnsi="Verdana"/>
                <w:sz w:val="16"/>
                <w:szCs w:val="16"/>
                <w:color w:val="auto"/>
              </w:rPr>
              <w:t>6,385,762</w:t>
            </w:r>
          </w:p>
        </w:tc>
        <w:tc>
          <w:tcPr>
            <w:tcW w:w="20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w:t>
            </w:r>
          </w:p>
        </w:tc>
        <w:tc>
          <w:tcPr>
            <w:tcW w:w="1000" w:type="dxa"/>
            <w:vAlign w:val="bottom"/>
            <w:tcBorders>
              <w:bottom w:val="single" w:sz="8" w:color="214E93"/>
            </w:tcBorders>
          </w:tcPr>
          <w:p>
            <w:pPr>
              <w:jc w:val="right"/>
              <w:ind w:right="22"/>
              <w:spacing w:after="0"/>
              <w:rPr>
                <w:sz w:val="20"/>
                <w:szCs w:val="20"/>
                <w:color w:val="auto"/>
              </w:rPr>
            </w:pPr>
            <w:r>
              <w:rPr>
                <w:rFonts w:ascii="Verdana" w:cs="Verdana" w:eastAsia="Verdana" w:hAnsi="Verdana"/>
                <w:sz w:val="16"/>
                <w:szCs w:val="16"/>
                <w:color w:val="auto"/>
              </w:rPr>
              <w:t>1,257,988</w:t>
            </w:r>
          </w:p>
        </w:tc>
        <w:tc>
          <w:tcPr>
            <w:tcW w:w="26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w:t>
            </w:r>
          </w:p>
        </w:tc>
        <w:tc>
          <w:tcPr>
            <w:tcW w:w="1020" w:type="dxa"/>
            <w:vAlign w:val="bottom"/>
            <w:tcBorders>
              <w:bottom w:val="single" w:sz="8" w:color="214E93"/>
            </w:tcBorders>
          </w:tcPr>
          <w:p>
            <w:pPr>
              <w:jc w:val="right"/>
              <w:ind w:right="62"/>
              <w:spacing w:after="0"/>
              <w:rPr>
                <w:sz w:val="20"/>
                <w:szCs w:val="20"/>
                <w:color w:val="auto"/>
              </w:rPr>
            </w:pPr>
            <w:r>
              <w:rPr>
                <w:rFonts w:ascii="Verdana" w:cs="Verdana" w:eastAsia="Verdana" w:hAnsi="Verdana"/>
                <w:sz w:val="16"/>
                <w:szCs w:val="16"/>
                <w:color w:val="auto"/>
              </w:rPr>
              <w:t>83,246</w:t>
            </w:r>
          </w:p>
        </w:tc>
        <w:tc>
          <w:tcPr>
            <w:tcW w:w="18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w:t>
            </w:r>
          </w:p>
        </w:tc>
        <w:tc>
          <w:tcPr>
            <w:tcW w:w="1260" w:type="dxa"/>
            <w:vAlign w:val="bottom"/>
            <w:tcBorders>
              <w:bottom w:val="single" w:sz="8" w:color="214E93"/>
            </w:tcBorders>
          </w:tcPr>
          <w:p>
            <w:pPr>
              <w:jc w:val="right"/>
              <w:ind w:right="61"/>
              <w:spacing w:after="0"/>
              <w:rPr>
                <w:sz w:val="20"/>
                <w:szCs w:val="20"/>
                <w:color w:val="auto"/>
              </w:rPr>
            </w:pPr>
            <w:r>
              <w:rPr>
                <w:rFonts w:ascii="Verdana" w:cs="Verdana" w:eastAsia="Verdana" w:hAnsi="Verdana"/>
                <w:sz w:val="16"/>
                <w:szCs w:val="16"/>
                <w:color w:val="auto"/>
              </w:rPr>
              <w:t>—</w:t>
            </w:r>
          </w:p>
        </w:tc>
        <w:tc>
          <w:tcPr>
            <w:tcW w:w="20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w:t>
            </w:r>
          </w:p>
        </w:tc>
        <w:tc>
          <w:tcPr>
            <w:tcW w:w="1100" w:type="dxa"/>
            <w:vAlign w:val="bottom"/>
            <w:tcBorders>
              <w:bottom w:val="single" w:sz="8" w:color="214E93"/>
            </w:tcBorders>
            <w:gridSpan w:val="3"/>
          </w:tcPr>
          <w:p>
            <w:pPr>
              <w:jc w:val="right"/>
              <w:spacing w:after="0"/>
              <w:rPr>
                <w:sz w:val="20"/>
                <w:szCs w:val="20"/>
                <w:color w:val="auto"/>
              </w:rPr>
            </w:pPr>
            <w:r>
              <w:rPr>
                <w:rFonts w:ascii="Verdana" w:cs="Verdana" w:eastAsia="Verdana" w:hAnsi="Verdana"/>
                <w:sz w:val="16"/>
                <w:szCs w:val="16"/>
                <w:color w:val="auto"/>
              </w:rPr>
              <w:t>7,726,996</w:t>
            </w:r>
          </w:p>
        </w:tc>
        <w:tc>
          <w:tcPr>
            <w:tcW w:w="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40" w:type="dxa"/>
            <w:vAlign w:val="bottom"/>
            <w:tcBorders>
              <w:bottom w:val="single" w:sz="8" w:color="214E93"/>
            </w:tcBorders>
          </w:tcPr>
          <w:p>
            <w:pPr>
              <w:ind w:left="40"/>
              <w:spacing w:after="0" w:line="216" w:lineRule="exact"/>
              <w:rPr>
                <w:sz w:val="20"/>
                <w:szCs w:val="20"/>
                <w:color w:val="auto"/>
              </w:rPr>
            </w:pPr>
            <w:r>
              <w:rPr>
                <w:rFonts w:ascii="Verdana" w:cs="Verdana" w:eastAsia="Verdana" w:hAnsi="Verdana"/>
                <w:sz w:val="16"/>
                <w:szCs w:val="16"/>
                <w:color w:val="auto"/>
              </w:rPr>
              <w:t>Capital expenditures</w:t>
            </w:r>
            <w:r>
              <w:rPr>
                <w:rFonts w:ascii="Verdana" w:cs="Verdana" w:eastAsia="Verdana" w:hAnsi="Verdana"/>
                <w:sz w:val="20"/>
                <w:szCs w:val="20"/>
                <w:color w:val="auto"/>
                <w:vertAlign w:val="superscript"/>
              </w:rPr>
              <w:t>(5)</w:t>
            </w:r>
          </w:p>
        </w:tc>
        <w:tc>
          <w:tcPr>
            <w:tcW w:w="740" w:type="dxa"/>
            <w:vAlign w:val="bottom"/>
            <w:tcBorders>
              <w:bottom w:val="single" w:sz="8" w:color="214E93"/>
            </w:tcBorders>
          </w:tcPr>
          <w:p>
            <w:pPr>
              <w:ind w:left="620"/>
              <w:spacing w:after="0"/>
              <w:rPr>
                <w:sz w:val="20"/>
                <w:szCs w:val="20"/>
                <w:color w:val="auto"/>
              </w:rPr>
            </w:pPr>
            <w:r>
              <w:rPr>
                <w:rFonts w:ascii="Verdana" w:cs="Verdana" w:eastAsia="Verdana" w:hAnsi="Verdana"/>
                <w:sz w:val="16"/>
                <w:szCs w:val="16"/>
                <w:color w:val="auto"/>
                <w:w w:val="97"/>
              </w:rPr>
              <w:t>$</w:t>
            </w:r>
          </w:p>
        </w:tc>
        <w:tc>
          <w:tcPr>
            <w:tcW w:w="1060" w:type="dxa"/>
            <w:vAlign w:val="bottom"/>
            <w:tcBorders>
              <w:bottom w:val="single" w:sz="8" w:color="214E93"/>
            </w:tcBorders>
          </w:tcPr>
          <w:p>
            <w:pPr>
              <w:jc w:val="right"/>
              <w:ind w:right="62"/>
              <w:spacing w:after="0"/>
              <w:rPr>
                <w:sz w:val="20"/>
                <w:szCs w:val="20"/>
                <w:color w:val="auto"/>
              </w:rPr>
            </w:pPr>
            <w:r>
              <w:rPr>
                <w:rFonts w:ascii="Verdana" w:cs="Verdana" w:eastAsia="Verdana" w:hAnsi="Verdana"/>
                <w:sz w:val="16"/>
                <w:szCs w:val="16"/>
                <w:color w:val="auto"/>
              </w:rPr>
              <w:t>2,970,230</w:t>
            </w:r>
          </w:p>
        </w:tc>
        <w:tc>
          <w:tcPr>
            <w:tcW w:w="20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w:t>
            </w:r>
          </w:p>
        </w:tc>
        <w:tc>
          <w:tcPr>
            <w:tcW w:w="1000" w:type="dxa"/>
            <w:vAlign w:val="bottom"/>
            <w:tcBorders>
              <w:bottom w:val="single" w:sz="8" w:color="214E93"/>
            </w:tcBorders>
          </w:tcPr>
          <w:p>
            <w:pPr>
              <w:jc w:val="right"/>
              <w:ind w:right="22"/>
              <w:spacing w:after="0"/>
              <w:rPr>
                <w:sz w:val="20"/>
                <w:szCs w:val="20"/>
                <w:color w:val="auto"/>
              </w:rPr>
            </w:pPr>
            <w:r>
              <w:rPr>
                <w:rFonts w:ascii="Verdana" w:cs="Verdana" w:eastAsia="Verdana" w:hAnsi="Verdana"/>
                <w:sz w:val="16"/>
                <w:szCs w:val="16"/>
                <w:color w:val="auto"/>
              </w:rPr>
              <w:t>254,393</w:t>
            </w:r>
          </w:p>
        </w:tc>
        <w:tc>
          <w:tcPr>
            <w:tcW w:w="26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w:t>
            </w:r>
          </w:p>
        </w:tc>
        <w:tc>
          <w:tcPr>
            <w:tcW w:w="1020" w:type="dxa"/>
            <w:vAlign w:val="bottom"/>
            <w:tcBorders>
              <w:bottom w:val="single" w:sz="8" w:color="214E93"/>
            </w:tcBorders>
          </w:tcPr>
          <w:p>
            <w:pPr>
              <w:jc w:val="right"/>
              <w:ind w:right="62"/>
              <w:spacing w:after="0"/>
              <w:rPr>
                <w:sz w:val="20"/>
                <w:szCs w:val="20"/>
                <w:color w:val="auto"/>
              </w:rPr>
            </w:pPr>
            <w:r>
              <w:rPr>
                <w:rFonts w:ascii="Verdana" w:cs="Verdana" w:eastAsia="Verdana" w:hAnsi="Verdana"/>
                <w:sz w:val="16"/>
                <w:szCs w:val="16"/>
                <w:color w:val="auto"/>
              </w:rPr>
              <w:t>3,636</w:t>
            </w:r>
          </w:p>
        </w:tc>
        <w:tc>
          <w:tcPr>
            <w:tcW w:w="18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w:t>
            </w:r>
          </w:p>
        </w:tc>
        <w:tc>
          <w:tcPr>
            <w:tcW w:w="1260" w:type="dxa"/>
            <w:vAlign w:val="bottom"/>
            <w:tcBorders>
              <w:bottom w:val="single" w:sz="8" w:color="214E93"/>
            </w:tcBorders>
          </w:tcPr>
          <w:p>
            <w:pPr>
              <w:jc w:val="right"/>
              <w:ind w:right="61"/>
              <w:spacing w:after="0"/>
              <w:rPr>
                <w:sz w:val="20"/>
                <w:szCs w:val="20"/>
                <w:color w:val="auto"/>
              </w:rPr>
            </w:pPr>
            <w:r>
              <w:rPr>
                <w:rFonts w:ascii="Verdana" w:cs="Verdana" w:eastAsia="Verdana" w:hAnsi="Verdana"/>
                <w:sz w:val="16"/>
                <w:szCs w:val="16"/>
                <w:color w:val="auto"/>
              </w:rPr>
              <w:t>—</w:t>
            </w:r>
          </w:p>
        </w:tc>
        <w:tc>
          <w:tcPr>
            <w:tcW w:w="20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auto"/>
              </w:rPr>
              <w:t>$</w:t>
            </w:r>
          </w:p>
        </w:tc>
        <w:tc>
          <w:tcPr>
            <w:tcW w:w="1100" w:type="dxa"/>
            <w:vAlign w:val="bottom"/>
            <w:tcBorders>
              <w:bottom w:val="single" w:sz="8" w:color="214E93"/>
            </w:tcBorders>
            <w:gridSpan w:val="3"/>
          </w:tcPr>
          <w:p>
            <w:pPr>
              <w:jc w:val="right"/>
              <w:spacing w:after="0"/>
              <w:rPr>
                <w:sz w:val="20"/>
                <w:szCs w:val="20"/>
                <w:color w:val="auto"/>
              </w:rPr>
            </w:pPr>
            <w:r>
              <w:rPr>
                <w:rFonts w:ascii="Verdana" w:cs="Verdana" w:eastAsia="Verdana" w:hAnsi="Verdana"/>
                <w:sz w:val="16"/>
                <w:szCs w:val="16"/>
                <w:color w:val="auto"/>
              </w:rPr>
              <w:t>3,228,259</w:t>
            </w:r>
          </w:p>
        </w:tc>
        <w:tc>
          <w:tcPr>
            <w:tcW w:w="1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-2382520</wp:posOffset>
                </wp:positionV>
                <wp:extent cx="6811645" cy="0"/>
                <wp:wrapNone/>
                <wp:docPr id="340" name="Shape 3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40" o:spid="_x0000_s13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7.5999pt" to="536.35pt,-187.5999pt" o:allowincell="f" strokecolor="#000000" strokeweight="0pt"/>
            </w:pict>
          </mc:Fallback>
        </mc:AlternateContent>
      </w:r>
    </w:p>
    <w:p>
      <w:pPr>
        <w:spacing w:after="0" w:line="106" w:lineRule="exact"/>
        <w:rPr>
          <w:sz w:val="20"/>
          <w:szCs w:val="20"/>
          <w:color w:val="auto"/>
        </w:rPr>
      </w:pPr>
    </w:p>
    <w:p>
      <w:pPr>
        <w:ind w:left="1680" w:hanging="346"/>
        <w:spacing w:after="0"/>
        <w:tabs>
          <w:tab w:leader="none" w:pos="1680" w:val="left"/>
        </w:tabs>
        <w:numPr>
          <w:ilvl w:val="0"/>
          <w:numId w:val="99"/>
        </w:numPr>
        <w:rPr>
          <w:rFonts w:ascii="Calibri" w:cs="Calibri" w:eastAsia="Calibri" w:hAnsi="Calibri"/>
          <w:sz w:val="14"/>
          <w:szCs w:val="14"/>
          <w:color w:val="auto"/>
        </w:rPr>
      </w:pPr>
      <w:r>
        <w:rPr>
          <w:rFonts w:ascii="Calibri" w:cs="Calibri" w:eastAsia="Calibri" w:hAnsi="Calibri"/>
          <w:sz w:val="14"/>
          <w:szCs w:val="14"/>
          <w:color w:val="auto"/>
        </w:rPr>
        <w:t>Operating expense includes lease operating expense for the exploration and production segment and midstream operating expense for the midstream segment.</w:t>
      </w:r>
    </w:p>
    <w:p>
      <w:pPr>
        <w:spacing w:after="0" w:line="86" w:lineRule="exact"/>
        <w:rPr>
          <w:rFonts w:ascii="Calibri" w:cs="Calibri" w:eastAsia="Calibri" w:hAnsi="Calibri"/>
          <w:sz w:val="14"/>
          <w:szCs w:val="14"/>
          <w:color w:val="auto"/>
        </w:rPr>
      </w:pPr>
    </w:p>
    <w:p>
      <w:pPr>
        <w:ind w:left="1680" w:right="940" w:hanging="346"/>
        <w:spacing w:after="0" w:line="248" w:lineRule="auto"/>
        <w:tabs>
          <w:tab w:leader="none" w:pos="1680" w:val="left"/>
        </w:tabs>
        <w:numPr>
          <w:ilvl w:val="0"/>
          <w:numId w:val="99"/>
        </w:numPr>
        <w:rPr>
          <w:rFonts w:ascii="Calibri" w:cs="Calibri" w:eastAsia="Calibri" w:hAnsi="Calibri"/>
          <w:sz w:val="13"/>
          <w:szCs w:val="13"/>
          <w:color w:val="auto"/>
        </w:rPr>
      </w:pPr>
      <w:r>
        <w:rPr>
          <w:rFonts w:ascii="Calibri" w:cs="Calibri" w:eastAsia="Calibri" w:hAnsi="Calibri"/>
          <w:sz w:val="13"/>
          <w:szCs w:val="13"/>
          <w:color w:val="auto"/>
        </w:rPr>
        <w:t>Includes depletion, depreciation and amortization expenses of $675.0 million and $40.4 million for the exploration and production and midstream segments, respectively. Also includes corporate depletion, depreciation and amortization expenses of $1.3 million. Other expenses for each reportable segment also includes (i) transportation and processing, (ii) general and administrative expenses, (iii) accretion of asset retirement obligations (iv) purchased natural gas and</w:t>
      </w:r>
    </w:p>
    <w:p>
      <w:pPr>
        <w:ind w:left="1680"/>
        <w:spacing w:after="0" w:line="232" w:lineRule="auto"/>
        <w:rPr>
          <w:rFonts w:ascii="Calibri" w:cs="Calibri" w:eastAsia="Calibri" w:hAnsi="Calibri"/>
          <w:sz w:val="13"/>
          <w:szCs w:val="13"/>
          <w:color w:val="auto"/>
        </w:rPr>
      </w:pPr>
      <w:r>
        <w:rPr>
          <w:rFonts w:ascii="Calibri" w:cs="Calibri" w:eastAsia="Calibri" w:hAnsi="Calibri"/>
          <w:sz w:val="14"/>
          <w:szCs w:val="14"/>
          <w:color w:val="auto"/>
        </w:rPr>
        <w:t>(v) taxes other than income.</w:t>
      </w:r>
    </w:p>
    <w:p>
      <w:pPr>
        <w:spacing w:after="0" w:line="73" w:lineRule="exact"/>
        <w:rPr>
          <w:rFonts w:ascii="Calibri" w:cs="Calibri" w:eastAsia="Calibri" w:hAnsi="Calibri"/>
          <w:sz w:val="13"/>
          <w:szCs w:val="13"/>
          <w:color w:val="auto"/>
        </w:rPr>
      </w:pPr>
    </w:p>
    <w:p>
      <w:pPr>
        <w:ind w:left="1680" w:hanging="346"/>
        <w:spacing w:after="0"/>
        <w:tabs>
          <w:tab w:leader="none" w:pos="1680" w:val="left"/>
        </w:tabs>
        <w:numPr>
          <w:ilvl w:val="0"/>
          <w:numId w:val="99"/>
        </w:numPr>
        <w:rPr>
          <w:rFonts w:ascii="Calibri" w:cs="Calibri" w:eastAsia="Calibri" w:hAnsi="Calibri"/>
          <w:sz w:val="14"/>
          <w:szCs w:val="14"/>
          <w:color w:val="auto"/>
        </w:rPr>
      </w:pPr>
      <w:r>
        <w:rPr>
          <w:rFonts w:ascii="Calibri" w:cs="Calibri" w:eastAsia="Calibri" w:hAnsi="Calibri"/>
          <w:sz w:val="14"/>
          <w:szCs w:val="14"/>
          <w:color w:val="auto"/>
        </w:rPr>
        <w:t>Includes $64.3 million in net income attributable to non-controlling interest in subsidiaries related to the midstream segment.</w:t>
      </w:r>
    </w:p>
    <w:p>
      <w:pPr>
        <w:spacing w:after="0" w:line="73" w:lineRule="exact"/>
        <w:rPr>
          <w:rFonts w:ascii="Calibri" w:cs="Calibri" w:eastAsia="Calibri" w:hAnsi="Calibri"/>
          <w:sz w:val="14"/>
          <w:szCs w:val="14"/>
          <w:color w:val="auto"/>
        </w:rPr>
      </w:pPr>
    </w:p>
    <w:p>
      <w:pPr>
        <w:ind w:left="1680" w:hanging="346"/>
        <w:spacing w:after="0"/>
        <w:tabs>
          <w:tab w:leader="none" w:pos="1680" w:val="left"/>
        </w:tabs>
        <w:numPr>
          <w:ilvl w:val="0"/>
          <w:numId w:val="99"/>
        </w:numPr>
        <w:rPr>
          <w:rFonts w:ascii="Calibri" w:cs="Calibri" w:eastAsia="Calibri" w:hAnsi="Calibri"/>
          <w:sz w:val="14"/>
          <w:szCs w:val="14"/>
          <w:color w:val="auto"/>
        </w:rPr>
      </w:pPr>
      <w:r>
        <w:rPr>
          <w:rFonts w:ascii="Calibri" w:cs="Calibri" w:eastAsia="Calibri" w:hAnsi="Calibri"/>
          <w:sz w:val="14"/>
          <w:szCs w:val="14"/>
          <w:color w:val="auto"/>
        </w:rPr>
        <w:t>Excludes intercompany receivables and investments in subsidiaries.</w:t>
      </w:r>
    </w:p>
    <w:p>
      <w:pPr>
        <w:spacing w:after="0" w:line="86" w:lineRule="exact"/>
        <w:rPr>
          <w:rFonts w:ascii="Calibri" w:cs="Calibri" w:eastAsia="Calibri" w:hAnsi="Calibri"/>
          <w:sz w:val="14"/>
          <w:szCs w:val="14"/>
          <w:color w:val="auto"/>
        </w:rPr>
      </w:pPr>
    </w:p>
    <w:p>
      <w:pPr>
        <w:ind w:left="1680" w:right="980" w:hanging="346"/>
        <w:spacing w:after="0" w:line="247" w:lineRule="auto"/>
        <w:tabs>
          <w:tab w:leader="none" w:pos="1680" w:val="left"/>
        </w:tabs>
        <w:numPr>
          <w:ilvl w:val="0"/>
          <w:numId w:val="99"/>
        </w:numPr>
        <w:rPr>
          <w:rFonts w:ascii="Calibri" w:cs="Calibri" w:eastAsia="Calibri" w:hAnsi="Calibri"/>
          <w:sz w:val="13"/>
          <w:szCs w:val="13"/>
          <w:color w:val="auto"/>
        </w:rPr>
      </w:pPr>
      <w:r>
        <w:rPr>
          <w:rFonts w:ascii="Calibri" w:cs="Calibri" w:eastAsia="Calibri" w:hAnsi="Calibri"/>
          <w:sz w:val="13"/>
          <w:szCs w:val="13"/>
          <w:color w:val="auto"/>
        </w:rPr>
        <w:t>Includes $1.81 billion attributable to land and seismic acquisition expenditures related to the exploration and production segment, $63.6 million in midstream acquisition expenditures and $42.2 million in capital expenditures attributable to non-controlling interest in subsidiaries related to the midstream segment.</w:t>
      </w:r>
    </w:p>
    <w:p>
      <w:pPr>
        <w:sectPr>
          <w:pgSz w:w="11880" w:h="15480" w:orient="portrait"/>
          <w:cols w:equalWidth="0" w:num="1">
            <w:col w:w="11500"/>
          </w:cols>
          <w:pgMar w:left="0" w:top="498"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060"/>
        <w:spacing w:after="0"/>
        <w:rPr>
          <w:sz w:val="20"/>
          <w:szCs w:val="20"/>
          <w:color w:val="auto"/>
        </w:rPr>
      </w:pPr>
      <w:r>
        <w:rPr>
          <w:rFonts w:ascii="Calibri" w:cs="Calibri" w:eastAsia="Calibri" w:hAnsi="Calibri"/>
          <w:sz w:val="17"/>
          <w:szCs w:val="17"/>
          <w:color w:val="auto"/>
        </w:rPr>
        <w:t>Consolidated Financial Statements FORM 10-K</w:t>
      </w:r>
    </w:p>
    <w:p>
      <w:pPr>
        <w:sectPr>
          <w:pgSz w:w="11880" w:h="15480" w:orient="portrait"/>
          <w:cols w:equalWidth="0" w:num="1">
            <w:col w:w="11500"/>
          </w:cols>
          <w:pgMar w:left="0" w:top="498" w:right="380" w:bottom="0" w:gutter="0" w:footer="0" w:header="0"/>
          <w:type w:val="continuous"/>
        </w:sectPr>
      </w:pPr>
    </w:p>
    <w:bookmarkStart w:id="173" w:name="page174"/>
    <w:bookmarkEnd w:id="173"/>
    <w:p>
      <w:pPr>
        <w:spacing w:after="0"/>
        <w:tabs>
          <w:tab w:leader="none" w:pos="800" w:val="left"/>
        </w:tabs>
        <w:rPr>
          <w:sz w:val="20"/>
          <w:szCs w:val="20"/>
          <w:color w:val="auto"/>
        </w:rPr>
      </w:pPr>
      <w:r>
        <w:rPr>
          <w:rFonts w:ascii="Calibri" w:cs="Calibri" w:eastAsia="Calibri" w:hAnsi="Calibri"/>
          <w:sz w:val="18"/>
          <w:szCs w:val="18"/>
          <w:color w:val="auto"/>
        </w:rPr>
        <w:t>F-43</w:t>
      </w:r>
      <w:r>
        <w:rPr>
          <w:sz w:val="20"/>
          <w:szCs w:val="20"/>
          <w:color w:val="auto"/>
        </w:rPr>
        <w:tab/>
      </w:r>
      <w:r>
        <w:rPr>
          <w:rFonts w:ascii="Calibri" w:cs="Calibri" w:eastAsia="Calibri" w:hAnsi="Calibri"/>
          <w:sz w:val="17"/>
          <w:szCs w:val="17"/>
          <w:color w:val="auto"/>
        </w:rPr>
        <w:t>MATADOR RESOURCES COMPANY</w:t>
      </w:r>
    </w:p>
    <w:p>
      <w:pPr>
        <w:spacing w:after="0" w:line="137" w:lineRule="exact"/>
        <w:rPr>
          <w:sz w:val="20"/>
          <w:szCs w:val="20"/>
          <w:color w:val="auto"/>
        </w:rPr>
      </w:pPr>
    </w:p>
    <w:p>
      <w:pPr>
        <w:ind w:left="820"/>
        <w:spacing w:after="0"/>
        <w:rPr>
          <w:sz w:val="20"/>
          <w:szCs w:val="20"/>
          <w:color w:val="auto"/>
        </w:rPr>
      </w:pPr>
      <w:r>
        <w:rPr>
          <w:rFonts w:ascii="Verdana" w:cs="Verdana" w:eastAsia="Verdana" w:hAnsi="Verdana"/>
          <w:sz w:val="20"/>
          <w:szCs w:val="20"/>
          <w:color w:val="214E93"/>
        </w:rPr>
        <w:t>Unaudited Supplementary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490220</wp:posOffset>
                </wp:positionH>
                <wp:positionV relativeFrom="paragraph">
                  <wp:posOffset>12065</wp:posOffset>
                </wp:positionV>
                <wp:extent cx="6812280" cy="0"/>
                <wp:wrapNone/>
                <wp:docPr id="341" name="Shape 3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41" o:spid="_x0000_s13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0.95pt" to="575pt,0.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490220</wp:posOffset>
                </wp:positionH>
                <wp:positionV relativeFrom="paragraph">
                  <wp:posOffset>12065</wp:posOffset>
                </wp:positionV>
                <wp:extent cx="6812280" cy="0"/>
                <wp:wrapNone/>
                <wp:docPr id="342" name="Shape 3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42" o:spid="_x0000_s13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0.95pt" to="575pt,0.95pt" o:allowincell="f" strokecolor="#214E93" strokeweight="1pt"/>
            </w:pict>
          </mc:Fallback>
        </mc:AlternateContent>
      </w:r>
    </w:p>
    <w:p>
      <w:pPr>
        <w:spacing w:after="0" w:line="28" w:lineRule="exact"/>
        <w:rPr>
          <w:sz w:val="20"/>
          <w:szCs w:val="20"/>
          <w:color w:val="auto"/>
        </w:rPr>
      </w:pPr>
    </w:p>
    <w:p>
      <w:pPr>
        <w:ind w:left="780"/>
        <w:spacing w:after="0"/>
        <w:rPr>
          <w:sz w:val="20"/>
          <w:szCs w:val="20"/>
          <w:color w:val="auto"/>
        </w:rPr>
      </w:pPr>
      <w:r>
        <w:rPr>
          <w:rFonts w:ascii="Verdana" w:cs="Verdana" w:eastAsia="Verdana" w:hAnsi="Verdana"/>
          <w:sz w:val="20"/>
          <w:szCs w:val="20"/>
          <w:color w:val="214E93"/>
        </w:rPr>
        <w:t>MATADOR RESOURCES COMPANY AND SUBSIDIARIES</w:t>
      </w:r>
    </w:p>
    <w:p>
      <w:pPr>
        <w:ind w:left="780"/>
        <w:spacing w:after="0"/>
        <w:rPr>
          <w:sz w:val="20"/>
          <w:szCs w:val="20"/>
          <w:color w:val="auto"/>
        </w:rPr>
      </w:pPr>
      <w:r>
        <w:rPr>
          <w:rFonts w:ascii="Verdana" w:cs="Verdana" w:eastAsia="Verdana" w:hAnsi="Verdana"/>
          <w:sz w:val="20"/>
          <w:szCs w:val="20"/>
          <w:color w:val="214E93"/>
        </w:rPr>
        <w:t>December 31, 2025, 2024 and 2023</w:t>
      </w:r>
    </w:p>
    <w:p>
      <w:pPr>
        <w:spacing w:after="0" w:line="294" w:lineRule="exact"/>
        <w:rPr>
          <w:sz w:val="20"/>
          <w:szCs w:val="20"/>
          <w:color w:val="auto"/>
        </w:rPr>
      </w:pPr>
    </w:p>
    <w:p>
      <w:pPr>
        <w:ind w:left="780"/>
        <w:spacing w:after="0"/>
        <w:rPr>
          <w:sz w:val="20"/>
          <w:szCs w:val="20"/>
          <w:color w:val="auto"/>
        </w:rPr>
      </w:pPr>
      <w:r>
        <w:rPr>
          <w:rFonts w:ascii="Calibri" w:cs="Calibri" w:eastAsia="Calibri" w:hAnsi="Calibri"/>
          <w:sz w:val="19"/>
          <w:szCs w:val="19"/>
          <w:i w:val="1"/>
          <w:iCs w:val="1"/>
          <w:color w:val="214E93"/>
        </w:rPr>
        <w:t>Costs Incurred</w:t>
      </w:r>
    </w:p>
    <w:p>
      <w:pPr>
        <w:spacing w:after="0" w:line="208" w:lineRule="exact"/>
        <w:rPr>
          <w:sz w:val="20"/>
          <w:szCs w:val="20"/>
          <w:color w:val="auto"/>
        </w:rPr>
      </w:pPr>
    </w:p>
    <w:p>
      <w:pPr>
        <w:ind w:left="780" w:right="160" w:firstLine="241"/>
        <w:spacing w:after="0" w:line="252" w:lineRule="auto"/>
        <w:rPr>
          <w:sz w:val="20"/>
          <w:szCs w:val="20"/>
          <w:color w:val="auto"/>
        </w:rPr>
      </w:pPr>
      <w:r>
        <w:rPr>
          <w:rFonts w:ascii="Calibri" w:cs="Calibri" w:eastAsia="Calibri" w:hAnsi="Calibri"/>
          <w:sz w:val="18"/>
          <w:szCs w:val="18"/>
          <w:color w:val="auto"/>
        </w:rPr>
        <w:t>The following table summarizes costs incurred and capitalized by the Company in the acquisition, exploration and development of oil and natural gas properties for the years ended December 31, 2025, 2024 and 2023 (in thousands).</w:t>
      </w:r>
    </w:p>
    <w:p>
      <w:pPr>
        <w:spacing w:after="0" w:line="202" w:lineRule="exact"/>
        <w:rPr>
          <w:sz w:val="20"/>
          <w:szCs w:val="20"/>
          <w:color w:val="auto"/>
        </w:rPr>
      </w:pPr>
    </w:p>
    <w:tbl>
      <w:tblPr>
        <w:tblLayout w:type="fixed"/>
        <w:tblInd w:w="780" w:type="dxa"/>
        <w:tblCellMar>
          <w:top w:w="0" w:type="dxa"/>
          <w:left w:w="0" w:type="dxa"/>
          <w:bottom w:w="0" w:type="dxa"/>
          <w:right w:w="0" w:type="dxa"/>
        </w:tblCellMar>
      </w:tblPr>
      <w:tr>
        <w:trPr>
          <w:trHeight w:val="193"/>
        </w:trPr>
        <w:tc>
          <w:tcPr>
            <w:tcW w:w="6220" w:type="dxa"/>
            <w:vAlign w:val="bottom"/>
          </w:tcPr>
          <w:p>
            <w:pPr>
              <w:spacing w:after="0"/>
              <w:rPr>
                <w:sz w:val="16"/>
                <w:szCs w:val="16"/>
                <w:color w:val="auto"/>
              </w:rPr>
            </w:pPr>
          </w:p>
        </w:tc>
        <w:tc>
          <w:tcPr>
            <w:tcW w:w="160" w:type="dxa"/>
            <w:vAlign w:val="bottom"/>
            <w:tcBorders>
              <w:bottom w:val="single" w:sz="8" w:color="214E93"/>
            </w:tcBorders>
          </w:tcPr>
          <w:p>
            <w:pPr>
              <w:spacing w:after="0"/>
              <w:rPr>
                <w:sz w:val="16"/>
                <w:szCs w:val="16"/>
                <w:color w:val="auto"/>
              </w:rPr>
            </w:pPr>
          </w:p>
        </w:tc>
        <w:tc>
          <w:tcPr>
            <w:tcW w:w="3180" w:type="dxa"/>
            <w:vAlign w:val="bottom"/>
            <w:tcBorders>
              <w:bottom w:val="single" w:sz="8" w:color="214E93"/>
            </w:tcBorders>
            <w:gridSpan w:val="3"/>
          </w:tcPr>
          <w:p>
            <w:pPr>
              <w:jc w:val="right"/>
              <w:ind w:right="683"/>
              <w:spacing w:after="0"/>
              <w:rPr>
                <w:sz w:val="20"/>
                <w:szCs w:val="20"/>
                <w:color w:val="auto"/>
              </w:rPr>
            </w:pPr>
            <w:r>
              <w:rPr>
                <w:rFonts w:ascii="Verdana" w:cs="Verdana" w:eastAsia="Verdana" w:hAnsi="Verdana"/>
                <w:sz w:val="14"/>
                <w:szCs w:val="14"/>
                <w:color w:val="auto"/>
              </w:rPr>
              <w:t>Year Ended December 31,</w:t>
            </w:r>
          </w:p>
        </w:tc>
      </w:tr>
      <w:tr>
        <w:trPr>
          <w:trHeight w:val="216"/>
        </w:trPr>
        <w:tc>
          <w:tcPr>
            <w:tcW w:w="6220" w:type="dxa"/>
            <w:vAlign w:val="bottom"/>
            <w:tcBorders>
              <w:bottom w:val="single" w:sz="8" w:color="214E93"/>
            </w:tcBorders>
          </w:tcPr>
          <w:p>
            <w:pPr>
              <w:spacing w:after="0"/>
              <w:rPr>
                <w:sz w:val="18"/>
                <w:szCs w:val="18"/>
                <w:color w:val="auto"/>
              </w:rPr>
            </w:pPr>
          </w:p>
        </w:tc>
        <w:tc>
          <w:tcPr>
            <w:tcW w:w="160" w:type="dxa"/>
            <w:vAlign w:val="bottom"/>
            <w:tcBorders>
              <w:bottom w:val="single" w:sz="8" w:color="214E93"/>
            </w:tcBorders>
          </w:tcPr>
          <w:p>
            <w:pPr>
              <w:spacing w:after="0"/>
              <w:rPr>
                <w:sz w:val="18"/>
                <w:szCs w:val="18"/>
                <w:color w:val="auto"/>
              </w:rPr>
            </w:pPr>
          </w:p>
        </w:tc>
        <w:tc>
          <w:tcPr>
            <w:tcW w:w="920" w:type="dxa"/>
            <w:vAlign w:val="bottom"/>
            <w:tcBorders>
              <w:bottom w:val="single" w:sz="8" w:color="214E93"/>
            </w:tcBorders>
          </w:tcPr>
          <w:p>
            <w:pPr>
              <w:jc w:val="right"/>
              <w:ind w:right="284"/>
              <w:spacing w:after="0"/>
              <w:rPr>
                <w:sz w:val="20"/>
                <w:szCs w:val="20"/>
                <w:color w:val="auto"/>
              </w:rPr>
            </w:pPr>
            <w:r>
              <w:rPr>
                <w:rFonts w:ascii="Verdana" w:cs="Verdana" w:eastAsia="Verdana" w:hAnsi="Verdana"/>
                <w:sz w:val="14"/>
                <w:szCs w:val="14"/>
                <w:color w:val="214E93"/>
              </w:rPr>
              <w:t>2025</w:t>
            </w:r>
          </w:p>
        </w:tc>
        <w:tc>
          <w:tcPr>
            <w:tcW w:w="1140" w:type="dxa"/>
            <w:vAlign w:val="bottom"/>
            <w:tcBorders>
              <w:bottom w:val="single" w:sz="8" w:color="214E93"/>
            </w:tcBorders>
          </w:tcPr>
          <w:p>
            <w:pPr>
              <w:jc w:val="right"/>
              <w:ind w:right="283"/>
              <w:spacing w:after="0"/>
              <w:rPr>
                <w:sz w:val="20"/>
                <w:szCs w:val="20"/>
                <w:color w:val="auto"/>
              </w:rPr>
            </w:pPr>
            <w:r>
              <w:rPr>
                <w:rFonts w:ascii="Verdana" w:cs="Verdana" w:eastAsia="Verdana" w:hAnsi="Verdana"/>
                <w:sz w:val="14"/>
                <w:szCs w:val="14"/>
                <w:color w:val="auto"/>
              </w:rPr>
              <w:t>2024</w:t>
            </w:r>
          </w:p>
        </w:tc>
        <w:tc>
          <w:tcPr>
            <w:tcW w:w="1120" w:type="dxa"/>
            <w:vAlign w:val="bottom"/>
            <w:tcBorders>
              <w:bottom w:val="single" w:sz="8" w:color="214E93"/>
            </w:tcBorders>
          </w:tcPr>
          <w:p>
            <w:pPr>
              <w:jc w:val="right"/>
              <w:ind w:right="283"/>
              <w:spacing w:after="0"/>
              <w:rPr>
                <w:sz w:val="20"/>
                <w:szCs w:val="20"/>
                <w:color w:val="auto"/>
              </w:rPr>
            </w:pPr>
            <w:r>
              <w:rPr>
                <w:rFonts w:ascii="Verdana" w:cs="Verdana" w:eastAsia="Verdana" w:hAnsi="Verdana"/>
                <w:sz w:val="14"/>
                <w:szCs w:val="14"/>
                <w:color w:val="auto"/>
              </w:rPr>
              <w:t>2023</w:t>
            </w:r>
          </w:p>
        </w:tc>
      </w:tr>
      <w:tr>
        <w:trPr>
          <w:trHeight w:val="211"/>
        </w:trPr>
        <w:tc>
          <w:tcPr>
            <w:tcW w:w="6220" w:type="dxa"/>
            <w:vAlign w:val="bottom"/>
          </w:tcPr>
          <w:p>
            <w:pPr>
              <w:ind w:left="40"/>
              <w:spacing w:after="0"/>
              <w:rPr>
                <w:sz w:val="20"/>
                <w:szCs w:val="20"/>
                <w:color w:val="auto"/>
              </w:rPr>
            </w:pPr>
            <w:r>
              <w:rPr>
                <w:rFonts w:ascii="Verdana" w:cs="Verdana" w:eastAsia="Verdana" w:hAnsi="Verdana"/>
                <w:sz w:val="16"/>
                <w:szCs w:val="16"/>
                <w:color w:val="auto"/>
              </w:rPr>
              <w:t>Property acquisition costs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7"/>
        </w:trPr>
        <w:tc>
          <w:tcPr>
            <w:tcW w:w="6220" w:type="dxa"/>
            <w:vAlign w:val="bottom"/>
          </w:tcPr>
          <w:p>
            <w:pPr>
              <w:ind w:left="160"/>
              <w:spacing w:after="0"/>
              <w:rPr>
                <w:sz w:val="20"/>
                <w:szCs w:val="20"/>
                <w:color w:val="auto"/>
              </w:rPr>
            </w:pPr>
            <w:r>
              <w:rPr>
                <w:rFonts w:ascii="Verdana" w:cs="Verdana" w:eastAsia="Verdana" w:hAnsi="Verdana"/>
                <w:sz w:val="16"/>
                <w:szCs w:val="16"/>
                <w:color w:val="auto"/>
              </w:rPr>
              <w:t>Proved</w:t>
            </w:r>
            <w:r>
              <w:rPr>
                <w:rFonts w:ascii="Verdana" w:cs="Verdana" w:eastAsia="Verdana" w:hAnsi="Verdana"/>
                <w:sz w:val="20"/>
                <w:szCs w:val="20"/>
                <w:color w:val="auto"/>
                <w:vertAlign w:val="superscript"/>
              </w:rPr>
              <w:t>(1)</w:t>
            </w:r>
          </w:p>
        </w:tc>
        <w:tc>
          <w:tcPr>
            <w:tcW w:w="160" w:type="dxa"/>
            <w:vAlign w:val="bottom"/>
          </w:tcPr>
          <w:p>
            <w:pPr>
              <w:jc w:val="right"/>
              <w:spacing w:after="0"/>
              <w:rPr>
                <w:sz w:val="20"/>
                <w:szCs w:val="20"/>
                <w:color w:val="auto"/>
              </w:rPr>
            </w:pPr>
            <w:r>
              <w:rPr>
                <w:rFonts w:ascii="Verdana" w:cs="Verdana" w:eastAsia="Verdana" w:hAnsi="Verdana"/>
                <w:sz w:val="16"/>
                <w:szCs w:val="16"/>
                <w:color w:val="214E93"/>
              </w:rPr>
              <w:t>$</w:t>
            </w:r>
          </w:p>
        </w:tc>
        <w:tc>
          <w:tcPr>
            <w:tcW w:w="920" w:type="dxa"/>
            <w:vAlign w:val="bottom"/>
          </w:tcPr>
          <w:p>
            <w:pPr>
              <w:jc w:val="right"/>
              <w:ind w:right="24"/>
              <w:spacing w:after="0"/>
              <w:rPr>
                <w:sz w:val="20"/>
                <w:szCs w:val="20"/>
                <w:color w:val="auto"/>
              </w:rPr>
            </w:pPr>
            <w:r>
              <w:rPr>
                <w:rFonts w:ascii="Verdana" w:cs="Verdana" w:eastAsia="Verdana" w:hAnsi="Verdana"/>
                <w:sz w:val="16"/>
                <w:szCs w:val="16"/>
                <w:color w:val="214E93"/>
              </w:rPr>
              <w:t>84,102</w:t>
            </w:r>
          </w:p>
        </w:tc>
        <w:tc>
          <w:tcPr>
            <w:tcW w:w="1140" w:type="dxa"/>
            <w:vAlign w:val="bottom"/>
          </w:tcPr>
          <w:p>
            <w:pPr>
              <w:jc w:val="right"/>
              <w:ind w:right="23"/>
              <w:spacing w:after="0"/>
              <w:rPr>
                <w:sz w:val="20"/>
                <w:szCs w:val="20"/>
                <w:color w:val="auto"/>
              </w:rPr>
            </w:pPr>
            <w:r>
              <w:rPr>
                <w:rFonts w:ascii="Verdana" w:cs="Verdana" w:eastAsia="Verdana" w:hAnsi="Verdana"/>
                <w:sz w:val="16"/>
                <w:szCs w:val="16"/>
                <w:color w:val="131313"/>
              </w:rPr>
              <w:t>$1,488,033</w:t>
            </w:r>
          </w:p>
        </w:tc>
        <w:tc>
          <w:tcPr>
            <w:tcW w:w="1120" w:type="dxa"/>
            <w:vAlign w:val="bottom"/>
          </w:tcPr>
          <w:p>
            <w:pPr>
              <w:jc w:val="right"/>
              <w:ind w:right="3"/>
              <w:spacing w:after="0"/>
              <w:rPr>
                <w:sz w:val="20"/>
                <w:szCs w:val="20"/>
                <w:color w:val="auto"/>
              </w:rPr>
            </w:pPr>
            <w:r>
              <w:rPr>
                <w:rFonts w:ascii="Verdana" w:cs="Verdana" w:eastAsia="Verdana" w:hAnsi="Verdana"/>
                <w:sz w:val="16"/>
                <w:szCs w:val="16"/>
                <w:color w:val="131313"/>
              </w:rPr>
              <w:t>$1,478,258</w:t>
            </w:r>
          </w:p>
        </w:tc>
      </w:tr>
      <w:tr>
        <w:trPr>
          <w:trHeight w:val="214"/>
        </w:trPr>
        <w:tc>
          <w:tcPr>
            <w:tcW w:w="6220" w:type="dxa"/>
            <w:vAlign w:val="bottom"/>
          </w:tcPr>
          <w:p>
            <w:pPr>
              <w:ind w:left="160"/>
              <w:spacing w:after="0"/>
              <w:rPr>
                <w:sz w:val="20"/>
                <w:szCs w:val="20"/>
                <w:color w:val="auto"/>
              </w:rPr>
            </w:pPr>
            <w:r>
              <w:rPr>
                <w:rFonts w:ascii="Verdana" w:cs="Verdana" w:eastAsia="Verdana" w:hAnsi="Verdana"/>
                <w:sz w:val="16"/>
                <w:szCs w:val="16"/>
                <w:color w:val="auto"/>
              </w:rPr>
              <w:t>Unproved and unevaluated</w:t>
            </w:r>
          </w:p>
        </w:tc>
        <w:tc>
          <w:tcPr>
            <w:tcW w:w="160" w:type="dxa"/>
            <w:vAlign w:val="bottom"/>
          </w:tcPr>
          <w:p>
            <w:pPr>
              <w:spacing w:after="0"/>
              <w:rPr>
                <w:sz w:val="18"/>
                <w:szCs w:val="18"/>
                <w:color w:val="auto"/>
              </w:rPr>
            </w:pPr>
          </w:p>
        </w:tc>
        <w:tc>
          <w:tcPr>
            <w:tcW w:w="920" w:type="dxa"/>
            <w:vAlign w:val="bottom"/>
          </w:tcPr>
          <w:p>
            <w:pPr>
              <w:jc w:val="right"/>
              <w:ind w:right="24"/>
              <w:spacing w:after="0"/>
              <w:rPr>
                <w:sz w:val="20"/>
                <w:szCs w:val="20"/>
                <w:color w:val="auto"/>
              </w:rPr>
            </w:pPr>
            <w:r>
              <w:rPr>
                <w:rFonts w:ascii="Verdana" w:cs="Verdana" w:eastAsia="Verdana" w:hAnsi="Verdana"/>
                <w:sz w:val="16"/>
                <w:szCs w:val="16"/>
                <w:color w:val="214E93"/>
              </w:rPr>
              <w:t>252,020</w:t>
            </w:r>
          </w:p>
        </w:tc>
        <w:tc>
          <w:tcPr>
            <w:tcW w:w="1140" w:type="dxa"/>
            <w:vAlign w:val="bottom"/>
          </w:tcPr>
          <w:p>
            <w:pPr>
              <w:jc w:val="right"/>
              <w:ind w:right="23"/>
              <w:spacing w:after="0"/>
              <w:rPr>
                <w:sz w:val="20"/>
                <w:szCs w:val="20"/>
                <w:color w:val="auto"/>
              </w:rPr>
            </w:pPr>
            <w:r>
              <w:rPr>
                <w:rFonts w:ascii="Verdana" w:cs="Verdana" w:eastAsia="Verdana" w:hAnsi="Verdana"/>
                <w:sz w:val="16"/>
                <w:szCs w:val="16"/>
                <w:color w:val="131313"/>
              </w:rPr>
              <w:t>575,046</w:t>
            </w:r>
          </w:p>
        </w:tc>
        <w:tc>
          <w:tcPr>
            <w:tcW w:w="1120" w:type="dxa"/>
            <w:vAlign w:val="bottom"/>
          </w:tcPr>
          <w:p>
            <w:pPr>
              <w:jc w:val="right"/>
              <w:ind w:right="3"/>
              <w:spacing w:after="0"/>
              <w:rPr>
                <w:sz w:val="20"/>
                <w:szCs w:val="20"/>
                <w:color w:val="auto"/>
              </w:rPr>
            </w:pPr>
            <w:r>
              <w:rPr>
                <w:rFonts w:ascii="Verdana" w:cs="Verdana" w:eastAsia="Verdana" w:hAnsi="Verdana"/>
                <w:sz w:val="16"/>
                <w:szCs w:val="16"/>
                <w:color w:val="131313"/>
              </w:rPr>
              <w:t>328,579</w:t>
            </w:r>
          </w:p>
        </w:tc>
      </w:tr>
      <w:tr>
        <w:trPr>
          <w:trHeight w:val="236"/>
        </w:trPr>
        <w:tc>
          <w:tcPr>
            <w:tcW w:w="6220" w:type="dxa"/>
            <w:vAlign w:val="bottom"/>
          </w:tcPr>
          <w:p>
            <w:pPr>
              <w:ind w:left="40"/>
              <w:spacing w:after="0"/>
              <w:rPr>
                <w:sz w:val="20"/>
                <w:szCs w:val="20"/>
                <w:color w:val="auto"/>
              </w:rPr>
            </w:pPr>
            <w:r>
              <w:rPr>
                <w:rFonts w:ascii="Verdana" w:cs="Verdana" w:eastAsia="Verdana" w:hAnsi="Verdana"/>
                <w:sz w:val="16"/>
                <w:szCs w:val="16"/>
                <w:color w:val="auto"/>
              </w:rPr>
              <w:t>Exploration costs</w:t>
            </w:r>
          </w:p>
        </w:tc>
        <w:tc>
          <w:tcPr>
            <w:tcW w:w="160" w:type="dxa"/>
            <w:vAlign w:val="bottom"/>
          </w:tcPr>
          <w:p>
            <w:pPr>
              <w:spacing w:after="0"/>
              <w:rPr>
                <w:sz w:val="20"/>
                <w:szCs w:val="20"/>
                <w:color w:val="auto"/>
              </w:rPr>
            </w:pPr>
          </w:p>
        </w:tc>
        <w:tc>
          <w:tcPr>
            <w:tcW w:w="920" w:type="dxa"/>
            <w:vAlign w:val="bottom"/>
          </w:tcPr>
          <w:p>
            <w:pPr>
              <w:jc w:val="right"/>
              <w:ind w:right="24"/>
              <w:spacing w:after="0"/>
              <w:rPr>
                <w:sz w:val="20"/>
                <w:szCs w:val="20"/>
                <w:color w:val="auto"/>
              </w:rPr>
            </w:pPr>
            <w:r>
              <w:rPr>
                <w:rFonts w:ascii="Verdana" w:cs="Verdana" w:eastAsia="Verdana" w:hAnsi="Verdana"/>
                <w:sz w:val="16"/>
                <w:szCs w:val="16"/>
                <w:color w:val="214E93"/>
              </w:rPr>
              <w:t>152,016</w:t>
            </w:r>
          </w:p>
        </w:tc>
        <w:tc>
          <w:tcPr>
            <w:tcW w:w="1140" w:type="dxa"/>
            <w:vAlign w:val="bottom"/>
          </w:tcPr>
          <w:p>
            <w:pPr>
              <w:jc w:val="right"/>
              <w:ind w:right="23"/>
              <w:spacing w:after="0"/>
              <w:rPr>
                <w:sz w:val="20"/>
                <w:szCs w:val="20"/>
                <w:color w:val="auto"/>
              </w:rPr>
            </w:pPr>
            <w:r>
              <w:rPr>
                <w:rFonts w:ascii="Verdana" w:cs="Verdana" w:eastAsia="Verdana" w:hAnsi="Verdana"/>
                <w:sz w:val="16"/>
                <w:szCs w:val="16"/>
                <w:color w:val="131313"/>
              </w:rPr>
              <w:t>71,381</w:t>
            </w:r>
          </w:p>
        </w:tc>
        <w:tc>
          <w:tcPr>
            <w:tcW w:w="1120" w:type="dxa"/>
            <w:vAlign w:val="bottom"/>
          </w:tcPr>
          <w:p>
            <w:pPr>
              <w:jc w:val="right"/>
              <w:ind w:right="3"/>
              <w:spacing w:after="0"/>
              <w:rPr>
                <w:sz w:val="20"/>
                <w:szCs w:val="20"/>
                <w:color w:val="auto"/>
              </w:rPr>
            </w:pPr>
            <w:r>
              <w:rPr>
                <w:rFonts w:ascii="Verdana" w:cs="Verdana" w:eastAsia="Verdana" w:hAnsi="Verdana"/>
                <w:sz w:val="16"/>
                <w:szCs w:val="16"/>
                <w:color w:val="131313"/>
              </w:rPr>
              <w:t>230,712</w:t>
            </w:r>
          </w:p>
        </w:tc>
      </w:tr>
      <w:tr>
        <w:trPr>
          <w:trHeight w:val="242"/>
        </w:trPr>
        <w:tc>
          <w:tcPr>
            <w:tcW w:w="622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Development costs</w:t>
            </w: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4"/>
              <w:spacing w:after="0"/>
              <w:rPr>
                <w:sz w:val="20"/>
                <w:szCs w:val="20"/>
                <w:color w:val="auto"/>
              </w:rPr>
            </w:pPr>
            <w:r>
              <w:rPr>
                <w:rFonts w:ascii="Verdana" w:cs="Verdana" w:eastAsia="Verdana" w:hAnsi="Verdana"/>
                <w:sz w:val="16"/>
                <w:szCs w:val="16"/>
                <w:color w:val="214E93"/>
                <w:w w:val="96"/>
              </w:rPr>
              <w:t>1,403,772</w:t>
            </w:r>
          </w:p>
        </w:tc>
        <w:tc>
          <w:tcPr>
            <w:tcW w:w="1140" w:type="dxa"/>
            <w:vAlign w:val="bottom"/>
            <w:tcBorders>
              <w:bottom w:val="single" w:sz="8" w:color="auto"/>
            </w:tcBorders>
          </w:tcPr>
          <w:p>
            <w:pPr>
              <w:jc w:val="right"/>
              <w:ind w:right="23"/>
              <w:spacing w:after="0"/>
              <w:rPr>
                <w:sz w:val="20"/>
                <w:szCs w:val="20"/>
                <w:color w:val="auto"/>
              </w:rPr>
            </w:pPr>
            <w:r>
              <w:rPr>
                <w:rFonts w:ascii="Verdana" w:cs="Verdana" w:eastAsia="Verdana" w:hAnsi="Verdana"/>
                <w:sz w:val="16"/>
                <w:szCs w:val="16"/>
                <w:color w:val="131313"/>
              </w:rPr>
              <w:t>1,287,221</w:t>
            </w:r>
          </w:p>
        </w:tc>
        <w:tc>
          <w:tcPr>
            <w:tcW w:w="1120" w:type="dxa"/>
            <w:vAlign w:val="bottom"/>
            <w:tcBorders>
              <w:bottom w:val="single" w:sz="8" w:color="auto"/>
            </w:tcBorders>
          </w:tcPr>
          <w:p>
            <w:pPr>
              <w:jc w:val="right"/>
              <w:ind w:right="3"/>
              <w:spacing w:after="0"/>
              <w:rPr>
                <w:sz w:val="20"/>
                <w:szCs w:val="20"/>
                <w:color w:val="auto"/>
              </w:rPr>
            </w:pPr>
            <w:r>
              <w:rPr>
                <w:rFonts w:ascii="Verdana" w:cs="Verdana" w:eastAsia="Verdana" w:hAnsi="Verdana"/>
                <w:sz w:val="16"/>
                <w:szCs w:val="16"/>
                <w:color w:val="131313"/>
              </w:rPr>
              <w:t>966,338</w:t>
            </w:r>
          </w:p>
        </w:tc>
      </w:tr>
      <w:tr>
        <w:trPr>
          <w:trHeight w:val="217"/>
        </w:trPr>
        <w:tc>
          <w:tcPr>
            <w:tcW w:w="6220" w:type="dxa"/>
            <w:vAlign w:val="bottom"/>
            <w:tcBorders>
              <w:bottom w:val="single" w:sz="8" w:color="214E93"/>
            </w:tcBorders>
          </w:tcPr>
          <w:p>
            <w:pPr>
              <w:ind w:left="160"/>
              <w:spacing w:after="0" w:line="216" w:lineRule="exact"/>
              <w:rPr>
                <w:sz w:val="20"/>
                <w:szCs w:val="20"/>
                <w:color w:val="auto"/>
              </w:rPr>
            </w:pPr>
            <w:r>
              <w:rPr>
                <w:rFonts w:ascii="Verdana" w:cs="Verdana" w:eastAsia="Verdana" w:hAnsi="Verdana"/>
                <w:sz w:val="16"/>
                <w:szCs w:val="16"/>
                <w:color w:val="auto"/>
              </w:rPr>
              <w:t>Total costs incurred</w:t>
            </w:r>
            <w:r>
              <w:rPr>
                <w:rFonts w:ascii="Verdana" w:cs="Verdana" w:eastAsia="Verdana" w:hAnsi="Verdana"/>
                <w:sz w:val="20"/>
                <w:szCs w:val="20"/>
                <w:color w:val="auto"/>
                <w:vertAlign w:val="superscript"/>
              </w:rPr>
              <w:t>(2)</w:t>
            </w:r>
          </w:p>
        </w:tc>
        <w:tc>
          <w:tcPr>
            <w:tcW w:w="160" w:type="dxa"/>
            <w:vAlign w:val="bottom"/>
            <w:tcBorders>
              <w:bottom w:val="single" w:sz="8" w:color="214E93"/>
            </w:tcBorders>
          </w:tcPr>
          <w:p>
            <w:pPr>
              <w:jc w:val="right"/>
              <w:spacing w:after="0"/>
              <w:rPr>
                <w:sz w:val="20"/>
                <w:szCs w:val="20"/>
                <w:color w:val="auto"/>
              </w:rPr>
            </w:pPr>
            <w:r>
              <w:rPr>
                <w:rFonts w:ascii="Verdana" w:cs="Verdana" w:eastAsia="Verdana" w:hAnsi="Verdana"/>
                <w:sz w:val="16"/>
                <w:szCs w:val="16"/>
                <w:color w:val="214E93"/>
              </w:rPr>
              <w:t>$</w:t>
            </w:r>
          </w:p>
        </w:tc>
        <w:tc>
          <w:tcPr>
            <w:tcW w:w="920" w:type="dxa"/>
            <w:vAlign w:val="bottom"/>
            <w:tcBorders>
              <w:bottom w:val="single" w:sz="8" w:color="214E93"/>
            </w:tcBorders>
          </w:tcPr>
          <w:p>
            <w:pPr>
              <w:jc w:val="right"/>
              <w:ind w:right="24"/>
              <w:spacing w:after="0"/>
              <w:rPr>
                <w:sz w:val="20"/>
                <w:szCs w:val="20"/>
                <w:color w:val="auto"/>
              </w:rPr>
            </w:pPr>
            <w:r>
              <w:rPr>
                <w:rFonts w:ascii="Verdana" w:cs="Verdana" w:eastAsia="Verdana" w:hAnsi="Verdana"/>
                <w:sz w:val="16"/>
                <w:szCs w:val="16"/>
                <w:color w:val="214E93"/>
                <w:w w:val="96"/>
              </w:rPr>
              <w:t>1,891,910</w:t>
            </w:r>
          </w:p>
        </w:tc>
        <w:tc>
          <w:tcPr>
            <w:tcW w:w="1140" w:type="dxa"/>
            <w:vAlign w:val="bottom"/>
            <w:tcBorders>
              <w:bottom w:val="single" w:sz="8" w:color="214E93"/>
            </w:tcBorders>
          </w:tcPr>
          <w:p>
            <w:pPr>
              <w:jc w:val="right"/>
              <w:ind w:right="23"/>
              <w:spacing w:after="0"/>
              <w:rPr>
                <w:sz w:val="20"/>
                <w:szCs w:val="20"/>
                <w:color w:val="auto"/>
              </w:rPr>
            </w:pPr>
            <w:r>
              <w:rPr>
                <w:rFonts w:ascii="Verdana" w:cs="Verdana" w:eastAsia="Verdana" w:hAnsi="Verdana"/>
                <w:sz w:val="16"/>
                <w:szCs w:val="16"/>
                <w:color w:val="131313"/>
              </w:rPr>
              <w:t>$3,421,681</w:t>
            </w:r>
          </w:p>
        </w:tc>
        <w:tc>
          <w:tcPr>
            <w:tcW w:w="1120" w:type="dxa"/>
            <w:vAlign w:val="bottom"/>
            <w:tcBorders>
              <w:bottom w:val="single" w:sz="8" w:color="214E93"/>
            </w:tcBorders>
          </w:tcPr>
          <w:p>
            <w:pPr>
              <w:jc w:val="right"/>
              <w:ind w:right="3"/>
              <w:spacing w:after="0"/>
              <w:rPr>
                <w:sz w:val="20"/>
                <w:szCs w:val="20"/>
                <w:color w:val="auto"/>
              </w:rPr>
            </w:pPr>
            <w:r>
              <w:rPr>
                <w:rFonts w:ascii="Verdana" w:cs="Verdana" w:eastAsia="Verdana" w:hAnsi="Verdana"/>
                <w:sz w:val="16"/>
                <w:szCs w:val="16"/>
                <w:color w:val="131313"/>
              </w:rPr>
              <w:t>$3,003,887</w:t>
            </w:r>
          </w:p>
        </w:tc>
      </w:tr>
    </w:tbl>
    <w:p>
      <w:pPr>
        <w:spacing w:after="0" w:line="20" w:lineRule="exact"/>
        <w:rPr>
          <w:sz w:val="20"/>
          <w:szCs w:val="20"/>
          <w:color w:val="auto"/>
        </w:rPr>
      </w:pPr>
    </w:p>
    <w:p>
      <w:pPr>
        <w:spacing w:after="0" w:line="119" w:lineRule="exact"/>
        <w:rPr>
          <w:sz w:val="20"/>
          <w:szCs w:val="20"/>
          <w:color w:val="auto"/>
        </w:rPr>
      </w:pPr>
    </w:p>
    <w:p>
      <w:pPr>
        <w:ind w:left="1260" w:hanging="350"/>
        <w:spacing w:after="0" w:line="226" w:lineRule="auto"/>
        <w:tabs>
          <w:tab w:leader="none" w:pos="1260" w:val="left"/>
        </w:tabs>
        <w:numPr>
          <w:ilvl w:val="0"/>
          <w:numId w:val="100"/>
        </w:numPr>
        <w:rPr>
          <w:rFonts w:ascii="Calibri" w:cs="Calibri" w:eastAsia="Calibri" w:hAnsi="Calibri"/>
          <w:sz w:val="14"/>
          <w:szCs w:val="14"/>
          <w:color w:val="auto"/>
        </w:rPr>
      </w:pPr>
      <w:r>
        <w:rPr>
          <w:rFonts w:ascii="Calibri" w:cs="Calibri" w:eastAsia="Calibri" w:hAnsi="Calibri"/>
          <w:sz w:val="14"/>
          <w:szCs w:val="14"/>
          <w:color w:val="auto"/>
        </w:rPr>
        <w:t>Includes $60.4 million, $11.6 million and $1.8 million of D/C/E capital expenditures related to carried-interest agreements for the years ended December 31, 2025, 2024 and 2023, respectively.</w:t>
      </w:r>
    </w:p>
    <w:p>
      <w:pPr>
        <w:spacing w:after="0" w:line="87" w:lineRule="exact"/>
        <w:rPr>
          <w:rFonts w:ascii="Calibri" w:cs="Calibri" w:eastAsia="Calibri" w:hAnsi="Calibri"/>
          <w:sz w:val="14"/>
          <w:szCs w:val="14"/>
          <w:color w:val="auto"/>
        </w:rPr>
      </w:pPr>
    </w:p>
    <w:p>
      <w:pPr>
        <w:ind w:left="1260" w:right="120" w:hanging="350"/>
        <w:spacing w:after="0" w:line="226" w:lineRule="auto"/>
        <w:tabs>
          <w:tab w:leader="none" w:pos="1260" w:val="left"/>
        </w:tabs>
        <w:numPr>
          <w:ilvl w:val="0"/>
          <w:numId w:val="100"/>
        </w:numPr>
        <w:rPr>
          <w:rFonts w:ascii="Calibri" w:cs="Calibri" w:eastAsia="Calibri" w:hAnsi="Calibri"/>
          <w:sz w:val="14"/>
          <w:szCs w:val="14"/>
          <w:color w:val="auto"/>
        </w:rPr>
      </w:pPr>
      <w:r>
        <w:rPr>
          <w:rFonts w:ascii="Calibri" w:cs="Calibri" w:eastAsia="Calibri" w:hAnsi="Calibri"/>
          <w:sz w:val="14"/>
          <w:szCs w:val="14"/>
          <w:color w:val="auto"/>
        </w:rPr>
        <w:t>Excludes midstream-related development and corporate costs of approximately $290.5 million, $510.0 million and $258.0 million for the years ended December 31, 2025, 2024 and 2023, respectively.</w:t>
      </w:r>
    </w:p>
    <w:p>
      <w:pPr>
        <w:spacing w:after="0" w:line="196" w:lineRule="exact"/>
        <w:rPr>
          <w:sz w:val="20"/>
          <w:szCs w:val="20"/>
          <w:color w:val="auto"/>
        </w:rPr>
      </w:pPr>
    </w:p>
    <w:p>
      <w:pPr>
        <w:ind w:left="780" w:firstLine="241"/>
        <w:spacing w:after="0" w:line="267" w:lineRule="auto"/>
        <w:rPr>
          <w:sz w:val="20"/>
          <w:szCs w:val="20"/>
          <w:color w:val="auto"/>
        </w:rPr>
      </w:pPr>
      <w:r>
        <w:rPr>
          <w:rFonts w:ascii="Calibri" w:cs="Calibri" w:eastAsia="Calibri" w:hAnsi="Calibri"/>
          <w:sz w:val="18"/>
          <w:szCs w:val="18"/>
          <w:color w:val="auto"/>
        </w:rPr>
        <w:t>Property acquisition costs are costs incurred to purchase, lease or otherwise acquire oil and natural gas properties, including both unproved and unevaluated leasehold and purchases of reserves in place. For the year ended December 31, 2024, a majority of the Company’s property acquisition costs resulted from the Ameredev Acquisition. For the year ended December 31, 2023, a majority of the Company’s property acquisition costs resulted from its acquisition of Advance Energy Partners Holdings, LLC from affiliates of EnCap Investments L.P. on April 12, 2023 and its acquisition of additional interests from affiliates of EnCap Investments L.P., including overriding royalty interests and royalty interests in certain oil and natural gas properties located primarily in Lea County, New Mexico, on December 1, 2023 (collectively, the “Advance Acquisition”).</w:t>
      </w:r>
    </w:p>
    <w:p>
      <w:pPr>
        <w:spacing w:after="0" w:line="220" w:lineRule="exact"/>
        <w:rPr>
          <w:sz w:val="20"/>
          <w:szCs w:val="20"/>
          <w:color w:val="auto"/>
        </w:rPr>
      </w:pPr>
    </w:p>
    <w:p>
      <w:pPr>
        <w:jc w:val="both"/>
        <w:ind w:left="780" w:right="20" w:firstLine="241"/>
        <w:spacing w:after="0" w:line="283" w:lineRule="auto"/>
        <w:rPr>
          <w:sz w:val="20"/>
          <w:szCs w:val="20"/>
          <w:color w:val="auto"/>
        </w:rPr>
      </w:pPr>
      <w:r>
        <w:rPr>
          <w:rFonts w:ascii="Calibri" w:cs="Calibri" w:eastAsia="Calibri" w:hAnsi="Calibri"/>
          <w:sz w:val="17"/>
          <w:szCs w:val="17"/>
          <w:color w:val="auto"/>
        </w:rPr>
        <w:t>Exploration costs are costs incurred in identifying areas of these oil and natural gas properties that may warrant examination and in examining specific areas that are considered to have prospects of containing oil and natural gas reserves, including costs of drilling exploratory wells, geological and geophysical costs and costs of carrying and retaining unproved and unevaluated properties.</w:t>
      </w:r>
    </w:p>
    <w:p>
      <w:pPr>
        <w:spacing w:after="0" w:line="10" w:lineRule="exact"/>
        <w:rPr>
          <w:sz w:val="20"/>
          <w:szCs w:val="20"/>
          <w:color w:val="auto"/>
        </w:rPr>
      </w:pPr>
    </w:p>
    <w:p>
      <w:pPr>
        <w:ind w:left="780" w:right="100"/>
        <w:spacing w:after="0" w:line="283" w:lineRule="auto"/>
        <w:rPr>
          <w:sz w:val="20"/>
          <w:szCs w:val="20"/>
          <w:color w:val="auto"/>
        </w:rPr>
      </w:pPr>
      <w:r>
        <w:rPr>
          <w:rFonts w:ascii="Calibri" w:cs="Calibri" w:eastAsia="Calibri" w:hAnsi="Calibri"/>
          <w:sz w:val="17"/>
          <w:szCs w:val="17"/>
          <w:color w:val="auto"/>
        </w:rPr>
        <w:t>Exploration costs may be incurred before or after acquiring the related oil and natural gas properties. For the year ended December 31, 2025 and 2024, the Company capitalized $2.6 million and $11.3 million of geological and geophysical costs, respectively, which are included as exploration costs in the table above. The Company did not capitalize any geological and geophysical costs in 2023.</w:t>
      </w:r>
    </w:p>
    <w:p>
      <w:pPr>
        <w:spacing w:after="0" w:line="206" w:lineRule="exact"/>
        <w:rPr>
          <w:sz w:val="20"/>
          <w:szCs w:val="20"/>
          <w:color w:val="auto"/>
        </w:rPr>
      </w:pPr>
    </w:p>
    <w:p>
      <w:pPr>
        <w:ind w:left="780" w:right="20" w:firstLine="241"/>
        <w:spacing w:after="0" w:line="261" w:lineRule="auto"/>
        <w:rPr>
          <w:sz w:val="20"/>
          <w:szCs w:val="20"/>
          <w:color w:val="auto"/>
        </w:rPr>
      </w:pPr>
      <w:r>
        <w:rPr>
          <w:rFonts w:ascii="Calibri" w:cs="Calibri" w:eastAsia="Calibri" w:hAnsi="Calibri"/>
          <w:sz w:val="18"/>
          <w:szCs w:val="18"/>
          <w:color w:val="auto"/>
        </w:rPr>
        <w:t>Development costs are costs incurred to obtain access to proved reserves and to provide facilities for extracting, treating, gathering and storing oil and natural gas. Development costs include the costs of preparing well locations for drilling, completing and equipping development wells and acquiring, constructing and installing production facilities.</w:t>
      </w:r>
    </w:p>
    <w:p>
      <w:pPr>
        <w:spacing w:after="0" w:line="223" w:lineRule="exact"/>
        <w:rPr>
          <w:sz w:val="20"/>
          <w:szCs w:val="20"/>
          <w:color w:val="auto"/>
        </w:rPr>
      </w:pPr>
    </w:p>
    <w:p>
      <w:pPr>
        <w:jc w:val="both"/>
        <w:ind w:left="780" w:right="360" w:firstLine="241"/>
        <w:spacing w:after="0" w:line="283" w:lineRule="auto"/>
        <w:rPr>
          <w:sz w:val="20"/>
          <w:szCs w:val="20"/>
          <w:color w:val="auto"/>
        </w:rPr>
      </w:pPr>
      <w:r>
        <w:rPr>
          <w:rFonts w:ascii="Calibri" w:cs="Calibri" w:eastAsia="Calibri" w:hAnsi="Calibri"/>
          <w:sz w:val="17"/>
          <w:szCs w:val="17"/>
          <w:color w:val="auto"/>
        </w:rPr>
        <w:t>Costs incurred also include newly established asset retirement obligations, as well as changes to asset retirement obligations resulting from revisions in cost estimates or abandonment dates. Asset retirement obligations included in the table above were increases of $20.0 million, $25.1 million and $33.8 million for the years ended December 31, 2025, 2024 and 2023, respectively.</w:t>
      </w:r>
    </w:p>
    <w:p>
      <w:pPr>
        <w:spacing w:after="0" w:line="10" w:lineRule="exact"/>
        <w:rPr>
          <w:sz w:val="20"/>
          <w:szCs w:val="20"/>
          <w:color w:val="auto"/>
        </w:rPr>
      </w:pPr>
    </w:p>
    <w:p>
      <w:pPr>
        <w:ind w:left="780" w:right="180"/>
        <w:spacing w:after="0" w:line="267" w:lineRule="auto"/>
        <w:rPr>
          <w:sz w:val="20"/>
          <w:szCs w:val="20"/>
          <w:color w:val="auto"/>
        </w:rPr>
      </w:pPr>
      <w:r>
        <w:rPr>
          <w:rFonts w:ascii="Calibri" w:cs="Calibri" w:eastAsia="Calibri" w:hAnsi="Calibri"/>
          <w:sz w:val="18"/>
          <w:szCs w:val="18"/>
          <w:color w:val="auto"/>
        </w:rPr>
        <w:t>Capitalized general and administrative expenses that are directly related to acquisition, exploration and development activities are also included in the table above. The Company capitalized $71.7 million, $66.6 million and $54.2 million of these internal costs for the years ended December 31, 2025, 2024 and 2023, respectively, excluding midstream-related capitalized general and administrative expenses. Capitalized interest expense for qualifying projects is also included in the table above. The Company capitalized $21.2 million, $17.5 million and $20.2 million of its interest expense for the years ended December 31, 2025, 2024 and 2023, respectively, excluding midstream-related capitalized interest expense.</w:t>
      </w:r>
    </w:p>
    <w:p>
      <w:pPr>
        <w:sectPr>
          <w:pgSz w:w="11880" w:h="15480" w:orient="portrait"/>
          <w:cols w:equalWidth="0" w:num="1">
            <w:col w:w="10340"/>
          </w:cols>
          <w:pgMar w:left="380" w:top="60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00"/>
        <w:spacing w:after="0"/>
        <w:rPr>
          <w:sz w:val="20"/>
          <w:szCs w:val="20"/>
          <w:color w:val="auto"/>
        </w:rPr>
      </w:pPr>
      <w:r>
        <w:rPr>
          <w:rFonts w:ascii="Calibri" w:cs="Calibri" w:eastAsia="Calibri" w:hAnsi="Calibri"/>
          <w:sz w:val="17"/>
          <w:szCs w:val="17"/>
          <w:color w:val="auto"/>
        </w:rPr>
        <w:t>Unaudited Supplementary Information FORM 10-K</w:t>
      </w:r>
    </w:p>
    <w:p>
      <w:pPr>
        <w:sectPr>
          <w:pgSz w:w="11880" w:h="15480" w:orient="portrait"/>
          <w:cols w:equalWidth="0" w:num="1">
            <w:col w:w="10340"/>
          </w:cols>
          <w:pgMar w:left="380" w:top="604" w:right="1160" w:bottom="0" w:gutter="0" w:footer="0" w:header="0"/>
          <w:type w:val="continuous"/>
        </w:sectPr>
      </w:pPr>
    </w:p>
    <w:bookmarkStart w:id="174" w:name="page175"/>
    <w:bookmarkEnd w:id="174"/>
    <w:tbl>
      <w:tblPr>
        <w:tblLayout w:type="fixed"/>
        <w:tblInd w:w="7880" w:type="dxa"/>
        <w:tblCellMar>
          <w:top w:w="0" w:type="dxa"/>
          <w:left w:w="0" w:type="dxa"/>
          <w:bottom w:w="0" w:type="dxa"/>
          <w:right w:w="0" w:type="dxa"/>
        </w:tblCellMar>
      </w:tblPr>
      <w:tr>
        <w:trPr>
          <w:trHeight w:val="220"/>
        </w:trPr>
        <w:tc>
          <w:tcPr>
            <w:tcW w:w="188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580" w:type="dxa"/>
            <w:vAlign w:val="bottom"/>
          </w:tcPr>
          <w:p>
            <w:pPr>
              <w:ind w:left="260"/>
              <w:spacing w:after="0"/>
              <w:rPr>
                <w:sz w:val="20"/>
                <w:szCs w:val="20"/>
                <w:color w:val="auto"/>
              </w:rPr>
            </w:pPr>
            <w:r>
              <w:rPr>
                <w:rFonts w:ascii="Calibri" w:cs="Calibri" w:eastAsia="Calibri" w:hAnsi="Calibri"/>
                <w:sz w:val="18"/>
                <w:szCs w:val="18"/>
                <w:color w:val="auto"/>
                <w:w w:val="93"/>
              </w:rPr>
              <w:t>F-44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343" name="Shape 3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43" o:spid="_x0000_s13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344" name="Shape 3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44" o:spid="_x0000_s13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Verdana" w:cs="Verdana" w:eastAsia="Verdana" w:hAnsi="Verdana"/>
          <w:sz w:val="20"/>
          <w:szCs w:val="20"/>
          <w:color w:val="214E93"/>
        </w:rPr>
        <w:t>SUPPLEMENTAL OIL AND NATURAL GAS DISCLOSURES — Continued</w:t>
      </w:r>
    </w:p>
    <w:p>
      <w:pPr>
        <w:spacing w:after="0" w:line="196"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214E93"/>
        </w:rPr>
        <w:t>Oil and Natural Gas Reserves</w:t>
      </w:r>
    </w:p>
    <w:p>
      <w:pPr>
        <w:spacing w:after="0" w:line="208" w:lineRule="exact"/>
        <w:rPr>
          <w:sz w:val="20"/>
          <w:szCs w:val="20"/>
          <w:color w:val="auto"/>
        </w:rPr>
      </w:pPr>
    </w:p>
    <w:p>
      <w:pPr>
        <w:ind w:right="800" w:firstLine="241"/>
        <w:spacing w:after="0" w:line="269" w:lineRule="auto"/>
        <w:rPr>
          <w:sz w:val="20"/>
          <w:szCs w:val="20"/>
          <w:color w:val="auto"/>
        </w:rPr>
      </w:pPr>
      <w:r>
        <w:rPr>
          <w:rFonts w:ascii="Calibri" w:cs="Calibri" w:eastAsia="Calibri" w:hAnsi="Calibri"/>
          <w:sz w:val="18"/>
          <w:szCs w:val="18"/>
          <w:color w:val="auto"/>
        </w:rPr>
        <w:t>Proved reserves are the quantities of oil and natural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Estimating oil and natural gas reserves is complex and inexact because of the numerous uncertainties inherent in the process. The process relies on interpretations of available geological, geophysical, petrophysical, engineering and production data. The extent, quality and reliability of both the data and the associated interpretations of that data can vary. The process also requires certain economic assumptions, including assumptions related to oil and natural gas prices, drilling, completion and operating expenses, capital expenditures, taxes and availability of funds. Actual future production, oil and natural gas prices, revenues, taxes, development expenditures, operating expenses and quantities of recoverable oil and natural gas most likely will vary from the Company’s estimates.</w:t>
      </w:r>
    </w:p>
    <w:p>
      <w:pPr>
        <w:spacing w:after="0" w:line="214" w:lineRule="exact"/>
        <w:rPr>
          <w:sz w:val="20"/>
          <w:szCs w:val="20"/>
          <w:color w:val="auto"/>
        </w:rPr>
      </w:pPr>
    </w:p>
    <w:p>
      <w:pPr>
        <w:ind w:right="860" w:firstLine="241"/>
        <w:spacing w:after="0" w:line="267" w:lineRule="auto"/>
        <w:rPr>
          <w:sz w:val="20"/>
          <w:szCs w:val="20"/>
          <w:color w:val="auto"/>
        </w:rPr>
      </w:pPr>
      <w:r>
        <w:rPr>
          <w:rFonts w:ascii="Calibri" w:cs="Calibri" w:eastAsia="Calibri" w:hAnsi="Calibri"/>
          <w:sz w:val="18"/>
          <w:szCs w:val="18"/>
          <w:color w:val="auto"/>
        </w:rPr>
        <w:t>The Company reports its production and proved reserves in two streams: oil and natural gas, including both dry and liquids-rich natural gas. Where the Company produces liquids-rich natural gas, such as in the Wolfcamp and Bone Spring plays in the Delaware Basin in Southeast New Mexico and West Texas, the economic value of the NGLs associated with the natural gas is included in the estimated wellhead natural gas price on those properties where the NGLs are extracted and sold. The Company’s oil and natural gas reserves estimates for the years ended December 31, 2025, 2024 and 2023 were prepared by the Company’s engineering staff in accordance with guidelines established by the SEC and then audited for their reasonableness and conformance with SEC guidelines by Netherland, Sewell &amp; Associates, Inc., independent reservoir engineers.</w:t>
      </w:r>
    </w:p>
    <w:p>
      <w:pPr>
        <w:spacing w:after="0" w:line="220" w:lineRule="exact"/>
        <w:rPr>
          <w:sz w:val="20"/>
          <w:szCs w:val="20"/>
          <w:color w:val="auto"/>
        </w:rPr>
      </w:pPr>
    </w:p>
    <w:p>
      <w:pPr>
        <w:ind w:right="800" w:firstLine="241"/>
        <w:spacing w:after="0" w:line="267" w:lineRule="auto"/>
        <w:rPr>
          <w:sz w:val="20"/>
          <w:szCs w:val="20"/>
          <w:color w:val="auto"/>
        </w:rPr>
      </w:pPr>
      <w:r>
        <w:rPr>
          <w:rFonts w:ascii="Calibri" w:cs="Calibri" w:eastAsia="Calibri" w:hAnsi="Calibri"/>
          <w:sz w:val="18"/>
          <w:szCs w:val="18"/>
          <w:color w:val="auto"/>
        </w:rPr>
        <w:t>Oil and natural gas reserves are estimated using then-current operating and economic conditions, with no provision for price and cost escalations in future periods except by contractual arrangements. The commodity prices used to estimate oil and natural gas reserves are based on unweighted, arithmetic averages of first-day-of-the-month oil and natural gas prices for the previous 12-month period. For the period from January through December 2025, these average oil and natural gas prices were $61.82 per Bbl and $3.39 per MMBtu, respectively. For the period from January through December 2024, these average oil and natural gas prices were $71.96 per Bbl and $2.13 per MMBtu, respectively. For the period from January through December 2023, these average oil and natural gas prices were $74.70 per Bbl and $2.64 per MMBtu, respectively.</w:t>
      </w:r>
    </w:p>
    <w:p>
      <w:pPr>
        <w:spacing w:after="0" w:line="220" w:lineRule="exact"/>
        <w:rPr>
          <w:sz w:val="20"/>
          <w:szCs w:val="20"/>
          <w:color w:val="auto"/>
        </w:rPr>
      </w:pPr>
    </w:p>
    <w:p>
      <w:pPr>
        <w:ind w:right="800" w:firstLine="241"/>
        <w:spacing w:after="0" w:line="285" w:lineRule="auto"/>
        <w:rPr>
          <w:sz w:val="20"/>
          <w:szCs w:val="20"/>
          <w:color w:val="auto"/>
        </w:rPr>
      </w:pPr>
      <w:r>
        <w:rPr>
          <w:rFonts w:ascii="Calibri" w:cs="Calibri" w:eastAsia="Calibri" w:hAnsi="Calibri"/>
          <w:sz w:val="17"/>
          <w:szCs w:val="17"/>
          <w:color w:val="auto"/>
        </w:rPr>
        <w:t>The Company’s net ownership in estimated quantities of proved oil and natural gas reserves and changes in net proved reserves are summarized as follows. All of the Company’s oil and natural gas reserves are attributable to properties located in the United States. The estimated reserves shown below are proved reserves only and do not include any value for unproved reserves classified as probable or possible reserves that might exist for these properties, nor do they include any consideration that could be attributed to interests in unevaluated acreage beyond those tracts for which reserves have been estimated. In the tables presented throughout this section, natural gas is converted to oil equivalent using the ratio of one Bbl of oil to six Mcf of natural gas.</w:t>
      </w:r>
    </w:p>
    <w:p>
      <w:pPr>
        <w:sectPr>
          <w:pgSz w:w="11880" w:h="15480" w:orient="portrait"/>
          <w:cols w:equalWidth="0" w:num="1">
            <w:col w:w="10340"/>
          </w:cols>
          <w:pgMar w:left="1160" w:top="498"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0"/>
        <w:spacing w:after="0"/>
        <w:rPr>
          <w:sz w:val="20"/>
          <w:szCs w:val="20"/>
          <w:color w:val="auto"/>
        </w:rPr>
      </w:pPr>
      <w:r>
        <w:rPr>
          <w:rFonts w:ascii="Calibri" w:cs="Calibri" w:eastAsia="Calibri" w:hAnsi="Calibri"/>
          <w:sz w:val="17"/>
          <w:szCs w:val="17"/>
          <w:color w:val="auto"/>
        </w:rPr>
        <w:t>Unaudited Supplementary Information FORM 10-K</w:t>
      </w:r>
    </w:p>
    <w:p>
      <w:pPr>
        <w:sectPr>
          <w:pgSz w:w="11880" w:h="15480" w:orient="portrait"/>
          <w:cols w:equalWidth="0" w:num="1">
            <w:col w:w="10340"/>
          </w:cols>
          <w:pgMar w:left="1160" w:top="498" w:right="380" w:bottom="0" w:gutter="0" w:footer="0" w:header="0"/>
          <w:type w:val="continuous"/>
        </w:sectPr>
      </w:pPr>
    </w:p>
    <w:bookmarkStart w:id="175" w:name="page176"/>
    <w:bookmarkEnd w:id="175"/>
    <w:p>
      <w:pPr>
        <w:spacing w:after="0"/>
        <w:tabs>
          <w:tab w:leader="none" w:pos="800" w:val="left"/>
        </w:tabs>
        <w:rPr>
          <w:sz w:val="20"/>
          <w:szCs w:val="20"/>
          <w:color w:val="auto"/>
        </w:rPr>
      </w:pPr>
      <w:r>
        <w:rPr>
          <w:rFonts w:ascii="Calibri" w:cs="Calibri" w:eastAsia="Calibri" w:hAnsi="Calibri"/>
          <w:sz w:val="18"/>
          <w:szCs w:val="18"/>
          <w:color w:val="auto"/>
        </w:rPr>
        <w:t>F-45</w:t>
      </w:r>
      <w:r>
        <w:rPr>
          <w:sz w:val="20"/>
          <w:szCs w:val="20"/>
          <w:color w:val="auto"/>
        </w:rPr>
        <w:tab/>
      </w:r>
      <w:r>
        <w:rPr>
          <w:rFonts w:ascii="Calibri" w:cs="Calibri" w:eastAsia="Calibri" w:hAnsi="Calibri"/>
          <w:sz w:val="17"/>
          <w:szCs w:val="17"/>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490220</wp:posOffset>
                </wp:positionH>
                <wp:positionV relativeFrom="paragraph">
                  <wp:posOffset>320675</wp:posOffset>
                </wp:positionV>
                <wp:extent cx="6812280" cy="0"/>
                <wp:wrapNone/>
                <wp:docPr id="345" name="Shape 3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45" o:spid="_x0000_s13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25.25pt" to="57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490220</wp:posOffset>
                </wp:positionH>
                <wp:positionV relativeFrom="paragraph">
                  <wp:posOffset>320675</wp:posOffset>
                </wp:positionV>
                <wp:extent cx="6812280" cy="0"/>
                <wp:wrapNone/>
                <wp:docPr id="346" name="Shape 3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46" o:spid="_x0000_s13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25.25pt" to="57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80"/>
        <w:spacing w:after="0"/>
        <w:rPr>
          <w:sz w:val="20"/>
          <w:szCs w:val="20"/>
          <w:color w:val="auto"/>
        </w:rPr>
      </w:pPr>
      <w:r>
        <w:rPr>
          <w:rFonts w:ascii="Verdana" w:cs="Verdana" w:eastAsia="Verdana" w:hAnsi="Verdana"/>
          <w:sz w:val="20"/>
          <w:szCs w:val="20"/>
          <w:color w:val="214E93"/>
        </w:rPr>
        <w:t>SUPPLEMENTAL OIL AND NATURAL GAS DISCLOSURES — Continued</w:t>
      </w:r>
    </w:p>
    <w:p>
      <w:pPr>
        <w:spacing w:after="0" w:line="83" w:lineRule="exact"/>
        <w:rPr>
          <w:sz w:val="20"/>
          <w:szCs w:val="20"/>
          <w:color w:val="auto"/>
        </w:rPr>
      </w:pPr>
    </w:p>
    <w:tbl>
      <w:tblPr>
        <w:tblLayout w:type="fixed"/>
        <w:tblInd w:w="780" w:type="dxa"/>
        <w:tblCellMar>
          <w:top w:w="0" w:type="dxa"/>
          <w:left w:w="0" w:type="dxa"/>
          <w:bottom w:w="0" w:type="dxa"/>
          <w:right w:w="0" w:type="dxa"/>
        </w:tblCellMar>
      </w:tblPr>
      <w:tr>
        <w:trPr>
          <w:trHeight w:val="193"/>
        </w:trPr>
        <w:tc>
          <w:tcPr>
            <w:tcW w:w="6580" w:type="dxa"/>
            <w:vAlign w:val="bottom"/>
          </w:tcPr>
          <w:p>
            <w:pPr>
              <w:spacing w:after="0"/>
              <w:rPr>
                <w:sz w:val="16"/>
                <w:szCs w:val="16"/>
                <w:color w:val="auto"/>
              </w:rPr>
            </w:pPr>
          </w:p>
        </w:tc>
        <w:tc>
          <w:tcPr>
            <w:tcW w:w="2980" w:type="dxa"/>
            <w:vAlign w:val="bottom"/>
            <w:tcBorders>
              <w:bottom w:val="single" w:sz="8" w:color="214E93"/>
            </w:tcBorders>
            <w:gridSpan w:val="3"/>
          </w:tcPr>
          <w:p>
            <w:pPr>
              <w:jc w:val="center"/>
              <w:spacing w:after="0"/>
              <w:rPr>
                <w:sz w:val="20"/>
                <w:szCs w:val="20"/>
                <w:color w:val="auto"/>
              </w:rPr>
            </w:pPr>
            <w:r>
              <w:rPr>
                <w:rFonts w:ascii="Verdana" w:cs="Verdana" w:eastAsia="Verdana" w:hAnsi="Verdana"/>
                <w:sz w:val="14"/>
                <w:szCs w:val="14"/>
                <w:color w:val="auto"/>
                <w:w w:val="98"/>
              </w:rPr>
              <w:t>Net Proved Reserves</w:t>
            </w:r>
          </w:p>
        </w:tc>
      </w:tr>
      <w:tr>
        <w:trPr>
          <w:trHeight w:val="186"/>
        </w:trPr>
        <w:tc>
          <w:tcPr>
            <w:tcW w:w="6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Verdana" w:cs="Verdana" w:eastAsia="Verdana" w:hAnsi="Verdana"/>
                <w:sz w:val="14"/>
                <w:szCs w:val="14"/>
                <w:color w:val="auto"/>
                <w:w w:val="95"/>
              </w:rPr>
              <w:t>Oil</w:t>
            </w:r>
          </w:p>
        </w:tc>
      </w:tr>
      <w:tr>
        <w:trPr>
          <w:trHeight w:val="193"/>
        </w:trPr>
        <w:tc>
          <w:tcPr>
            <w:tcW w:w="6580" w:type="dxa"/>
            <w:vAlign w:val="bottom"/>
            <w:tcBorders>
              <w:bottom w:val="single" w:sz="8" w:color="214E93"/>
            </w:tcBorders>
          </w:tcPr>
          <w:p>
            <w:pPr>
              <w:spacing w:after="0"/>
              <w:rPr>
                <w:sz w:val="16"/>
                <w:szCs w:val="16"/>
                <w:color w:val="auto"/>
              </w:rPr>
            </w:pPr>
          </w:p>
        </w:tc>
        <w:tc>
          <w:tcPr>
            <w:tcW w:w="1000" w:type="dxa"/>
            <w:vAlign w:val="bottom"/>
            <w:tcBorders>
              <w:bottom w:val="single" w:sz="8" w:color="214E93"/>
            </w:tcBorders>
          </w:tcPr>
          <w:p>
            <w:pPr>
              <w:jc w:val="right"/>
              <w:ind w:right="362"/>
              <w:spacing w:after="0"/>
              <w:rPr>
                <w:sz w:val="20"/>
                <w:szCs w:val="20"/>
                <w:color w:val="auto"/>
              </w:rPr>
            </w:pPr>
            <w:r>
              <w:rPr>
                <w:rFonts w:ascii="Verdana" w:cs="Verdana" w:eastAsia="Verdana" w:hAnsi="Verdana"/>
                <w:sz w:val="14"/>
                <w:szCs w:val="14"/>
                <w:color w:val="auto"/>
              </w:rPr>
              <w:t>Oil</w:t>
            </w:r>
          </w:p>
        </w:tc>
        <w:tc>
          <w:tcPr>
            <w:tcW w:w="104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auto"/>
                <w:w w:val="98"/>
              </w:rPr>
              <w:t>Natural Gas</w:t>
            </w:r>
          </w:p>
        </w:tc>
        <w:tc>
          <w:tcPr>
            <w:tcW w:w="94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auto"/>
              </w:rPr>
              <w:t>Equivalent</w:t>
            </w:r>
          </w:p>
        </w:tc>
      </w:tr>
      <w:tr>
        <w:trPr>
          <w:trHeight w:val="201"/>
        </w:trPr>
        <w:tc>
          <w:tcPr>
            <w:tcW w:w="6580" w:type="dxa"/>
            <w:vAlign w:val="bottom"/>
            <w:tcBorders>
              <w:bottom w:val="single" w:sz="8" w:color="214E93"/>
            </w:tcBorders>
          </w:tcPr>
          <w:p>
            <w:pPr>
              <w:spacing w:after="0"/>
              <w:rPr>
                <w:sz w:val="17"/>
                <w:szCs w:val="17"/>
                <w:color w:val="auto"/>
              </w:rPr>
            </w:pPr>
          </w:p>
        </w:tc>
        <w:tc>
          <w:tcPr>
            <w:tcW w:w="1000" w:type="dxa"/>
            <w:vAlign w:val="bottom"/>
            <w:tcBorders>
              <w:bottom w:val="single" w:sz="8" w:color="214E93"/>
            </w:tcBorders>
          </w:tcPr>
          <w:p>
            <w:pPr>
              <w:jc w:val="right"/>
              <w:ind w:right="222"/>
              <w:spacing w:after="0"/>
              <w:rPr>
                <w:sz w:val="20"/>
                <w:szCs w:val="20"/>
                <w:color w:val="auto"/>
              </w:rPr>
            </w:pPr>
            <w:r>
              <w:rPr>
                <w:rFonts w:ascii="Verdana" w:cs="Verdana" w:eastAsia="Verdana" w:hAnsi="Verdana"/>
                <w:sz w:val="14"/>
                <w:szCs w:val="14"/>
                <w:color w:val="auto"/>
              </w:rPr>
              <w:t>(MBbl)</w:t>
            </w:r>
          </w:p>
        </w:tc>
        <w:tc>
          <w:tcPr>
            <w:tcW w:w="104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auto"/>
                <w:w w:val="98"/>
              </w:rPr>
              <w:t>(MMcf)</w:t>
            </w:r>
          </w:p>
        </w:tc>
        <w:tc>
          <w:tcPr>
            <w:tcW w:w="940" w:type="dxa"/>
            <w:vAlign w:val="bottom"/>
            <w:tcBorders>
              <w:bottom w:val="single" w:sz="8" w:color="214E93"/>
            </w:tcBorders>
          </w:tcPr>
          <w:p>
            <w:pPr>
              <w:jc w:val="center"/>
              <w:spacing w:after="0"/>
              <w:rPr>
                <w:sz w:val="20"/>
                <w:szCs w:val="20"/>
                <w:color w:val="auto"/>
              </w:rPr>
            </w:pPr>
            <w:r>
              <w:rPr>
                <w:rFonts w:ascii="Verdana" w:cs="Verdana" w:eastAsia="Verdana" w:hAnsi="Verdana"/>
                <w:sz w:val="14"/>
                <w:szCs w:val="14"/>
                <w:color w:val="auto"/>
                <w:w w:val="99"/>
              </w:rPr>
              <w:t>(MBOE)</w:t>
            </w:r>
          </w:p>
        </w:tc>
      </w:tr>
      <w:tr>
        <w:trPr>
          <w:trHeight w:val="211"/>
        </w:trPr>
        <w:tc>
          <w:tcPr>
            <w:tcW w:w="6580" w:type="dxa"/>
            <w:vAlign w:val="bottom"/>
          </w:tcPr>
          <w:p>
            <w:pPr>
              <w:ind w:left="40"/>
              <w:spacing w:after="0"/>
              <w:rPr>
                <w:sz w:val="20"/>
                <w:szCs w:val="20"/>
                <w:color w:val="auto"/>
              </w:rPr>
            </w:pPr>
            <w:r>
              <w:rPr>
                <w:rFonts w:ascii="Verdana" w:cs="Verdana" w:eastAsia="Verdana" w:hAnsi="Verdana"/>
                <w:sz w:val="16"/>
                <w:szCs w:val="16"/>
                <w:color w:val="auto"/>
              </w:rPr>
              <w:t>Total at December 31, 2022</w:t>
            </w:r>
          </w:p>
        </w:tc>
        <w:tc>
          <w:tcPr>
            <w:tcW w:w="1000" w:type="dxa"/>
            <w:vAlign w:val="bottom"/>
          </w:tcPr>
          <w:p>
            <w:pPr>
              <w:jc w:val="right"/>
              <w:ind w:right="62"/>
              <w:spacing w:after="0"/>
              <w:rPr>
                <w:sz w:val="20"/>
                <w:szCs w:val="20"/>
                <w:color w:val="auto"/>
              </w:rPr>
            </w:pPr>
            <w:r>
              <w:rPr>
                <w:rFonts w:ascii="Verdana" w:cs="Verdana" w:eastAsia="Verdana" w:hAnsi="Verdana"/>
                <w:sz w:val="16"/>
                <w:szCs w:val="16"/>
                <w:color w:val="131313"/>
              </w:rPr>
              <w:t>196,289</w:t>
            </w:r>
          </w:p>
        </w:tc>
        <w:tc>
          <w:tcPr>
            <w:tcW w:w="1040" w:type="dxa"/>
            <w:vAlign w:val="bottom"/>
          </w:tcPr>
          <w:p>
            <w:pPr>
              <w:jc w:val="right"/>
              <w:ind w:right="82"/>
              <w:spacing w:after="0"/>
              <w:rPr>
                <w:sz w:val="20"/>
                <w:szCs w:val="20"/>
                <w:color w:val="auto"/>
              </w:rPr>
            </w:pPr>
            <w:r>
              <w:rPr>
                <w:rFonts w:ascii="Verdana" w:cs="Verdana" w:eastAsia="Verdana" w:hAnsi="Verdana"/>
                <w:sz w:val="16"/>
                <w:szCs w:val="16"/>
                <w:color w:val="131313"/>
              </w:rPr>
              <w:t>962,594</w:t>
            </w:r>
          </w:p>
        </w:tc>
        <w:tc>
          <w:tcPr>
            <w:tcW w:w="940" w:type="dxa"/>
            <w:vAlign w:val="bottom"/>
          </w:tcPr>
          <w:p>
            <w:pPr>
              <w:jc w:val="right"/>
              <w:ind w:right="2"/>
              <w:spacing w:after="0"/>
              <w:rPr>
                <w:sz w:val="20"/>
                <w:szCs w:val="20"/>
                <w:color w:val="auto"/>
              </w:rPr>
            </w:pPr>
            <w:r>
              <w:rPr>
                <w:rFonts w:ascii="Verdana" w:cs="Verdana" w:eastAsia="Verdana" w:hAnsi="Verdana"/>
                <w:sz w:val="16"/>
                <w:szCs w:val="16"/>
                <w:color w:val="131313"/>
              </w:rPr>
              <w:t>356,722</w:t>
            </w:r>
          </w:p>
        </w:tc>
      </w:tr>
      <w:tr>
        <w:trPr>
          <w:trHeight w:val="235"/>
        </w:trPr>
        <w:tc>
          <w:tcPr>
            <w:tcW w:w="6580" w:type="dxa"/>
            <w:vAlign w:val="bottom"/>
          </w:tcPr>
          <w:p>
            <w:pPr>
              <w:ind w:left="160"/>
              <w:spacing w:after="0"/>
              <w:rPr>
                <w:sz w:val="20"/>
                <w:szCs w:val="20"/>
                <w:color w:val="auto"/>
              </w:rPr>
            </w:pPr>
            <w:r>
              <w:rPr>
                <w:rFonts w:ascii="Verdana" w:cs="Verdana" w:eastAsia="Verdana" w:hAnsi="Verdana"/>
                <w:sz w:val="16"/>
                <w:szCs w:val="16"/>
                <w:color w:val="auto"/>
              </w:rPr>
              <w:t>Revisions of prior estimates</w:t>
            </w:r>
          </w:p>
        </w:tc>
        <w:tc>
          <w:tcPr>
            <w:tcW w:w="1000" w:type="dxa"/>
            <w:vAlign w:val="bottom"/>
          </w:tcPr>
          <w:p>
            <w:pPr>
              <w:jc w:val="right"/>
              <w:spacing w:after="0"/>
              <w:rPr>
                <w:sz w:val="20"/>
                <w:szCs w:val="20"/>
                <w:color w:val="auto"/>
              </w:rPr>
            </w:pPr>
            <w:r>
              <w:rPr>
                <w:rFonts w:ascii="Verdana" w:cs="Verdana" w:eastAsia="Verdana" w:hAnsi="Verdana"/>
                <w:sz w:val="16"/>
                <w:szCs w:val="16"/>
                <w:color w:val="131313"/>
              </w:rPr>
              <w:t>(31,184)</w:t>
            </w:r>
          </w:p>
        </w:tc>
        <w:tc>
          <w:tcPr>
            <w:tcW w:w="1040" w:type="dxa"/>
            <w:vAlign w:val="bottom"/>
          </w:tcPr>
          <w:p>
            <w:pPr>
              <w:jc w:val="right"/>
              <w:ind w:right="22"/>
              <w:spacing w:after="0"/>
              <w:rPr>
                <w:sz w:val="20"/>
                <w:szCs w:val="20"/>
                <w:color w:val="auto"/>
              </w:rPr>
            </w:pPr>
            <w:r>
              <w:rPr>
                <w:rFonts w:ascii="Verdana" w:cs="Verdana" w:eastAsia="Verdana" w:hAnsi="Verdana"/>
                <w:sz w:val="16"/>
                <w:szCs w:val="16"/>
                <w:color w:val="131313"/>
              </w:rPr>
              <w:t>(88,779)</w:t>
            </w:r>
          </w:p>
        </w:tc>
        <w:tc>
          <w:tcPr>
            <w:tcW w:w="940" w:type="dxa"/>
            <w:vAlign w:val="bottom"/>
          </w:tcPr>
          <w:p>
            <w:pPr>
              <w:jc w:val="right"/>
              <w:spacing w:after="0"/>
              <w:rPr>
                <w:sz w:val="20"/>
                <w:szCs w:val="20"/>
                <w:color w:val="auto"/>
              </w:rPr>
            </w:pPr>
            <w:r>
              <w:rPr>
                <w:rFonts w:ascii="Verdana" w:cs="Verdana" w:eastAsia="Verdana" w:hAnsi="Verdana"/>
                <w:sz w:val="16"/>
                <w:szCs w:val="16"/>
                <w:color w:val="131313"/>
              </w:rPr>
              <w:t>(45,981)</w:t>
            </w:r>
          </w:p>
        </w:tc>
      </w:tr>
      <w:tr>
        <w:trPr>
          <w:trHeight w:val="236"/>
        </w:trPr>
        <w:tc>
          <w:tcPr>
            <w:tcW w:w="6580" w:type="dxa"/>
            <w:vAlign w:val="bottom"/>
          </w:tcPr>
          <w:p>
            <w:pPr>
              <w:ind w:left="160"/>
              <w:spacing w:after="0"/>
              <w:rPr>
                <w:sz w:val="20"/>
                <w:szCs w:val="20"/>
                <w:color w:val="auto"/>
              </w:rPr>
            </w:pPr>
            <w:r>
              <w:rPr>
                <w:rFonts w:ascii="Verdana" w:cs="Verdana" w:eastAsia="Verdana" w:hAnsi="Verdana"/>
                <w:sz w:val="16"/>
                <w:szCs w:val="16"/>
                <w:color w:val="auto"/>
              </w:rPr>
              <w:t>Net acquisitions of minerals-in-place</w:t>
            </w:r>
          </w:p>
        </w:tc>
        <w:tc>
          <w:tcPr>
            <w:tcW w:w="1000" w:type="dxa"/>
            <w:vAlign w:val="bottom"/>
          </w:tcPr>
          <w:p>
            <w:pPr>
              <w:jc w:val="right"/>
              <w:ind w:right="62"/>
              <w:spacing w:after="0"/>
              <w:rPr>
                <w:sz w:val="20"/>
                <w:szCs w:val="20"/>
                <w:color w:val="auto"/>
              </w:rPr>
            </w:pPr>
            <w:r>
              <w:rPr>
                <w:rFonts w:ascii="Verdana" w:cs="Verdana" w:eastAsia="Verdana" w:hAnsi="Verdana"/>
                <w:sz w:val="16"/>
                <w:szCs w:val="16"/>
                <w:color w:val="131313"/>
              </w:rPr>
              <w:t>78,550</w:t>
            </w:r>
          </w:p>
        </w:tc>
        <w:tc>
          <w:tcPr>
            <w:tcW w:w="1040" w:type="dxa"/>
            <w:vAlign w:val="bottom"/>
          </w:tcPr>
          <w:p>
            <w:pPr>
              <w:jc w:val="right"/>
              <w:ind w:right="82"/>
              <w:spacing w:after="0"/>
              <w:rPr>
                <w:sz w:val="20"/>
                <w:szCs w:val="20"/>
                <w:color w:val="auto"/>
              </w:rPr>
            </w:pPr>
            <w:r>
              <w:rPr>
                <w:rFonts w:ascii="Verdana" w:cs="Verdana" w:eastAsia="Verdana" w:hAnsi="Verdana"/>
                <w:sz w:val="16"/>
                <w:szCs w:val="16"/>
                <w:color w:val="131313"/>
              </w:rPr>
              <w:t>183,311</w:t>
            </w:r>
          </w:p>
        </w:tc>
        <w:tc>
          <w:tcPr>
            <w:tcW w:w="940" w:type="dxa"/>
            <w:vAlign w:val="bottom"/>
          </w:tcPr>
          <w:p>
            <w:pPr>
              <w:jc w:val="right"/>
              <w:ind w:right="2"/>
              <w:spacing w:after="0"/>
              <w:rPr>
                <w:sz w:val="20"/>
                <w:szCs w:val="20"/>
                <w:color w:val="auto"/>
              </w:rPr>
            </w:pPr>
            <w:r>
              <w:rPr>
                <w:rFonts w:ascii="Verdana" w:cs="Verdana" w:eastAsia="Verdana" w:hAnsi="Verdana"/>
                <w:sz w:val="16"/>
                <w:szCs w:val="16"/>
                <w:color w:val="131313"/>
              </w:rPr>
              <w:t>109,102</w:t>
            </w:r>
          </w:p>
        </w:tc>
      </w:tr>
      <w:tr>
        <w:trPr>
          <w:trHeight w:val="236"/>
        </w:trPr>
        <w:tc>
          <w:tcPr>
            <w:tcW w:w="6580" w:type="dxa"/>
            <w:vAlign w:val="bottom"/>
          </w:tcPr>
          <w:p>
            <w:pPr>
              <w:ind w:left="160"/>
              <w:spacing w:after="0"/>
              <w:rPr>
                <w:sz w:val="20"/>
                <w:szCs w:val="20"/>
                <w:color w:val="auto"/>
              </w:rPr>
            </w:pPr>
            <w:r>
              <w:rPr>
                <w:rFonts w:ascii="Verdana" w:cs="Verdana" w:eastAsia="Verdana" w:hAnsi="Verdana"/>
                <w:sz w:val="16"/>
                <w:szCs w:val="16"/>
                <w:color w:val="auto"/>
              </w:rPr>
              <w:t>Extensions and discoveries</w:t>
            </w:r>
          </w:p>
        </w:tc>
        <w:tc>
          <w:tcPr>
            <w:tcW w:w="1000" w:type="dxa"/>
            <w:vAlign w:val="bottom"/>
          </w:tcPr>
          <w:p>
            <w:pPr>
              <w:jc w:val="right"/>
              <w:ind w:right="62"/>
              <w:spacing w:after="0"/>
              <w:rPr>
                <w:sz w:val="20"/>
                <w:szCs w:val="20"/>
                <w:color w:val="auto"/>
              </w:rPr>
            </w:pPr>
            <w:r>
              <w:rPr>
                <w:rFonts w:ascii="Verdana" w:cs="Verdana" w:eastAsia="Verdana" w:hAnsi="Verdana"/>
                <w:sz w:val="16"/>
                <w:szCs w:val="16"/>
                <w:color w:val="131313"/>
              </w:rPr>
              <w:t>56,164</w:t>
            </w:r>
          </w:p>
        </w:tc>
        <w:tc>
          <w:tcPr>
            <w:tcW w:w="1040" w:type="dxa"/>
            <w:vAlign w:val="bottom"/>
          </w:tcPr>
          <w:p>
            <w:pPr>
              <w:jc w:val="right"/>
              <w:ind w:right="82"/>
              <w:spacing w:after="0"/>
              <w:rPr>
                <w:sz w:val="20"/>
                <w:szCs w:val="20"/>
                <w:color w:val="auto"/>
              </w:rPr>
            </w:pPr>
            <w:r>
              <w:rPr>
                <w:rFonts w:ascii="Verdana" w:cs="Verdana" w:eastAsia="Verdana" w:hAnsi="Verdana"/>
                <w:sz w:val="16"/>
                <w:szCs w:val="16"/>
                <w:color w:val="131313"/>
              </w:rPr>
              <w:t>193,054</w:t>
            </w:r>
          </w:p>
        </w:tc>
        <w:tc>
          <w:tcPr>
            <w:tcW w:w="940" w:type="dxa"/>
            <w:vAlign w:val="bottom"/>
          </w:tcPr>
          <w:p>
            <w:pPr>
              <w:jc w:val="right"/>
              <w:ind w:right="2"/>
              <w:spacing w:after="0"/>
              <w:rPr>
                <w:sz w:val="20"/>
                <w:szCs w:val="20"/>
                <w:color w:val="auto"/>
              </w:rPr>
            </w:pPr>
            <w:r>
              <w:rPr>
                <w:rFonts w:ascii="Verdana" w:cs="Verdana" w:eastAsia="Verdana" w:hAnsi="Verdana"/>
                <w:sz w:val="16"/>
                <w:szCs w:val="16"/>
                <w:color w:val="131313"/>
              </w:rPr>
              <w:t>88,339</w:t>
            </w:r>
          </w:p>
        </w:tc>
      </w:tr>
      <w:tr>
        <w:trPr>
          <w:trHeight w:val="242"/>
        </w:trPr>
        <w:tc>
          <w:tcPr>
            <w:tcW w:w="6580" w:type="dxa"/>
            <w:vAlign w:val="bottom"/>
            <w:tcBorders>
              <w:bottom w:val="single" w:sz="8" w:color="auto"/>
            </w:tcBorders>
          </w:tcPr>
          <w:p>
            <w:pPr>
              <w:ind w:left="160"/>
              <w:spacing w:after="0"/>
              <w:rPr>
                <w:sz w:val="20"/>
                <w:szCs w:val="20"/>
                <w:color w:val="auto"/>
              </w:rPr>
            </w:pPr>
            <w:r>
              <w:rPr>
                <w:rFonts w:ascii="Verdana" w:cs="Verdana" w:eastAsia="Verdana" w:hAnsi="Verdana"/>
                <w:sz w:val="16"/>
                <w:szCs w:val="16"/>
                <w:color w:val="auto"/>
              </w:rPr>
              <w:t>Production</w:t>
            </w: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131313"/>
              </w:rPr>
              <w:t>(27,542)</w:t>
            </w:r>
          </w:p>
        </w:tc>
        <w:tc>
          <w:tcPr>
            <w:tcW w:w="1040" w:type="dxa"/>
            <w:vAlign w:val="bottom"/>
            <w:tcBorders>
              <w:bottom w:val="single" w:sz="8" w:color="auto"/>
            </w:tcBorders>
          </w:tcPr>
          <w:p>
            <w:pPr>
              <w:jc w:val="right"/>
              <w:ind w:right="22"/>
              <w:spacing w:after="0"/>
              <w:rPr>
                <w:sz w:val="20"/>
                <w:szCs w:val="20"/>
                <w:color w:val="auto"/>
              </w:rPr>
            </w:pPr>
            <w:r>
              <w:rPr>
                <w:rFonts w:ascii="Verdana" w:cs="Verdana" w:eastAsia="Verdana" w:hAnsi="Verdana"/>
                <w:sz w:val="16"/>
                <w:szCs w:val="16"/>
                <w:color w:val="131313"/>
              </w:rPr>
              <w:t>(123,420)</w:t>
            </w: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131313"/>
              </w:rPr>
              <w:t>(48,112)</w:t>
            </w:r>
          </w:p>
        </w:tc>
      </w:tr>
      <w:tr>
        <w:trPr>
          <w:trHeight w:val="211"/>
        </w:trPr>
        <w:tc>
          <w:tcPr>
            <w:tcW w:w="6580" w:type="dxa"/>
            <w:vAlign w:val="bottom"/>
          </w:tcPr>
          <w:p>
            <w:pPr>
              <w:ind w:left="40"/>
              <w:spacing w:after="0"/>
              <w:rPr>
                <w:sz w:val="20"/>
                <w:szCs w:val="20"/>
                <w:color w:val="auto"/>
              </w:rPr>
            </w:pPr>
            <w:r>
              <w:rPr>
                <w:rFonts w:ascii="Verdana" w:cs="Verdana" w:eastAsia="Verdana" w:hAnsi="Verdana"/>
                <w:sz w:val="16"/>
                <w:szCs w:val="16"/>
                <w:color w:val="auto"/>
              </w:rPr>
              <w:t>Total at December 31, 2023</w:t>
            </w:r>
          </w:p>
        </w:tc>
        <w:tc>
          <w:tcPr>
            <w:tcW w:w="1000" w:type="dxa"/>
            <w:vAlign w:val="bottom"/>
          </w:tcPr>
          <w:p>
            <w:pPr>
              <w:jc w:val="right"/>
              <w:ind w:right="62"/>
              <w:spacing w:after="0"/>
              <w:rPr>
                <w:sz w:val="20"/>
                <w:szCs w:val="20"/>
                <w:color w:val="auto"/>
              </w:rPr>
            </w:pPr>
            <w:r>
              <w:rPr>
                <w:rFonts w:ascii="Verdana" w:cs="Verdana" w:eastAsia="Verdana" w:hAnsi="Verdana"/>
                <w:sz w:val="16"/>
                <w:szCs w:val="16"/>
                <w:color w:val="131313"/>
              </w:rPr>
              <w:t>272,277</w:t>
            </w:r>
          </w:p>
        </w:tc>
        <w:tc>
          <w:tcPr>
            <w:tcW w:w="1040" w:type="dxa"/>
            <w:vAlign w:val="bottom"/>
          </w:tcPr>
          <w:p>
            <w:pPr>
              <w:jc w:val="center"/>
              <w:ind w:right="2"/>
              <w:spacing w:after="0"/>
              <w:rPr>
                <w:sz w:val="20"/>
                <w:szCs w:val="20"/>
                <w:color w:val="auto"/>
              </w:rPr>
            </w:pPr>
            <w:r>
              <w:rPr>
                <w:rFonts w:ascii="Verdana" w:cs="Verdana" w:eastAsia="Verdana" w:hAnsi="Verdana"/>
                <w:sz w:val="16"/>
                <w:szCs w:val="16"/>
                <w:color w:val="131313"/>
                <w:w w:val="96"/>
              </w:rPr>
              <w:t>1,126,760</w:t>
            </w:r>
          </w:p>
        </w:tc>
        <w:tc>
          <w:tcPr>
            <w:tcW w:w="940" w:type="dxa"/>
            <w:vAlign w:val="bottom"/>
          </w:tcPr>
          <w:p>
            <w:pPr>
              <w:jc w:val="right"/>
              <w:ind w:right="2"/>
              <w:spacing w:after="0"/>
              <w:rPr>
                <w:sz w:val="20"/>
                <w:szCs w:val="20"/>
                <w:color w:val="auto"/>
              </w:rPr>
            </w:pPr>
            <w:r>
              <w:rPr>
                <w:rFonts w:ascii="Verdana" w:cs="Verdana" w:eastAsia="Verdana" w:hAnsi="Verdana"/>
                <w:sz w:val="16"/>
                <w:szCs w:val="16"/>
                <w:color w:val="131313"/>
              </w:rPr>
              <w:t>460,070</w:t>
            </w:r>
          </w:p>
        </w:tc>
      </w:tr>
      <w:tr>
        <w:trPr>
          <w:trHeight w:val="236"/>
        </w:trPr>
        <w:tc>
          <w:tcPr>
            <w:tcW w:w="6580" w:type="dxa"/>
            <w:vAlign w:val="bottom"/>
          </w:tcPr>
          <w:p>
            <w:pPr>
              <w:ind w:left="160"/>
              <w:spacing w:after="0"/>
              <w:rPr>
                <w:sz w:val="20"/>
                <w:szCs w:val="20"/>
                <w:color w:val="auto"/>
              </w:rPr>
            </w:pPr>
            <w:r>
              <w:rPr>
                <w:rFonts w:ascii="Verdana" w:cs="Verdana" w:eastAsia="Verdana" w:hAnsi="Verdana"/>
                <w:sz w:val="16"/>
                <w:szCs w:val="16"/>
                <w:color w:val="auto"/>
              </w:rPr>
              <w:t>Revisions of prior estimates</w:t>
            </w:r>
          </w:p>
        </w:tc>
        <w:tc>
          <w:tcPr>
            <w:tcW w:w="1000" w:type="dxa"/>
            <w:vAlign w:val="bottom"/>
          </w:tcPr>
          <w:p>
            <w:pPr>
              <w:jc w:val="right"/>
              <w:spacing w:after="0"/>
              <w:rPr>
                <w:sz w:val="20"/>
                <w:szCs w:val="20"/>
                <w:color w:val="auto"/>
              </w:rPr>
            </w:pPr>
            <w:r>
              <w:rPr>
                <w:rFonts w:ascii="Verdana" w:cs="Verdana" w:eastAsia="Verdana" w:hAnsi="Verdana"/>
                <w:sz w:val="16"/>
                <w:szCs w:val="16"/>
                <w:color w:val="131313"/>
              </w:rPr>
              <w:t>(11,264)</w:t>
            </w:r>
          </w:p>
        </w:tc>
        <w:tc>
          <w:tcPr>
            <w:tcW w:w="1040" w:type="dxa"/>
            <w:vAlign w:val="bottom"/>
          </w:tcPr>
          <w:p>
            <w:pPr>
              <w:jc w:val="right"/>
              <w:ind w:right="82"/>
              <w:spacing w:after="0"/>
              <w:rPr>
                <w:sz w:val="20"/>
                <w:szCs w:val="20"/>
                <w:color w:val="auto"/>
              </w:rPr>
            </w:pPr>
            <w:r>
              <w:rPr>
                <w:rFonts w:ascii="Verdana" w:cs="Verdana" w:eastAsia="Verdana" w:hAnsi="Verdana"/>
                <w:sz w:val="16"/>
                <w:szCs w:val="16"/>
                <w:color w:val="131313"/>
              </w:rPr>
              <w:t>32,640</w:t>
            </w:r>
          </w:p>
        </w:tc>
        <w:tc>
          <w:tcPr>
            <w:tcW w:w="940" w:type="dxa"/>
            <w:vAlign w:val="bottom"/>
          </w:tcPr>
          <w:p>
            <w:pPr>
              <w:jc w:val="right"/>
              <w:spacing w:after="0"/>
              <w:rPr>
                <w:sz w:val="20"/>
                <w:szCs w:val="20"/>
                <w:color w:val="auto"/>
              </w:rPr>
            </w:pPr>
            <w:r>
              <w:rPr>
                <w:rFonts w:ascii="Verdana" w:cs="Verdana" w:eastAsia="Verdana" w:hAnsi="Verdana"/>
                <w:sz w:val="16"/>
                <w:szCs w:val="16"/>
                <w:color w:val="131313"/>
              </w:rPr>
              <w:t>(5,824)</w:t>
            </w:r>
          </w:p>
        </w:tc>
      </w:tr>
      <w:tr>
        <w:trPr>
          <w:trHeight w:val="236"/>
        </w:trPr>
        <w:tc>
          <w:tcPr>
            <w:tcW w:w="6580" w:type="dxa"/>
            <w:vAlign w:val="bottom"/>
          </w:tcPr>
          <w:p>
            <w:pPr>
              <w:ind w:left="160"/>
              <w:spacing w:after="0"/>
              <w:rPr>
                <w:sz w:val="20"/>
                <w:szCs w:val="20"/>
                <w:color w:val="auto"/>
              </w:rPr>
            </w:pPr>
            <w:r>
              <w:rPr>
                <w:rFonts w:ascii="Verdana" w:cs="Verdana" w:eastAsia="Verdana" w:hAnsi="Verdana"/>
                <w:sz w:val="16"/>
                <w:szCs w:val="16"/>
                <w:color w:val="auto"/>
              </w:rPr>
              <w:t>Net acquisitions of minerals-in-place</w:t>
            </w:r>
          </w:p>
        </w:tc>
        <w:tc>
          <w:tcPr>
            <w:tcW w:w="1000" w:type="dxa"/>
            <w:vAlign w:val="bottom"/>
          </w:tcPr>
          <w:p>
            <w:pPr>
              <w:jc w:val="right"/>
              <w:ind w:right="62"/>
              <w:spacing w:after="0"/>
              <w:rPr>
                <w:sz w:val="20"/>
                <w:szCs w:val="20"/>
                <w:color w:val="auto"/>
              </w:rPr>
            </w:pPr>
            <w:r>
              <w:rPr>
                <w:rFonts w:ascii="Verdana" w:cs="Verdana" w:eastAsia="Verdana" w:hAnsi="Verdana"/>
                <w:sz w:val="16"/>
                <w:szCs w:val="16"/>
                <w:color w:val="131313"/>
              </w:rPr>
              <w:t>73,347</w:t>
            </w:r>
          </w:p>
        </w:tc>
        <w:tc>
          <w:tcPr>
            <w:tcW w:w="1040" w:type="dxa"/>
            <w:vAlign w:val="bottom"/>
          </w:tcPr>
          <w:p>
            <w:pPr>
              <w:jc w:val="right"/>
              <w:ind w:right="82"/>
              <w:spacing w:after="0"/>
              <w:rPr>
                <w:sz w:val="20"/>
                <w:szCs w:val="20"/>
                <w:color w:val="auto"/>
              </w:rPr>
            </w:pPr>
            <w:r>
              <w:rPr>
                <w:rFonts w:ascii="Verdana" w:cs="Verdana" w:eastAsia="Verdana" w:hAnsi="Verdana"/>
                <w:sz w:val="16"/>
                <w:szCs w:val="16"/>
                <w:color w:val="131313"/>
              </w:rPr>
              <w:t>279,170</w:t>
            </w:r>
          </w:p>
        </w:tc>
        <w:tc>
          <w:tcPr>
            <w:tcW w:w="940" w:type="dxa"/>
            <w:vAlign w:val="bottom"/>
          </w:tcPr>
          <w:p>
            <w:pPr>
              <w:jc w:val="right"/>
              <w:ind w:right="2"/>
              <w:spacing w:after="0"/>
              <w:rPr>
                <w:sz w:val="20"/>
                <w:szCs w:val="20"/>
                <w:color w:val="auto"/>
              </w:rPr>
            </w:pPr>
            <w:r>
              <w:rPr>
                <w:rFonts w:ascii="Verdana" w:cs="Verdana" w:eastAsia="Verdana" w:hAnsi="Verdana"/>
                <w:sz w:val="16"/>
                <w:szCs w:val="16"/>
                <w:color w:val="131313"/>
              </w:rPr>
              <w:t>119,875</w:t>
            </w:r>
          </w:p>
        </w:tc>
      </w:tr>
      <w:tr>
        <w:trPr>
          <w:trHeight w:val="236"/>
        </w:trPr>
        <w:tc>
          <w:tcPr>
            <w:tcW w:w="6580" w:type="dxa"/>
            <w:vAlign w:val="bottom"/>
          </w:tcPr>
          <w:p>
            <w:pPr>
              <w:ind w:left="160"/>
              <w:spacing w:after="0"/>
              <w:rPr>
                <w:sz w:val="20"/>
                <w:szCs w:val="20"/>
                <w:color w:val="auto"/>
              </w:rPr>
            </w:pPr>
            <w:r>
              <w:rPr>
                <w:rFonts w:ascii="Verdana" w:cs="Verdana" w:eastAsia="Verdana" w:hAnsi="Verdana"/>
                <w:sz w:val="16"/>
                <w:szCs w:val="16"/>
                <w:color w:val="auto"/>
              </w:rPr>
              <w:t>Extensions and discoveries</w:t>
            </w:r>
          </w:p>
        </w:tc>
        <w:tc>
          <w:tcPr>
            <w:tcW w:w="1000" w:type="dxa"/>
            <w:vAlign w:val="bottom"/>
          </w:tcPr>
          <w:p>
            <w:pPr>
              <w:jc w:val="right"/>
              <w:ind w:right="62"/>
              <w:spacing w:after="0"/>
              <w:rPr>
                <w:sz w:val="20"/>
                <w:szCs w:val="20"/>
                <w:color w:val="auto"/>
              </w:rPr>
            </w:pPr>
            <w:r>
              <w:rPr>
                <w:rFonts w:ascii="Verdana" w:cs="Verdana" w:eastAsia="Verdana" w:hAnsi="Verdana"/>
                <w:sz w:val="16"/>
                <w:szCs w:val="16"/>
                <w:color w:val="131313"/>
              </w:rPr>
              <w:t>64,012</w:t>
            </w:r>
          </w:p>
        </w:tc>
        <w:tc>
          <w:tcPr>
            <w:tcW w:w="1040" w:type="dxa"/>
            <w:vAlign w:val="bottom"/>
          </w:tcPr>
          <w:p>
            <w:pPr>
              <w:jc w:val="right"/>
              <w:ind w:right="82"/>
              <w:spacing w:after="0"/>
              <w:rPr>
                <w:sz w:val="20"/>
                <w:szCs w:val="20"/>
                <w:color w:val="auto"/>
              </w:rPr>
            </w:pPr>
            <w:r>
              <w:rPr>
                <w:rFonts w:ascii="Verdana" w:cs="Verdana" w:eastAsia="Verdana" w:hAnsi="Verdana"/>
                <w:sz w:val="16"/>
                <w:szCs w:val="16"/>
                <w:color w:val="131313"/>
              </w:rPr>
              <w:t>215,389</w:t>
            </w:r>
          </w:p>
        </w:tc>
        <w:tc>
          <w:tcPr>
            <w:tcW w:w="940" w:type="dxa"/>
            <w:vAlign w:val="bottom"/>
          </w:tcPr>
          <w:p>
            <w:pPr>
              <w:jc w:val="right"/>
              <w:ind w:right="2"/>
              <w:spacing w:after="0"/>
              <w:rPr>
                <w:sz w:val="20"/>
                <w:szCs w:val="20"/>
                <w:color w:val="auto"/>
              </w:rPr>
            </w:pPr>
            <w:r>
              <w:rPr>
                <w:rFonts w:ascii="Verdana" w:cs="Verdana" w:eastAsia="Verdana" w:hAnsi="Verdana"/>
                <w:sz w:val="16"/>
                <w:szCs w:val="16"/>
                <w:color w:val="131313"/>
              </w:rPr>
              <w:t>99,910</w:t>
            </w:r>
          </w:p>
        </w:tc>
      </w:tr>
      <w:tr>
        <w:trPr>
          <w:trHeight w:val="242"/>
        </w:trPr>
        <w:tc>
          <w:tcPr>
            <w:tcW w:w="658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Production</w:t>
            </w: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131313"/>
              </w:rPr>
              <w:t>(36,530)</w:t>
            </w:r>
          </w:p>
        </w:tc>
        <w:tc>
          <w:tcPr>
            <w:tcW w:w="1040" w:type="dxa"/>
            <w:vAlign w:val="bottom"/>
            <w:tcBorders>
              <w:bottom w:val="single" w:sz="8" w:color="auto"/>
            </w:tcBorders>
          </w:tcPr>
          <w:p>
            <w:pPr>
              <w:jc w:val="right"/>
              <w:ind w:right="22"/>
              <w:spacing w:after="0"/>
              <w:rPr>
                <w:sz w:val="20"/>
                <w:szCs w:val="20"/>
                <w:color w:val="auto"/>
              </w:rPr>
            </w:pPr>
            <w:r>
              <w:rPr>
                <w:rFonts w:ascii="Verdana" w:cs="Verdana" w:eastAsia="Verdana" w:hAnsi="Verdana"/>
                <w:sz w:val="16"/>
                <w:szCs w:val="16"/>
                <w:color w:val="131313"/>
              </w:rPr>
              <w:t>(155,790)</w:t>
            </w: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131313"/>
              </w:rPr>
              <w:t>(62,495)</w:t>
            </w:r>
          </w:p>
        </w:tc>
      </w:tr>
      <w:tr>
        <w:trPr>
          <w:trHeight w:val="211"/>
        </w:trPr>
        <w:tc>
          <w:tcPr>
            <w:tcW w:w="6580" w:type="dxa"/>
            <w:vAlign w:val="bottom"/>
          </w:tcPr>
          <w:p>
            <w:pPr>
              <w:ind w:left="40"/>
              <w:spacing w:after="0"/>
              <w:rPr>
                <w:sz w:val="20"/>
                <w:szCs w:val="20"/>
                <w:color w:val="auto"/>
              </w:rPr>
            </w:pPr>
            <w:r>
              <w:rPr>
                <w:rFonts w:ascii="Verdana" w:cs="Verdana" w:eastAsia="Verdana" w:hAnsi="Verdana"/>
                <w:sz w:val="16"/>
                <w:szCs w:val="16"/>
                <w:color w:val="auto"/>
              </w:rPr>
              <w:t>Total at December 31, 2024</w:t>
            </w:r>
          </w:p>
        </w:tc>
        <w:tc>
          <w:tcPr>
            <w:tcW w:w="1000" w:type="dxa"/>
            <w:vAlign w:val="bottom"/>
          </w:tcPr>
          <w:p>
            <w:pPr>
              <w:jc w:val="right"/>
              <w:ind w:right="62"/>
              <w:spacing w:after="0"/>
              <w:rPr>
                <w:sz w:val="20"/>
                <w:szCs w:val="20"/>
                <w:color w:val="auto"/>
              </w:rPr>
            </w:pPr>
            <w:r>
              <w:rPr>
                <w:rFonts w:ascii="Verdana" w:cs="Verdana" w:eastAsia="Verdana" w:hAnsi="Verdana"/>
                <w:sz w:val="16"/>
                <w:szCs w:val="16"/>
                <w:color w:val="131313"/>
              </w:rPr>
              <w:t>361,842</w:t>
            </w:r>
          </w:p>
        </w:tc>
        <w:tc>
          <w:tcPr>
            <w:tcW w:w="1040" w:type="dxa"/>
            <w:vAlign w:val="bottom"/>
          </w:tcPr>
          <w:p>
            <w:pPr>
              <w:jc w:val="center"/>
              <w:ind w:right="2"/>
              <w:spacing w:after="0"/>
              <w:rPr>
                <w:sz w:val="20"/>
                <w:szCs w:val="20"/>
                <w:color w:val="auto"/>
              </w:rPr>
            </w:pPr>
            <w:r>
              <w:rPr>
                <w:rFonts w:ascii="Verdana" w:cs="Verdana" w:eastAsia="Verdana" w:hAnsi="Verdana"/>
                <w:sz w:val="16"/>
                <w:szCs w:val="16"/>
                <w:color w:val="131313"/>
                <w:w w:val="96"/>
              </w:rPr>
              <w:t>1,498,169</w:t>
            </w:r>
          </w:p>
        </w:tc>
        <w:tc>
          <w:tcPr>
            <w:tcW w:w="940" w:type="dxa"/>
            <w:vAlign w:val="bottom"/>
          </w:tcPr>
          <w:p>
            <w:pPr>
              <w:jc w:val="right"/>
              <w:ind w:right="2"/>
              <w:spacing w:after="0"/>
              <w:rPr>
                <w:sz w:val="20"/>
                <w:szCs w:val="20"/>
                <w:color w:val="auto"/>
              </w:rPr>
            </w:pPr>
            <w:r>
              <w:rPr>
                <w:rFonts w:ascii="Verdana" w:cs="Verdana" w:eastAsia="Verdana" w:hAnsi="Verdana"/>
                <w:sz w:val="16"/>
                <w:szCs w:val="16"/>
                <w:color w:val="131313"/>
              </w:rPr>
              <w:t>611,536</w:t>
            </w:r>
          </w:p>
        </w:tc>
      </w:tr>
      <w:tr>
        <w:trPr>
          <w:trHeight w:val="236"/>
        </w:trPr>
        <w:tc>
          <w:tcPr>
            <w:tcW w:w="6580" w:type="dxa"/>
            <w:vAlign w:val="bottom"/>
          </w:tcPr>
          <w:p>
            <w:pPr>
              <w:ind w:left="160"/>
              <w:spacing w:after="0"/>
              <w:rPr>
                <w:sz w:val="20"/>
                <w:szCs w:val="20"/>
                <w:color w:val="auto"/>
              </w:rPr>
            </w:pPr>
            <w:r>
              <w:rPr>
                <w:rFonts w:ascii="Verdana" w:cs="Verdana" w:eastAsia="Verdana" w:hAnsi="Verdana"/>
                <w:sz w:val="16"/>
                <w:szCs w:val="16"/>
                <w:color w:val="auto"/>
              </w:rPr>
              <w:t>Revisions of prior estimates</w:t>
            </w:r>
          </w:p>
        </w:tc>
        <w:tc>
          <w:tcPr>
            <w:tcW w:w="1000" w:type="dxa"/>
            <w:vAlign w:val="bottom"/>
          </w:tcPr>
          <w:p>
            <w:pPr>
              <w:jc w:val="right"/>
              <w:spacing w:after="0"/>
              <w:rPr>
                <w:sz w:val="20"/>
                <w:szCs w:val="20"/>
                <w:color w:val="auto"/>
              </w:rPr>
            </w:pPr>
            <w:r>
              <w:rPr>
                <w:rFonts w:ascii="Verdana" w:cs="Verdana" w:eastAsia="Verdana" w:hAnsi="Verdana"/>
                <w:sz w:val="16"/>
                <w:szCs w:val="16"/>
                <w:color w:val="214E93"/>
              </w:rPr>
              <w:t>(19,755)</w:t>
            </w:r>
          </w:p>
        </w:tc>
        <w:tc>
          <w:tcPr>
            <w:tcW w:w="1040" w:type="dxa"/>
            <w:vAlign w:val="bottom"/>
          </w:tcPr>
          <w:p>
            <w:pPr>
              <w:jc w:val="right"/>
              <w:ind w:right="82"/>
              <w:spacing w:after="0"/>
              <w:rPr>
                <w:sz w:val="20"/>
                <w:szCs w:val="20"/>
                <w:color w:val="auto"/>
              </w:rPr>
            </w:pPr>
            <w:r>
              <w:rPr>
                <w:rFonts w:ascii="Verdana" w:cs="Verdana" w:eastAsia="Verdana" w:hAnsi="Verdana"/>
                <w:sz w:val="16"/>
                <w:szCs w:val="16"/>
                <w:color w:val="214E93"/>
              </w:rPr>
              <w:t>75,258</w:t>
            </w:r>
          </w:p>
        </w:tc>
        <w:tc>
          <w:tcPr>
            <w:tcW w:w="940" w:type="dxa"/>
            <w:vAlign w:val="bottom"/>
          </w:tcPr>
          <w:p>
            <w:pPr>
              <w:jc w:val="right"/>
              <w:spacing w:after="0"/>
              <w:rPr>
                <w:sz w:val="20"/>
                <w:szCs w:val="20"/>
                <w:color w:val="auto"/>
              </w:rPr>
            </w:pPr>
            <w:r>
              <w:rPr>
                <w:rFonts w:ascii="Verdana" w:cs="Verdana" w:eastAsia="Verdana" w:hAnsi="Verdana"/>
                <w:sz w:val="16"/>
                <w:szCs w:val="16"/>
                <w:color w:val="214E93"/>
              </w:rPr>
              <w:t>(7,212)</w:t>
            </w:r>
          </w:p>
        </w:tc>
      </w:tr>
      <w:tr>
        <w:trPr>
          <w:trHeight w:val="236"/>
        </w:trPr>
        <w:tc>
          <w:tcPr>
            <w:tcW w:w="6580" w:type="dxa"/>
            <w:vAlign w:val="bottom"/>
          </w:tcPr>
          <w:p>
            <w:pPr>
              <w:ind w:left="160"/>
              <w:spacing w:after="0"/>
              <w:rPr>
                <w:sz w:val="20"/>
                <w:szCs w:val="20"/>
                <w:color w:val="auto"/>
              </w:rPr>
            </w:pPr>
            <w:r>
              <w:rPr>
                <w:rFonts w:ascii="Verdana" w:cs="Verdana" w:eastAsia="Verdana" w:hAnsi="Verdana"/>
                <w:sz w:val="16"/>
                <w:szCs w:val="16"/>
                <w:color w:val="auto"/>
              </w:rPr>
              <w:t>Net acquisitions of minerals-in-place</w:t>
            </w:r>
          </w:p>
        </w:tc>
        <w:tc>
          <w:tcPr>
            <w:tcW w:w="1000" w:type="dxa"/>
            <w:vAlign w:val="bottom"/>
          </w:tcPr>
          <w:p>
            <w:pPr>
              <w:jc w:val="right"/>
              <w:ind w:right="62"/>
              <w:spacing w:after="0"/>
              <w:rPr>
                <w:sz w:val="20"/>
                <w:szCs w:val="20"/>
                <w:color w:val="auto"/>
              </w:rPr>
            </w:pPr>
            <w:r>
              <w:rPr>
                <w:rFonts w:ascii="Verdana" w:cs="Verdana" w:eastAsia="Verdana" w:hAnsi="Verdana"/>
                <w:sz w:val="16"/>
                <w:szCs w:val="16"/>
                <w:color w:val="214E93"/>
              </w:rPr>
              <w:t>1,768</w:t>
            </w:r>
          </w:p>
        </w:tc>
        <w:tc>
          <w:tcPr>
            <w:tcW w:w="1040" w:type="dxa"/>
            <w:vAlign w:val="bottom"/>
          </w:tcPr>
          <w:p>
            <w:pPr>
              <w:jc w:val="right"/>
              <w:ind w:right="82"/>
              <w:spacing w:after="0"/>
              <w:rPr>
                <w:sz w:val="20"/>
                <w:szCs w:val="20"/>
                <w:color w:val="auto"/>
              </w:rPr>
            </w:pPr>
            <w:r>
              <w:rPr>
                <w:rFonts w:ascii="Verdana" w:cs="Verdana" w:eastAsia="Verdana" w:hAnsi="Verdana"/>
                <w:sz w:val="16"/>
                <w:szCs w:val="16"/>
                <w:color w:val="214E93"/>
              </w:rPr>
              <w:t>9,345</w:t>
            </w:r>
          </w:p>
        </w:tc>
        <w:tc>
          <w:tcPr>
            <w:tcW w:w="940" w:type="dxa"/>
            <w:vAlign w:val="bottom"/>
          </w:tcPr>
          <w:p>
            <w:pPr>
              <w:jc w:val="right"/>
              <w:ind w:right="2"/>
              <w:spacing w:after="0"/>
              <w:rPr>
                <w:sz w:val="20"/>
                <w:szCs w:val="20"/>
                <w:color w:val="auto"/>
              </w:rPr>
            </w:pPr>
            <w:r>
              <w:rPr>
                <w:rFonts w:ascii="Verdana" w:cs="Verdana" w:eastAsia="Verdana" w:hAnsi="Verdana"/>
                <w:sz w:val="16"/>
                <w:szCs w:val="16"/>
                <w:color w:val="214E93"/>
              </w:rPr>
              <w:t>3,326</w:t>
            </w:r>
          </w:p>
        </w:tc>
      </w:tr>
      <w:tr>
        <w:trPr>
          <w:trHeight w:val="236"/>
        </w:trPr>
        <w:tc>
          <w:tcPr>
            <w:tcW w:w="6580" w:type="dxa"/>
            <w:vAlign w:val="bottom"/>
          </w:tcPr>
          <w:p>
            <w:pPr>
              <w:ind w:left="160"/>
              <w:spacing w:after="0"/>
              <w:rPr>
                <w:sz w:val="20"/>
                <w:szCs w:val="20"/>
                <w:color w:val="auto"/>
              </w:rPr>
            </w:pPr>
            <w:r>
              <w:rPr>
                <w:rFonts w:ascii="Verdana" w:cs="Verdana" w:eastAsia="Verdana" w:hAnsi="Verdana"/>
                <w:sz w:val="16"/>
                <w:szCs w:val="16"/>
                <w:color w:val="auto"/>
              </w:rPr>
              <w:t>Extensions and discoveries</w:t>
            </w:r>
          </w:p>
        </w:tc>
        <w:tc>
          <w:tcPr>
            <w:tcW w:w="1000" w:type="dxa"/>
            <w:vAlign w:val="bottom"/>
          </w:tcPr>
          <w:p>
            <w:pPr>
              <w:jc w:val="right"/>
              <w:ind w:right="62"/>
              <w:spacing w:after="0"/>
              <w:rPr>
                <w:sz w:val="20"/>
                <w:szCs w:val="20"/>
                <w:color w:val="auto"/>
              </w:rPr>
            </w:pPr>
            <w:r>
              <w:rPr>
                <w:rFonts w:ascii="Verdana" w:cs="Verdana" w:eastAsia="Verdana" w:hAnsi="Verdana"/>
                <w:sz w:val="16"/>
                <w:szCs w:val="16"/>
                <w:color w:val="214E93"/>
              </w:rPr>
              <w:t>75,819</w:t>
            </w:r>
          </w:p>
        </w:tc>
        <w:tc>
          <w:tcPr>
            <w:tcW w:w="1040" w:type="dxa"/>
            <w:vAlign w:val="bottom"/>
          </w:tcPr>
          <w:p>
            <w:pPr>
              <w:jc w:val="right"/>
              <w:ind w:right="82"/>
              <w:spacing w:after="0"/>
              <w:rPr>
                <w:sz w:val="20"/>
                <w:szCs w:val="20"/>
                <w:color w:val="auto"/>
              </w:rPr>
            </w:pPr>
            <w:r>
              <w:rPr>
                <w:rFonts w:ascii="Verdana" w:cs="Verdana" w:eastAsia="Verdana" w:hAnsi="Verdana"/>
                <w:sz w:val="16"/>
                <w:szCs w:val="16"/>
                <w:color w:val="214E93"/>
              </w:rPr>
              <w:t>354,920</w:t>
            </w:r>
          </w:p>
        </w:tc>
        <w:tc>
          <w:tcPr>
            <w:tcW w:w="940" w:type="dxa"/>
            <w:vAlign w:val="bottom"/>
          </w:tcPr>
          <w:p>
            <w:pPr>
              <w:jc w:val="right"/>
              <w:ind w:right="2"/>
              <w:spacing w:after="0"/>
              <w:rPr>
                <w:sz w:val="20"/>
                <w:szCs w:val="20"/>
                <w:color w:val="auto"/>
              </w:rPr>
            </w:pPr>
            <w:r>
              <w:rPr>
                <w:rFonts w:ascii="Verdana" w:cs="Verdana" w:eastAsia="Verdana" w:hAnsi="Verdana"/>
                <w:sz w:val="16"/>
                <w:szCs w:val="16"/>
                <w:color w:val="214E93"/>
              </w:rPr>
              <w:t>134,972</w:t>
            </w:r>
          </w:p>
        </w:tc>
      </w:tr>
      <w:tr>
        <w:trPr>
          <w:trHeight w:val="242"/>
        </w:trPr>
        <w:tc>
          <w:tcPr>
            <w:tcW w:w="6580" w:type="dxa"/>
            <w:vAlign w:val="bottom"/>
            <w:tcBorders>
              <w:bottom w:val="single" w:sz="8" w:color="auto"/>
            </w:tcBorders>
          </w:tcPr>
          <w:p>
            <w:pPr>
              <w:ind w:left="160"/>
              <w:spacing w:after="0"/>
              <w:rPr>
                <w:sz w:val="20"/>
                <w:szCs w:val="20"/>
                <w:color w:val="auto"/>
              </w:rPr>
            </w:pPr>
            <w:r>
              <w:rPr>
                <w:rFonts w:ascii="Verdana" w:cs="Verdana" w:eastAsia="Verdana" w:hAnsi="Verdana"/>
                <w:sz w:val="16"/>
                <w:szCs w:val="16"/>
                <w:color w:val="auto"/>
              </w:rPr>
              <w:t>Production</w:t>
            </w: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214E93"/>
              </w:rPr>
              <w:t>(43,694)</w:t>
            </w:r>
          </w:p>
        </w:tc>
        <w:tc>
          <w:tcPr>
            <w:tcW w:w="1040" w:type="dxa"/>
            <w:vAlign w:val="bottom"/>
            <w:tcBorders>
              <w:bottom w:val="single" w:sz="8" w:color="auto"/>
            </w:tcBorders>
          </w:tcPr>
          <w:p>
            <w:pPr>
              <w:jc w:val="right"/>
              <w:ind w:right="22"/>
              <w:spacing w:after="0"/>
              <w:rPr>
                <w:sz w:val="20"/>
                <w:szCs w:val="20"/>
                <w:color w:val="auto"/>
              </w:rPr>
            </w:pPr>
            <w:r>
              <w:rPr>
                <w:rFonts w:ascii="Verdana" w:cs="Verdana" w:eastAsia="Verdana" w:hAnsi="Verdana"/>
                <w:sz w:val="16"/>
                <w:szCs w:val="16"/>
                <w:color w:val="214E93"/>
              </w:rPr>
              <w:t>(191,288)</w:t>
            </w: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214E93"/>
              </w:rPr>
              <w:t>(75,575)</w:t>
            </w:r>
          </w:p>
        </w:tc>
      </w:tr>
      <w:tr>
        <w:trPr>
          <w:trHeight w:val="211"/>
        </w:trPr>
        <w:tc>
          <w:tcPr>
            <w:tcW w:w="6580" w:type="dxa"/>
            <w:vAlign w:val="bottom"/>
          </w:tcPr>
          <w:p>
            <w:pPr>
              <w:ind w:left="40"/>
              <w:spacing w:after="0"/>
              <w:rPr>
                <w:sz w:val="20"/>
                <w:szCs w:val="20"/>
                <w:color w:val="auto"/>
              </w:rPr>
            </w:pPr>
            <w:r>
              <w:rPr>
                <w:rFonts w:ascii="Verdana" w:cs="Verdana" w:eastAsia="Verdana" w:hAnsi="Verdana"/>
                <w:sz w:val="16"/>
                <w:szCs w:val="16"/>
                <w:color w:val="auto"/>
              </w:rPr>
              <w:t>Total at December 31, 2025</w:t>
            </w:r>
          </w:p>
        </w:tc>
        <w:tc>
          <w:tcPr>
            <w:tcW w:w="1000" w:type="dxa"/>
            <w:vAlign w:val="bottom"/>
          </w:tcPr>
          <w:p>
            <w:pPr>
              <w:jc w:val="right"/>
              <w:ind w:right="62"/>
              <w:spacing w:after="0"/>
              <w:rPr>
                <w:sz w:val="20"/>
                <w:szCs w:val="20"/>
                <w:color w:val="auto"/>
              </w:rPr>
            </w:pPr>
            <w:r>
              <w:rPr>
                <w:rFonts w:ascii="Verdana" w:cs="Verdana" w:eastAsia="Verdana" w:hAnsi="Verdana"/>
                <w:sz w:val="16"/>
                <w:szCs w:val="16"/>
                <w:color w:val="214E93"/>
              </w:rPr>
              <w:t>375,980</w:t>
            </w:r>
          </w:p>
        </w:tc>
        <w:tc>
          <w:tcPr>
            <w:tcW w:w="1040" w:type="dxa"/>
            <w:vAlign w:val="bottom"/>
          </w:tcPr>
          <w:p>
            <w:pPr>
              <w:jc w:val="center"/>
              <w:ind w:right="2"/>
              <w:spacing w:after="0"/>
              <w:rPr>
                <w:sz w:val="20"/>
                <w:szCs w:val="20"/>
                <w:color w:val="auto"/>
              </w:rPr>
            </w:pPr>
            <w:r>
              <w:rPr>
                <w:rFonts w:ascii="Verdana" w:cs="Verdana" w:eastAsia="Verdana" w:hAnsi="Verdana"/>
                <w:sz w:val="16"/>
                <w:szCs w:val="16"/>
                <w:color w:val="214E93"/>
                <w:w w:val="96"/>
              </w:rPr>
              <w:t>1,746,404</w:t>
            </w:r>
          </w:p>
        </w:tc>
        <w:tc>
          <w:tcPr>
            <w:tcW w:w="940" w:type="dxa"/>
            <w:vAlign w:val="bottom"/>
          </w:tcPr>
          <w:p>
            <w:pPr>
              <w:jc w:val="right"/>
              <w:ind w:right="2"/>
              <w:spacing w:after="0"/>
              <w:rPr>
                <w:sz w:val="20"/>
                <w:szCs w:val="20"/>
                <w:color w:val="auto"/>
              </w:rPr>
            </w:pPr>
            <w:r>
              <w:rPr>
                <w:rFonts w:ascii="Verdana" w:cs="Verdana" w:eastAsia="Verdana" w:hAnsi="Verdana"/>
                <w:sz w:val="16"/>
                <w:szCs w:val="16"/>
                <w:color w:val="214E93"/>
              </w:rPr>
              <w:t>667,047</w:t>
            </w:r>
          </w:p>
        </w:tc>
      </w:tr>
      <w:tr>
        <w:trPr>
          <w:trHeight w:val="234"/>
        </w:trPr>
        <w:tc>
          <w:tcPr>
            <w:tcW w:w="6580" w:type="dxa"/>
            <w:vAlign w:val="bottom"/>
          </w:tcPr>
          <w:p>
            <w:pPr>
              <w:ind w:left="40"/>
              <w:spacing w:after="0"/>
              <w:rPr>
                <w:sz w:val="20"/>
                <w:szCs w:val="20"/>
                <w:color w:val="auto"/>
              </w:rPr>
            </w:pPr>
            <w:r>
              <w:rPr>
                <w:rFonts w:ascii="Verdana" w:cs="Verdana" w:eastAsia="Verdana" w:hAnsi="Verdana"/>
                <w:sz w:val="16"/>
                <w:szCs w:val="16"/>
                <w:color w:val="auto"/>
              </w:rPr>
              <w:t>Proved Developed Reserves</w:t>
            </w: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8"/>
        </w:trPr>
        <w:tc>
          <w:tcPr>
            <w:tcW w:w="6580" w:type="dxa"/>
            <w:vAlign w:val="bottom"/>
          </w:tcPr>
          <w:p>
            <w:pPr>
              <w:ind w:left="40"/>
              <w:spacing w:after="0"/>
              <w:rPr>
                <w:sz w:val="20"/>
                <w:szCs w:val="20"/>
                <w:color w:val="auto"/>
              </w:rPr>
            </w:pPr>
            <w:r>
              <w:rPr>
                <w:rFonts w:ascii="Verdana" w:cs="Verdana" w:eastAsia="Verdana" w:hAnsi="Verdana"/>
                <w:sz w:val="16"/>
                <w:szCs w:val="16"/>
                <w:color w:val="auto"/>
              </w:rPr>
              <w:t>December 31, 2022</w:t>
            </w:r>
          </w:p>
        </w:tc>
        <w:tc>
          <w:tcPr>
            <w:tcW w:w="1000" w:type="dxa"/>
            <w:vAlign w:val="bottom"/>
          </w:tcPr>
          <w:p>
            <w:pPr>
              <w:jc w:val="right"/>
              <w:ind w:right="62"/>
              <w:spacing w:after="0"/>
              <w:rPr>
                <w:sz w:val="20"/>
                <w:szCs w:val="20"/>
                <w:color w:val="auto"/>
              </w:rPr>
            </w:pPr>
            <w:r>
              <w:rPr>
                <w:rFonts w:ascii="Verdana" w:cs="Verdana" w:eastAsia="Verdana" w:hAnsi="Verdana"/>
                <w:sz w:val="16"/>
                <w:szCs w:val="16"/>
                <w:color w:val="131313"/>
              </w:rPr>
              <w:t>116,030</w:t>
            </w:r>
          </w:p>
        </w:tc>
        <w:tc>
          <w:tcPr>
            <w:tcW w:w="1040" w:type="dxa"/>
            <w:vAlign w:val="bottom"/>
          </w:tcPr>
          <w:p>
            <w:pPr>
              <w:jc w:val="right"/>
              <w:ind w:right="82"/>
              <w:spacing w:after="0"/>
              <w:rPr>
                <w:sz w:val="20"/>
                <w:szCs w:val="20"/>
                <w:color w:val="auto"/>
              </w:rPr>
            </w:pPr>
            <w:r>
              <w:rPr>
                <w:rFonts w:ascii="Verdana" w:cs="Verdana" w:eastAsia="Verdana" w:hAnsi="Verdana"/>
                <w:sz w:val="16"/>
                <w:szCs w:val="16"/>
                <w:color w:val="131313"/>
              </w:rPr>
              <w:t>632,858</w:t>
            </w:r>
          </w:p>
        </w:tc>
        <w:tc>
          <w:tcPr>
            <w:tcW w:w="940" w:type="dxa"/>
            <w:vAlign w:val="bottom"/>
          </w:tcPr>
          <w:p>
            <w:pPr>
              <w:jc w:val="right"/>
              <w:ind w:right="2"/>
              <w:spacing w:after="0"/>
              <w:rPr>
                <w:sz w:val="20"/>
                <w:szCs w:val="20"/>
                <w:color w:val="auto"/>
              </w:rPr>
            </w:pPr>
            <w:r>
              <w:rPr>
                <w:rFonts w:ascii="Verdana" w:cs="Verdana" w:eastAsia="Verdana" w:hAnsi="Verdana"/>
                <w:sz w:val="16"/>
                <w:szCs w:val="16"/>
                <w:color w:val="131313"/>
              </w:rPr>
              <w:t>221,507</w:t>
            </w:r>
          </w:p>
        </w:tc>
      </w:tr>
      <w:tr>
        <w:trPr>
          <w:trHeight w:val="236"/>
        </w:trPr>
        <w:tc>
          <w:tcPr>
            <w:tcW w:w="6580" w:type="dxa"/>
            <w:vAlign w:val="bottom"/>
          </w:tcPr>
          <w:p>
            <w:pPr>
              <w:ind w:left="40"/>
              <w:spacing w:after="0"/>
              <w:rPr>
                <w:sz w:val="20"/>
                <w:szCs w:val="20"/>
                <w:color w:val="auto"/>
              </w:rPr>
            </w:pPr>
            <w:r>
              <w:rPr>
                <w:rFonts w:ascii="Verdana" w:cs="Verdana" w:eastAsia="Verdana" w:hAnsi="Verdana"/>
                <w:sz w:val="16"/>
                <w:szCs w:val="16"/>
                <w:color w:val="auto"/>
              </w:rPr>
              <w:t>December 31, 2023</w:t>
            </w:r>
          </w:p>
        </w:tc>
        <w:tc>
          <w:tcPr>
            <w:tcW w:w="1000" w:type="dxa"/>
            <w:vAlign w:val="bottom"/>
          </w:tcPr>
          <w:p>
            <w:pPr>
              <w:jc w:val="right"/>
              <w:ind w:right="62"/>
              <w:spacing w:after="0"/>
              <w:rPr>
                <w:sz w:val="20"/>
                <w:szCs w:val="20"/>
                <w:color w:val="auto"/>
              </w:rPr>
            </w:pPr>
            <w:r>
              <w:rPr>
                <w:rFonts w:ascii="Verdana" w:cs="Verdana" w:eastAsia="Verdana" w:hAnsi="Verdana"/>
                <w:sz w:val="16"/>
                <w:szCs w:val="16"/>
                <w:color w:val="131313"/>
              </w:rPr>
              <w:t>161,642</w:t>
            </w:r>
          </w:p>
        </w:tc>
        <w:tc>
          <w:tcPr>
            <w:tcW w:w="1040" w:type="dxa"/>
            <w:vAlign w:val="bottom"/>
          </w:tcPr>
          <w:p>
            <w:pPr>
              <w:jc w:val="right"/>
              <w:ind w:right="82"/>
              <w:spacing w:after="0"/>
              <w:rPr>
                <w:sz w:val="20"/>
                <w:szCs w:val="20"/>
                <w:color w:val="auto"/>
              </w:rPr>
            </w:pPr>
            <w:r>
              <w:rPr>
                <w:rFonts w:ascii="Verdana" w:cs="Verdana" w:eastAsia="Verdana" w:hAnsi="Verdana"/>
                <w:sz w:val="16"/>
                <w:szCs w:val="16"/>
                <w:color w:val="131313"/>
              </w:rPr>
              <w:t>782,733</w:t>
            </w:r>
          </w:p>
        </w:tc>
        <w:tc>
          <w:tcPr>
            <w:tcW w:w="940" w:type="dxa"/>
            <w:vAlign w:val="bottom"/>
          </w:tcPr>
          <w:p>
            <w:pPr>
              <w:jc w:val="right"/>
              <w:ind w:right="2"/>
              <w:spacing w:after="0"/>
              <w:rPr>
                <w:sz w:val="20"/>
                <w:szCs w:val="20"/>
                <w:color w:val="auto"/>
              </w:rPr>
            </w:pPr>
            <w:r>
              <w:rPr>
                <w:rFonts w:ascii="Verdana" w:cs="Verdana" w:eastAsia="Verdana" w:hAnsi="Verdana"/>
                <w:sz w:val="16"/>
                <w:szCs w:val="16"/>
                <w:color w:val="131313"/>
              </w:rPr>
              <w:t>292,097</w:t>
            </w:r>
          </w:p>
        </w:tc>
      </w:tr>
      <w:tr>
        <w:trPr>
          <w:trHeight w:val="236"/>
        </w:trPr>
        <w:tc>
          <w:tcPr>
            <w:tcW w:w="6580" w:type="dxa"/>
            <w:vAlign w:val="bottom"/>
          </w:tcPr>
          <w:p>
            <w:pPr>
              <w:ind w:left="40"/>
              <w:spacing w:after="0"/>
              <w:rPr>
                <w:sz w:val="20"/>
                <w:szCs w:val="20"/>
                <w:color w:val="auto"/>
              </w:rPr>
            </w:pPr>
            <w:r>
              <w:rPr>
                <w:rFonts w:ascii="Verdana" w:cs="Verdana" w:eastAsia="Verdana" w:hAnsi="Verdana"/>
                <w:sz w:val="16"/>
                <w:szCs w:val="16"/>
                <w:color w:val="auto"/>
              </w:rPr>
              <w:t>December 31, 2024</w:t>
            </w:r>
          </w:p>
        </w:tc>
        <w:tc>
          <w:tcPr>
            <w:tcW w:w="1000" w:type="dxa"/>
            <w:vAlign w:val="bottom"/>
          </w:tcPr>
          <w:p>
            <w:pPr>
              <w:jc w:val="right"/>
              <w:ind w:right="62"/>
              <w:spacing w:after="0"/>
              <w:rPr>
                <w:sz w:val="20"/>
                <w:szCs w:val="20"/>
                <w:color w:val="auto"/>
              </w:rPr>
            </w:pPr>
            <w:r>
              <w:rPr>
                <w:rFonts w:ascii="Verdana" w:cs="Verdana" w:eastAsia="Verdana" w:hAnsi="Verdana"/>
                <w:sz w:val="16"/>
                <w:szCs w:val="16"/>
                <w:color w:val="131313"/>
              </w:rPr>
              <w:t>206,269</w:t>
            </w:r>
          </w:p>
        </w:tc>
        <w:tc>
          <w:tcPr>
            <w:tcW w:w="1040" w:type="dxa"/>
            <w:vAlign w:val="bottom"/>
          </w:tcPr>
          <w:p>
            <w:pPr>
              <w:jc w:val="right"/>
              <w:ind w:right="82"/>
              <w:spacing w:after="0"/>
              <w:rPr>
                <w:sz w:val="20"/>
                <w:szCs w:val="20"/>
                <w:color w:val="auto"/>
              </w:rPr>
            </w:pPr>
            <w:r>
              <w:rPr>
                <w:rFonts w:ascii="Verdana" w:cs="Verdana" w:eastAsia="Verdana" w:hAnsi="Verdana"/>
                <w:sz w:val="16"/>
                <w:szCs w:val="16"/>
                <w:color w:val="131313"/>
              </w:rPr>
              <w:t>963,170</w:t>
            </w:r>
          </w:p>
        </w:tc>
        <w:tc>
          <w:tcPr>
            <w:tcW w:w="940" w:type="dxa"/>
            <w:vAlign w:val="bottom"/>
          </w:tcPr>
          <w:p>
            <w:pPr>
              <w:jc w:val="right"/>
              <w:ind w:right="2"/>
              <w:spacing w:after="0"/>
              <w:rPr>
                <w:sz w:val="20"/>
                <w:szCs w:val="20"/>
                <w:color w:val="auto"/>
              </w:rPr>
            </w:pPr>
            <w:r>
              <w:rPr>
                <w:rFonts w:ascii="Verdana" w:cs="Verdana" w:eastAsia="Verdana" w:hAnsi="Verdana"/>
                <w:sz w:val="16"/>
                <w:szCs w:val="16"/>
                <w:color w:val="131313"/>
              </w:rPr>
              <w:t>366,797</w:t>
            </w:r>
          </w:p>
        </w:tc>
      </w:tr>
      <w:tr>
        <w:trPr>
          <w:trHeight w:val="236"/>
        </w:trPr>
        <w:tc>
          <w:tcPr>
            <w:tcW w:w="6580" w:type="dxa"/>
            <w:vAlign w:val="bottom"/>
          </w:tcPr>
          <w:p>
            <w:pPr>
              <w:ind w:left="40"/>
              <w:spacing w:after="0"/>
              <w:rPr>
                <w:sz w:val="20"/>
                <w:szCs w:val="20"/>
                <w:color w:val="auto"/>
              </w:rPr>
            </w:pPr>
            <w:r>
              <w:rPr>
                <w:rFonts w:ascii="Verdana" w:cs="Verdana" w:eastAsia="Verdana" w:hAnsi="Verdana"/>
                <w:sz w:val="16"/>
                <w:szCs w:val="16"/>
                <w:color w:val="auto"/>
              </w:rPr>
              <w:t>December 31, 2025</w:t>
            </w:r>
          </w:p>
        </w:tc>
        <w:tc>
          <w:tcPr>
            <w:tcW w:w="1000" w:type="dxa"/>
            <w:vAlign w:val="bottom"/>
          </w:tcPr>
          <w:p>
            <w:pPr>
              <w:jc w:val="right"/>
              <w:ind w:right="62"/>
              <w:spacing w:after="0"/>
              <w:rPr>
                <w:sz w:val="20"/>
                <w:szCs w:val="20"/>
                <w:color w:val="auto"/>
              </w:rPr>
            </w:pPr>
            <w:r>
              <w:rPr>
                <w:rFonts w:ascii="Verdana" w:cs="Verdana" w:eastAsia="Verdana" w:hAnsi="Verdana"/>
                <w:sz w:val="16"/>
                <w:szCs w:val="16"/>
                <w:color w:val="214E93"/>
              </w:rPr>
              <w:t>223,028</w:t>
            </w:r>
          </w:p>
        </w:tc>
        <w:tc>
          <w:tcPr>
            <w:tcW w:w="1040" w:type="dxa"/>
            <w:vAlign w:val="bottom"/>
          </w:tcPr>
          <w:p>
            <w:pPr>
              <w:jc w:val="center"/>
              <w:ind w:right="2"/>
              <w:spacing w:after="0"/>
              <w:rPr>
                <w:sz w:val="20"/>
                <w:szCs w:val="20"/>
                <w:color w:val="auto"/>
              </w:rPr>
            </w:pPr>
            <w:r>
              <w:rPr>
                <w:rFonts w:ascii="Verdana" w:cs="Verdana" w:eastAsia="Verdana" w:hAnsi="Verdana"/>
                <w:sz w:val="16"/>
                <w:szCs w:val="16"/>
                <w:color w:val="214E93"/>
                <w:w w:val="96"/>
              </w:rPr>
              <w:t>1,109,755</w:t>
            </w:r>
          </w:p>
        </w:tc>
        <w:tc>
          <w:tcPr>
            <w:tcW w:w="940" w:type="dxa"/>
            <w:vAlign w:val="bottom"/>
          </w:tcPr>
          <w:p>
            <w:pPr>
              <w:jc w:val="right"/>
              <w:ind w:right="2"/>
              <w:spacing w:after="0"/>
              <w:rPr>
                <w:sz w:val="20"/>
                <w:szCs w:val="20"/>
                <w:color w:val="auto"/>
              </w:rPr>
            </w:pPr>
            <w:r>
              <w:rPr>
                <w:rFonts w:ascii="Verdana" w:cs="Verdana" w:eastAsia="Verdana" w:hAnsi="Verdana"/>
                <w:sz w:val="16"/>
                <w:szCs w:val="16"/>
                <w:color w:val="214E93"/>
              </w:rPr>
              <w:t>407,987</w:t>
            </w:r>
          </w:p>
        </w:tc>
      </w:tr>
      <w:tr>
        <w:trPr>
          <w:trHeight w:val="234"/>
        </w:trPr>
        <w:tc>
          <w:tcPr>
            <w:tcW w:w="6580" w:type="dxa"/>
            <w:vAlign w:val="bottom"/>
          </w:tcPr>
          <w:p>
            <w:pPr>
              <w:ind w:left="40"/>
              <w:spacing w:after="0"/>
              <w:rPr>
                <w:sz w:val="20"/>
                <w:szCs w:val="20"/>
                <w:color w:val="auto"/>
              </w:rPr>
            </w:pPr>
            <w:r>
              <w:rPr>
                <w:rFonts w:ascii="Verdana" w:cs="Verdana" w:eastAsia="Verdana" w:hAnsi="Verdana"/>
                <w:sz w:val="16"/>
                <w:szCs w:val="16"/>
                <w:color w:val="auto"/>
              </w:rPr>
              <w:t>Proved Undeveloped Reserves</w:t>
            </w: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8"/>
        </w:trPr>
        <w:tc>
          <w:tcPr>
            <w:tcW w:w="6580" w:type="dxa"/>
            <w:vAlign w:val="bottom"/>
          </w:tcPr>
          <w:p>
            <w:pPr>
              <w:ind w:left="40"/>
              <w:spacing w:after="0"/>
              <w:rPr>
                <w:sz w:val="20"/>
                <w:szCs w:val="20"/>
                <w:color w:val="auto"/>
              </w:rPr>
            </w:pPr>
            <w:r>
              <w:rPr>
                <w:rFonts w:ascii="Verdana" w:cs="Verdana" w:eastAsia="Verdana" w:hAnsi="Verdana"/>
                <w:sz w:val="16"/>
                <w:szCs w:val="16"/>
                <w:color w:val="auto"/>
              </w:rPr>
              <w:t>December 31, 2022</w:t>
            </w:r>
          </w:p>
        </w:tc>
        <w:tc>
          <w:tcPr>
            <w:tcW w:w="1000" w:type="dxa"/>
            <w:vAlign w:val="bottom"/>
          </w:tcPr>
          <w:p>
            <w:pPr>
              <w:jc w:val="right"/>
              <w:ind w:right="62"/>
              <w:spacing w:after="0"/>
              <w:rPr>
                <w:sz w:val="20"/>
                <w:szCs w:val="20"/>
                <w:color w:val="auto"/>
              </w:rPr>
            </w:pPr>
            <w:r>
              <w:rPr>
                <w:rFonts w:ascii="Verdana" w:cs="Verdana" w:eastAsia="Verdana" w:hAnsi="Verdana"/>
                <w:sz w:val="16"/>
                <w:szCs w:val="16"/>
                <w:color w:val="auto"/>
              </w:rPr>
              <w:t>80,259</w:t>
            </w:r>
          </w:p>
        </w:tc>
        <w:tc>
          <w:tcPr>
            <w:tcW w:w="1040" w:type="dxa"/>
            <w:vAlign w:val="bottom"/>
          </w:tcPr>
          <w:p>
            <w:pPr>
              <w:jc w:val="right"/>
              <w:ind w:right="82"/>
              <w:spacing w:after="0"/>
              <w:rPr>
                <w:sz w:val="20"/>
                <w:szCs w:val="20"/>
                <w:color w:val="auto"/>
              </w:rPr>
            </w:pPr>
            <w:r>
              <w:rPr>
                <w:rFonts w:ascii="Verdana" w:cs="Verdana" w:eastAsia="Verdana" w:hAnsi="Verdana"/>
                <w:sz w:val="16"/>
                <w:szCs w:val="16"/>
                <w:color w:val="auto"/>
              </w:rPr>
              <w:t>329,736</w:t>
            </w:r>
          </w:p>
        </w:tc>
        <w:tc>
          <w:tcPr>
            <w:tcW w:w="940" w:type="dxa"/>
            <w:vAlign w:val="bottom"/>
          </w:tcPr>
          <w:p>
            <w:pPr>
              <w:jc w:val="right"/>
              <w:ind w:right="2"/>
              <w:spacing w:after="0"/>
              <w:rPr>
                <w:sz w:val="20"/>
                <w:szCs w:val="20"/>
                <w:color w:val="auto"/>
              </w:rPr>
            </w:pPr>
            <w:r>
              <w:rPr>
                <w:rFonts w:ascii="Verdana" w:cs="Verdana" w:eastAsia="Verdana" w:hAnsi="Verdana"/>
                <w:sz w:val="16"/>
                <w:szCs w:val="16"/>
                <w:color w:val="auto"/>
              </w:rPr>
              <w:t>135,215</w:t>
            </w:r>
          </w:p>
        </w:tc>
      </w:tr>
      <w:tr>
        <w:trPr>
          <w:trHeight w:val="236"/>
        </w:trPr>
        <w:tc>
          <w:tcPr>
            <w:tcW w:w="6580" w:type="dxa"/>
            <w:vAlign w:val="bottom"/>
          </w:tcPr>
          <w:p>
            <w:pPr>
              <w:ind w:left="40"/>
              <w:spacing w:after="0"/>
              <w:rPr>
                <w:sz w:val="20"/>
                <w:szCs w:val="20"/>
                <w:color w:val="auto"/>
              </w:rPr>
            </w:pPr>
            <w:r>
              <w:rPr>
                <w:rFonts w:ascii="Verdana" w:cs="Verdana" w:eastAsia="Verdana" w:hAnsi="Verdana"/>
                <w:sz w:val="16"/>
                <w:szCs w:val="16"/>
                <w:color w:val="auto"/>
              </w:rPr>
              <w:t>December 31, 2023</w:t>
            </w:r>
          </w:p>
        </w:tc>
        <w:tc>
          <w:tcPr>
            <w:tcW w:w="1000" w:type="dxa"/>
            <w:vAlign w:val="bottom"/>
          </w:tcPr>
          <w:p>
            <w:pPr>
              <w:jc w:val="right"/>
              <w:ind w:right="62"/>
              <w:spacing w:after="0"/>
              <w:rPr>
                <w:sz w:val="20"/>
                <w:szCs w:val="20"/>
                <w:color w:val="auto"/>
              </w:rPr>
            </w:pPr>
            <w:r>
              <w:rPr>
                <w:rFonts w:ascii="Verdana" w:cs="Verdana" w:eastAsia="Verdana" w:hAnsi="Verdana"/>
                <w:sz w:val="16"/>
                <w:szCs w:val="16"/>
                <w:color w:val="auto"/>
              </w:rPr>
              <w:t>110,635</w:t>
            </w:r>
          </w:p>
        </w:tc>
        <w:tc>
          <w:tcPr>
            <w:tcW w:w="1040" w:type="dxa"/>
            <w:vAlign w:val="bottom"/>
          </w:tcPr>
          <w:p>
            <w:pPr>
              <w:jc w:val="right"/>
              <w:ind w:right="82"/>
              <w:spacing w:after="0"/>
              <w:rPr>
                <w:sz w:val="20"/>
                <w:szCs w:val="20"/>
                <w:color w:val="auto"/>
              </w:rPr>
            </w:pPr>
            <w:r>
              <w:rPr>
                <w:rFonts w:ascii="Verdana" w:cs="Verdana" w:eastAsia="Verdana" w:hAnsi="Verdana"/>
                <w:sz w:val="16"/>
                <w:szCs w:val="16"/>
                <w:color w:val="auto"/>
              </w:rPr>
              <w:t>344,026</w:t>
            </w:r>
          </w:p>
        </w:tc>
        <w:tc>
          <w:tcPr>
            <w:tcW w:w="940" w:type="dxa"/>
            <w:vAlign w:val="bottom"/>
          </w:tcPr>
          <w:p>
            <w:pPr>
              <w:jc w:val="right"/>
              <w:ind w:right="2"/>
              <w:spacing w:after="0"/>
              <w:rPr>
                <w:sz w:val="20"/>
                <w:szCs w:val="20"/>
                <w:color w:val="auto"/>
              </w:rPr>
            </w:pPr>
            <w:r>
              <w:rPr>
                <w:rFonts w:ascii="Verdana" w:cs="Verdana" w:eastAsia="Verdana" w:hAnsi="Verdana"/>
                <w:sz w:val="16"/>
                <w:szCs w:val="16"/>
                <w:color w:val="auto"/>
              </w:rPr>
              <w:t>167,973</w:t>
            </w:r>
          </w:p>
        </w:tc>
      </w:tr>
      <w:tr>
        <w:trPr>
          <w:trHeight w:val="236"/>
        </w:trPr>
        <w:tc>
          <w:tcPr>
            <w:tcW w:w="6580" w:type="dxa"/>
            <w:vAlign w:val="bottom"/>
          </w:tcPr>
          <w:p>
            <w:pPr>
              <w:ind w:left="40"/>
              <w:spacing w:after="0"/>
              <w:rPr>
                <w:sz w:val="20"/>
                <w:szCs w:val="20"/>
                <w:color w:val="auto"/>
              </w:rPr>
            </w:pPr>
            <w:r>
              <w:rPr>
                <w:rFonts w:ascii="Verdana" w:cs="Verdana" w:eastAsia="Verdana" w:hAnsi="Verdana"/>
                <w:sz w:val="16"/>
                <w:szCs w:val="16"/>
                <w:color w:val="auto"/>
              </w:rPr>
              <w:t>December 31, 2024</w:t>
            </w:r>
          </w:p>
        </w:tc>
        <w:tc>
          <w:tcPr>
            <w:tcW w:w="1000" w:type="dxa"/>
            <w:vAlign w:val="bottom"/>
          </w:tcPr>
          <w:p>
            <w:pPr>
              <w:jc w:val="right"/>
              <w:ind w:right="62"/>
              <w:spacing w:after="0"/>
              <w:rPr>
                <w:sz w:val="20"/>
                <w:szCs w:val="20"/>
                <w:color w:val="auto"/>
              </w:rPr>
            </w:pPr>
            <w:r>
              <w:rPr>
                <w:rFonts w:ascii="Verdana" w:cs="Verdana" w:eastAsia="Verdana" w:hAnsi="Verdana"/>
                <w:sz w:val="16"/>
                <w:szCs w:val="16"/>
                <w:color w:val="auto"/>
              </w:rPr>
              <w:t>155,573</w:t>
            </w:r>
          </w:p>
        </w:tc>
        <w:tc>
          <w:tcPr>
            <w:tcW w:w="1040" w:type="dxa"/>
            <w:vAlign w:val="bottom"/>
          </w:tcPr>
          <w:p>
            <w:pPr>
              <w:jc w:val="right"/>
              <w:ind w:right="82"/>
              <w:spacing w:after="0"/>
              <w:rPr>
                <w:sz w:val="20"/>
                <w:szCs w:val="20"/>
                <w:color w:val="auto"/>
              </w:rPr>
            </w:pPr>
            <w:r>
              <w:rPr>
                <w:rFonts w:ascii="Verdana" w:cs="Verdana" w:eastAsia="Verdana" w:hAnsi="Verdana"/>
                <w:sz w:val="16"/>
                <w:szCs w:val="16"/>
                <w:color w:val="auto"/>
              </w:rPr>
              <w:t>534,999</w:t>
            </w:r>
          </w:p>
        </w:tc>
        <w:tc>
          <w:tcPr>
            <w:tcW w:w="940" w:type="dxa"/>
            <w:vAlign w:val="bottom"/>
          </w:tcPr>
          <w:p>
            <w:pPr>
              <w:jc w:val="right"/>
              <w:ind w:right="2"/>
              <w:spacing w:after="0"/>
              <w:rPr>
                <w:sz w:val="20"/>
                <w:szCs w:val="20"/>
                <w:color w:val="auto"/>
              </w:rPr>
            </w:pPr>
            <w:r>
              <w:rPr>
                <w:rFonts w:ascii="Verdana" w:cs="Verdana" w:eastAsia="Verdana" w:hAnsi="Verdana"/>
                <w:sz w:val="16"/>
                <w:szCs w:val="16"/>
                <w:color w:val="auto"/>
              </w:rPr>
              <w:t>244,740</w:t>
            </w:r>
          </w:p>
        </w:tc>
      </w:tr>
      <w:tr>
        <w:trPr>
          <w:trHeight w:val="236"/>
        </w:trPr>
        <w:tc>
          <w:tcPr>
            <w:tcW w:w="6580" w:type="dxa"/>
            <w:vAlign w:val="bottom"/>
          </w:tcPr>
          <w:p>
            <w:pPr>
              <w:ind w:left="40"/>
              <w:spacing w:after="0"/>
              <w:rPr>
                <w:sz w:val="20"/>
                <w:szCs w:val="20"/>
                <w:color w:val="auto"/>
              </w:rPr>
            </w:pPr>
            <w:r>
              <w:rPr>
                <w:rFonts w:ascii="Verdana" w:cs="Verdana" w:eastAsia="Verdana" w:hAnsi="Verdana"/>
                <w:sz w:val="16"/>
                <w:szCs w:val="16"/>
                <w:color w:val="auto"/>
              </w:rPr>
              <w:t>December 31, 2025</w:t>
            </w:r>
          </w:p>
        </w:tc>
        <w:tc>
          <w:tcPr>
            <w:tcW w:w="1000" w:type="dxa"/>
            <w:vAlign w:val="bottom"/>
          </w:tcPr>
          <w:p>
            <w:pPr>
              <w:jc w:val="right"/>
              <w:ind w:right="62"/>
              <w:spacing w:after="0"/>
              <w:rPr>
                <w:sz w:val="20"/>
                <w:szCs w:val="20"/>
                <w:color w:val="auto"/>
              </w:rPr>
            </w:pPr>
            <w:r>
              <w:rPr>
                <w:rFonts w:ascii="Verdana" w:cs="Verdana" w:eastAsia="Verdana" w:hAnsi="Verdana"/>
                <w:sz w:val="16"/>
                <w:szCs w:val="16"/>
                <w:color w:val="214E93"/>
              </w:rPr>
              <w:t>152,952</w:t>
            </w:r>
          </w:p>
        </w:tc>
        <w:tc>
          <w:tcPr>
            <w:tcW w:w="1040" w:type="dxa"/>
            <w:vAlign w:val="bottom"/>
          </w:tcPr>
          <w:p>
            <w:pPr>
              <w:jc w:val="right"/>
              <w:ind w:right="82"/>
              <w:spacing w:after="0"/>
              <w:rPr>
                <w:sz w:val="20"/>
                <w:szCs w:val="20"/>
                <w:color w:val="auto"/>
              </w:rPr>
            </w:pPr>
            <w:r>
              <w:rPr>
                <w:rFonts w:ascii="Verdana" w:cs="Verdana" w:eastAsia="Verdana" w:hAnsi="Verdana"/>
                <w:sz w:val="16"/>
                <w:szCs w:val="16"/>
                <w:color w:val="214E93"/>
              </w:rPr>
              <w:t>636,649</w:t>
            </w:r>
          </w:p>
        </w:tc>
        <w:tc>
          <w:tcPr>
            <w:tcW w:w="940" w:type="dxa"/>
            <w:vAlign w:val="bottom"/>
          </w:tcPr>
          <w:p>
            <w:pPr>
              <w:jc w:val="right"/>
              <w:ind w:right="2"/>
              <w:spacing w:after="0"/>
              <w:rPr>
                <w:sz w:val="20"/>
                <w:szCs w:val="20"/>
                <w:color w:val="auto"/>
              </w:rPr>
            </w:pPr>
            <w:r>
              <w:rPr>
                <w:rFonts w:ascii="Verdana" w:cs="Verdana" w:eastAsia="Verdana" w:hAnsi="Verdana"/>
                <w:sz w:val="16"/>
                <w:szCs w:val="16"/>
                <w:color w:val="214E93"/>
              </w:rPr>
              <w:t>259,060</w:t>
            </w:r>
          </w:p>
        </w:tc>
      </w:tr>
    </w:tbl>
    <w:p>
      <w:pPr>
        <w:spacing w:after="0" w:line="20" w:lineRule="exact"/>
        <w:rPr>
          <w:sz w:val="20"/>
          <w:szCs w:val="20"/>
          <w:color w:val="auto"/>
        </w:rPr>
      </w:pPr>
    </w:p>
    <w:p>
      <w:pPr>
        <w:spacing w:after="0" w:line="254" w:lineRule="exact"/>
        <w:rPr>
          <w:sz w:val="20"/>
          <w:szCs w:val="20"/>
          <w:color w:val="auto"/>
        </w:rPr>
      </w:pPr>
    </w:p>
    <w:p>
      <w:pPr>
        <w:ind w:left="780" w:right="180" w:firstLine="241"/>
        <w:spacing w:after="0" w:line="252" w:lineRule="auto"/>
        <w:rPr>
          <w:sz w:val="20"/>
          <w:szCs w:val="20"/>
          <w:color w:val="auto"/>
        </w:rPr>
      </w:pPr>
      <w:r>
        <w:rPr>
          <w:rFonts w:ascii="Calibri" w:cs="Calibri" w:eastAsia="Calibri" w:hAnsi="Calibri"/>
          <w:sz w:val="18"/>
          <w:szCs w:val="18"/>
          <w:color w:val="auto"/>
        </w:rPr>
        <w:t>The following is a discussion of the changes in the Company’s proved oil and natural gas reserves estimates for the years ended December 31, 2025, 2024 and 2023.</w:t>
      </w:r>
    </w:p>
    <w:p>
      <w:pPr>
        <w:spacing w:after="0" w:line="230" w:lineRule="exact"/>
        <w:rPr>
          <w:sz w:val="20"/>
          <w:szCs w:val="20"/>
          <w:color w:val="auto"/>
        </w:rPr>
      </w:pPr>
    </w:p>
    <w:p>
      <w:pPr>
        <w:ind w:left="780" w:right="40" w:firstLine="241"/>
        <w:spacing w:after="0" w:line="286" w:lineRule="auto"/>
        <w:rPr>
          <w:sz w:val="20"/>
          <w:szCs w:val="20"/>
          <w:color w:val="auto"/>
        </w:rPr>
      </w:pPr>
      <w:r>
        <w:rPr>
          <w:rFonts w:ascii="Calibri" w:cs="Calibri" w:eastAsia="Calibri" w:hAnsi="Calibri"/>
          <w:sz w:val="17"/>
          <w:szCs w:val="17"/>
          <w:color w:val="auto"/>
        </w:rPr>
        <w:t>The Company’s proved oil and natural gas reserves increased 9% from 611.5 million BOE at December 31, 2024 to 667.0 million BOE at December 31, 2025. The Company’s proved oil and natural gas reserves increased by 131.1 million BOE and the Company produced 75.6 million BOE during the year ended December 31, 2025, resulting in a net increase of 55.5 million BOE. This increase in proved oil and natural gas reserves was primarily attributable to the Company’s delineation and development operations in the Delaware Basin during 2025. The Company also added 135.0 million BOE in proved reserves through extensions and discoveries during 2025, of which 23.0 million BOE resulted from new well locations turned to sales during 2025 to establish proved developed reserves and 112.0 million BOE resulted from new proved undeveloped locations identified as a result of drilling activities on the Company’s existing acreage in the Delaware Basin during 2025. The Company also increased its total proved oil and natural gas reserves by 3.3 million BOE as a result of net acquisitions, divestitures and trades during 2025. Additionally, the Company realized approximately 7.2 million BOE in net downward revisions of prior estimates for proved oil and natural gas reserves in 2025, which primarily included the removal of 22.8 million BOE in proved undeveloped reserves that were not developed or were no longer expected to be developed within five years of their initial booking resulting primarily from changes in development plans for certain of the Company’s properties in the Delaware Basin, 5.6 million BOE resulting from pricing updates, including the 14% decrease in oil prices, which was partially offset by the 59% increase in natural gas prices used to estimate total proved reserves at December 31, 2025, as compared to December 31, 2024, and 2.9 million BOE in expense updates. As the Company continues to develop its Delaware Basin assets, the Company may reclassify some or all of this 22.8 million BOE to proved reserves at a future date. These downward revisions at December 31, 2025 were partially offset by positive forecast updates of 24.1 million BOE.</w:t>
      </w:r>
    </w:p>
    <w:p>
      <w:pPr>
        <w:sectPr>
          <w:pgSz w:w="11880" w:h="15480" w:orient="portrait"/>
          <w:cols w:equalWidth="0" w:num="1">
            <w:col w:w="10340"/>
          </w:cols>
          <w:pgMar w:left="38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00"/>
        <w:spacing w:after="0"/>
        <w:rPr>
          <w:sz w:val="20"/>
          <w:szCs w:val="20"/>
          <w:color w:val="auto"/>
        </w:rPr>
      </w:pPr>
      <w:r>
        <w:rPr>
          <w:rFonts w:ascii="Calibri" w:cs="Calibri" w:eastAsia="Calibri" w:hAnsi="Calibri"/>
          <w:sz w:val="17"/>
          <w:szCs w:val="17"/>
          <w:color w:val="auto"/>
        </w:rPr>
        <w:t>Unaudited Supplementary Information FORM 10-K</w:t>
      </w:r>
    </w:p>
    <w:p>
      <w:pPr>
        <w:sectPr>
          <w:pgSz w:w="11880" w:h="15480" w:orient="portrait"/>
          <w:cols w:equalWidth="0" w:num="1">
            <w:col w:w="10340"/>
          </w:cols>
          <w:pgMar w:left="380" w:top="498" w:right="1160" w:bottom="0" w:gutter="0" w:footer="0" w:header="0"/>
          <w:type w:val="continuous"/>
        </w:sectPr>
      </w:pPr>
    </w:p>
    <w:bookmarkStart w:id="176" w:name="page177"/>
    <w:bookmarkEnd w:id="176"/>
    <w:tbl>
      <w:tblPr>
        <w:tblLayout w:type="fixed"/>
        <w:tblInd w:w="7880" w:type="dxa"/>
        <w:tblCellMar>
          <w:top w:w="0" w:type="dxa"/>
          <w:left w:w="0" w:type="dxa"/>
          <w:bottom w:w="0" w:type="dxa"/>
          <w:right w:w="0" w:type="dxa"/>
        </w:tblCellMar>
      </w:tblPr>
      <w:tr>
        <w:trPr>
          <w:trHeight w:val="220"/>
        </w:trPr>
        <w:tc>
          <w:tcPr>
            <w:tcW w:w="188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580" w:type="dxa"/>
            <w:vAlign w:val="bottom"/>
          </w:tcPr>
          <w:p>
            <w:pPr>
              <w:ind w:left="260"/>
              <w:spacing w:after="0"/>
              <w:rPr>
                <w:sz w:val="20"/>
                <w:szCs w:val="20"/>
                <w:color w:val="auto"/>
              </w:rPr>
            </w:pPr>
            <w:r>
              <w:rPr>
                <w:rFonts w:ascii="Calibri" w:cs="Calibri" w:eastAsia="Calibri" w:hAnsi="Calibri"/>
                <w:sz w:val="18"/>
                <w:szCs w:val="18"/>
                <w:color w:val="auto"/>
                <w:w w:val="93"/>
              </w:rPr>
              <w:t>F-46</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347" name="Shape 3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47" o:spid="_x0000_s13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348" name="Shape 3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48" o:spid="_x0000_s13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Verdana" w:cs="Verdana" w:eastAsia="Verdana" w:hAnsi="Verdana"/>
          <w:sz w:val="20"/>
          <w:szCs w:val="20"/>
          <w:color w:val="214E93"/>
        </w:rPr>
        <w:t>SUPPLEMENTAL OIL AND NATURAL GAS DISCLOSURES — Continued</w:t>
      </w:r>
    </w:p>
    <w:p>
      <w:pPr>
        <w:spacing w:after="0" w:line="209" w:lineRule="exact"/>
        <w:rPr>
          <w:sz w:val="20"/>
          <w:szCs w:val="20"/>
          <w:color w:val="auto"/>
        </w:rPr>
      </w:pPr>
    </w:p>
    <w:p>
      <w:pPr>
        <w:jc w:val="both"/>
        <w:ind w:right="980" w:firstLine="241"/>
        <w:spacing w:after="0" w:line="283" w:lineRule="auto"/>
        <w:rPr>
          <w:sz w:val="20"/>
          <w:szCs w:val="20"/>
          <w:color w:val="auto"/>
        </w:rPr>
      </w:pPr>
      <w:r>
        <w:rPr>
          <w:rFonts w:ascii="Calibri" w:cs="Calibri" w:eastAsia="Calibri" w:hAnsi="Calibri"/>
          <w:sz w:val="17"/>
          <w:szCs w:val="17"/>
          <w:color w:val="auto"/>
        </w:rPr>
        <w:t>The Company’s proved developed oil and natural gas reserves increased 11% from 366.8 million BOE at December 31, 2024 to 408.0 million BOE at December 31, 2025. The Company’s proved developed oil and natural gas reserves increased by 116.8 million BOE and the Company produced 75.6 million BOE during the year ended December 31, 2025, resulting in a net increase of</w:t>
      </w:r>
    </w:p>
    <w:p>
      <w:pPr>
        <w:spacing w:after="0" w:line="10" w:lineRule="exact"/>
        <w:rPr>
          <w:sz w:val="20"/>
          <w:szCs w:val="20"/>
          <w:color w:val="auto"/>
        </w:rPr>
      </w:pPr>
    </w:p>
    <w:p>
      <w:pPr>
        <w:ind w:right="800"/>
        <w:spacing w:after="0" w:line="268" w:lineRule="auto"/>
        <w:rPr>
          <w:sz w:val="20"/>
          <w:szCs w:val="20"/>
          <w:color w:val="auto"/>
        </w:rPr>
      </w:pPr>
      <w:r>
        <w:rPr>
          <w:rFonts w:ascii="Calibri" w:cs="Calibri" w:eastAsia="Calibri" w:hAnsi="Calibri"/>
          <w:sz w:val="18"/>
          <w:szCs w:val="18"/>
          <w:color w:val="auto"/>
        </w:rPr>
        <w:t>41.2 million BOE. The Company added 23.0 million BOE in proved developed reserves through extensions and discoveries during 2025, which resulted from new well locations drilled during 2025 to establish proved reserves. In addition, during 2025 the Company converted 77.6 million BOE of its proved undeveloped reserves to proved developed reserves primarily through its development activities in the Delaware Basin. The Company also increased its proved developed reserves by 3.4 million BOE at December 31, 2025 as a result of net property acquisitions, divestitures and trades completed during 2025. Additionally, the Company realized approximately 12.8 million BOE in net upward revisions of prior estimates of proved developed reserves in 2025, including positive forecast updates of 16.7 million BOE and ownership updates of 3.2 million BOE. These upward revisions were partially offset by downward revisions of 4.2 million BOE and 2.9 million BOE attributable to certain pricing and expense updates used to estimate proved developed reserves at December 31, 2025 and 2024, respectively.</w:t>
      </w:r>
    </w:p>
    <w:p>
      <w:pPr>
        <w:spacing w:after="0" w:line="219" w:lineRule="exact"/>
        <w:rPr>
          <w:sz w:val="20"/>
          <w:szCs w:val="20"/>
          <w:color w:val="auto"/>
        </w:rPr>
      </w:pPr>
    </w:p>
    <w:p>
      <w:pPr>
        <w:ind w:right="780" w:firstLine="241"/>
        <w:spacing w:after="0" w:line="269" w:lineRule="auto"/>
        <w:rPr>
          <w:sz w:val="20"/>
          <w:szCs w:val="20"/>
          <w:color w:val="auto"/>
        </w:rPr>
      </w:pPr>
      <w:r>
        <w:rPr>
          <w:rFonts w:ascii="Calibri" w:cs="Calibri" w:eastAsia="Calibri" w:hAnsi="Calibri"/>
          <w:sz w:val="18"/>
          <w:szCs w:val="18"/>
          <w:color w:val="auto"/>
        </w:rPr>
        <w:t>The Company’s proved undeveloped oil and natural gas reserves increased 6% from 244.7 million BOE at December 31, 2024 to 259.1 million at December 31, 2025. The Company added 112.0 million BOE in proved undeveloped reserves through extensions and discoveries during 2025, which resulted primarily from new proved undeveloped locations identified as a result of drilling activities on the Company’s existing acreage in the Delaware Basin during 2025. The Company also decreased its proved undeveloped reserves by 0.1 million BOE at December 31, 2025 as a result of net property acquisitions, divestitures and trades completed during 2025. Additionally, the Company realized approximately 20.0 million BOE in net downward revisions of prior estimates of proved undeveloped reserves in 2025, which included the removal of 22.8 million BOE in proved undeveloped reserves that were not developed or were no longer expected to be developed within five years of their initial booking resulting primarily from changes in development plans for certain of the properties in the Delaware Basin and the removal of 3.2 million BOE and 1.4 million BOE for certain ownership and pricing updates at December 31, 2025 and 2024, respectively. These downward revisions were partially offset by positive forecast updates of 7.4 million BOE.</w:t>
      </w:r>
    </w:p>
    <w:p>
      <w:pPr>
        <w:spacing w:after="0" w:line="214" w:lineRule="exact"/>
        <w:rPr>
          <w:sz w:val="20"/>
          <w:szCs w:val="20"/>
          <w:color w:val="auto"/>
        </w:rPr>
      </w:pPr>
    </w:p>
    <w:p>
      <w:pPr>
        <w:ind w:right="800" w:firstLine="241"/>
        <w:spacing w:after="0" w:line="286" w:lineRule="auto"/>
        <w:rPr>
          <w:sz w:val="20"/>
          <w:szCs w:val="20"/>
          <w:color w:val="auto"/>
        </w:rPr>
      </w:pPr>
      <w:r>
        <w:rPr>
          <w:rFonts w:ascii="Calibri" w:cs="Calibri" w:eastAsia="Calibri" w:hAnsi="Calibri"/>
          <w:sz w:val="17"/>
          <w:szCs w:val="17"/>
          <w:color w:val="auto"/>
        </w:rPr>
        <w:t>At December 31, 2025, the Company’s proved reserves were comprised of 56% oil and 44% natural gas. As a percentage of total proved reserves, proved developed reserves were approximately 61% and proved undeveloped reserves were 39% at December 31, 2025. Comparatively, proved developed reserves as a percentage of total proved reserves were 60% and 63% at December 31, 2024 and 2023, respectively. The percent increase in proved developed reserves over proved undeveloped reserves from December 31, 2024 to December 31, 2025 was primarily a result of acquisitions and new wells drilled that resulted in proved developed reserves at a greater pace than extensions and discoveries of new proved undeveloped locations on the Company’s existing acreage in the Delaware Basin. The percent decrease in proved developed reserves over proved undeveloped reserves from December 31, 2023 to December 31, 2024 was primarily the result of greater extensions and discoveries of new proved undeveloped locations on the Company’s existing acreage in the Delaware Basin and proved undeveloped reserves acquired as part of the Ameredev Acquisition.</w:t>
      </w:r>
    </w:p>
    <w:p>
      <w:pPr>
        <w:spacing w:after="0" w:line="202" w:lineRule="exact"/>
        <w:rPr>
          <w:sz w:val="20"/>
          <w:szCs w:val="20"/>
          <w:color w:val="auto"/>
        </w:rPr>
      </w:pPr>
    </w:p>
    <w:p>
      <w:pPr>
        <w:ind w:right="820" w:firstLine="241"/>
        <w:spacing w:after="0" w:line="286" w:lineRule="auto"/>
        <w:rPr>
          <w:sz w:val="20"/>
          <w:szCs w:val="20"/>
          <w:color w:val="auto"/>
        </w:rPr>
      </w:pPr>
      <w:r>
        <w:rPr>
          <w:rFonts w:ascii="Calibri" w:cs="Calibri" w:eastAsia="Calibri" w:hAnsi="Calibri"/>
          <w:sz w:val="17"/>
          <w:szCs w:val="17"/>
          <w:color w:val="auto"/>
        </w:rPr>
        <w:t>The Company’s proved oil and natural gas reserves increased 33% from 460.1 million BOE at December 31, 2023 to 611.5 million BOE at December 31, 2024. The Company’s proved oil and natural gas reserves increased by 214.0 million BOE and the Company produced 62.5 million BOE during the year ended December 31, 2024, resulting in a net increase of 151.5 million BOE. This increase in proved oil and natural gas reserves was primarily attributable to the Ameredev Acquisition and the Company’s delineation and development operations in the Delaware Basin during 2024. The Company increased its total proved oil and natural gas reserves by 119.9 million BOE as a result of acquisitions and trades during 2024. The Company also added 99.9 million BOE in proved reserves through extensions and discoveries during 2024, of which 28.4 million BOE resulted from new well locations turned to sales during 2024 to establish proved developed reserves and 71.5 million BOE resulted primarily from new proved undeveloped locations identified as a result of drilling activities on the Company’s existing acreage in the Delaware Basin during 2024. These increases were partially offset by net downward revisions of prior estimates for proved oil and natural gas reserves, which primarily included the removal of 8.2 million BOE resulting from the 4% decrease in oil prices and the 19% decrease in natural gas prices used to estimate total proved reserves at December 31, 2024, as compared to December 31, 2023, and 15.3 million BOE in proved undeveloped reserves that were not developed or were no longer expected to be developed within five years of their initial booking resulting primarily from changes in development plans for certain of the Company’s properties in the Delaware Basin. These downward revisions at December 31, 2024 were partially offset by positive forecast updates of 21.7 million BOE.</w:t>
      </w:r>
    </w:p>
    <w:p>
      <w:pPr>
        <w:sectPr>
          <w:pgSz w:w="11880" w:h="15480" w:orient="portrait"/>
          <w:cols w:equalWidth="0" w:num="1">
            <w:col w:w="10340"/>
          </w:cols>
          <w:pgMar w:left="1160" w:top="498"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600"/>
        <w:spacing w:after="0"/>
        <w:rPr>
          <w:sz w:val="20"/>
          <w:szCs w:val="20"/>
          <w:color w:val="auto"/>
        </w:rPr>
      </w:pPr>
      <w:r>
        <w:rPr>
          <w:rFonts w:ascii="Calibri" w:cs="Calibri" w:eastAsia="Calibri" w:hAnsi="Calibri"/>
          <w:sz w:val="17"/>
          <w:szCs w:val="17"/>
          <w:color w:val="auto"/>
        </w:rPr>
        <w:t>Unaudited Supplementary Information FORM 10-K</w:t>
      </w:r>
    </w:p>
    <w:p>
      <w:pPr>
        <w:sectPr>
          <w:pgSz w:w="11880" w:h="15480" w:orient="portrait"/>
          <w:cols w:equalWidth="0" w:num="1">
            <w:col w:w="10340"/>
          </w:cols>
          <w:pgMar w:left="1160" w:top="498" w:right="380" w:bottom="0" w:gutter="0" w:footer="0" w:header="0"/>
          <w:type w:val="continuous"/>
        </w:sectPr>
      </w:pPr>
    </w:p>
    <w:bookmarkStart w:id="177" w:name="page178"/>
    <w:bookmarkEnd w:id="177"/>
    <w:p>
      <w:pPr>
        <w:spacing w:after="0"/>
        <w:tabs>
          <w:tab w:leader="none" w:pos="800" w:val="left"/>
        </w:tabs>
        <w:rPr>
          <w:sz w:val="20"/>
          <w:szCs w:val="20"/>
          <w:color w:val="auto"/>
        </w:rPr>
      </w:pPr>
      <w:r>
        <w:rPr>
          <w:rFonts w:ascii="Calibri" w:cs="Calibri" w:eastAsia="Calibri" w:hAnsi="Calibri"/>
          <w:sz w:val="18"/>
          <w:szCs w:val="18"/>
          <w:color w:val="auto"/>
        </w:rPr>
        <w:t>F-47</w:t>
      </w:r>
      <w:r>
        <w:rPr>
          <w:sz w:val="20"/>
          <w:szCs w:val="20"/>
          <w:color w:val="auto"/>
        </w:rPr>
        <w:tab/>
      </w:r>
      <w:r>
        <w:rPr>
          <w:rFonts w:ascii="Calibri" w:cs="Calibri" w:eastAsia="Calibri" w:hAnsi="Calibri"/>
          <w:sz w:val="17"/>
          <w:szCs w:val="17"/>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490220</wp:posOffset>
                </wp:positionH>
                <wp:positionV relativeFrom="paragraph">
                  <wp:posOffset>320675</wp:posOffset>
                </wp:positionV>
                <wp:extent cx="6812280" cy="0"/>
                <wp:wrapNone/>
                <wp:docPr id="349" name="Shape 3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49" o:spid="_x0000_s13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25.25pt" to="57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490220</wp:posOffset>
                </wp:positionH>
                <wp:positionV relativeFrom="paragraph">
                  <wp:posOffset>320675</wp:posOffset>
                </wp:positionV>
                <wp:extent cx="6812280" cy="0"/>
                <wp:wrapNone/>
                <wp:docPr id="350" name="Shape 3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50" o:spid="_x0000_s13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25.25pt" to="57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80"/>
        <w:spacing w:after="0"/>
        <w:rPr>
          <w:sz w:val="20"/>
          <w:szCs w:val="20"/>
          <w:color w:val="auto"/>
        </w:rPr>
      </w:pPr>
      <w:r>
        <w:rPr>
          <w:rFonts w:ascii="Verdana" w:cs="Verdana" w:eastAsia="Verdana" w:hAnsi="Verdana"/>
          <w:sz w:val="20"/>
          <w:szCs w:val="20"/>
          <w:color w:val="214E93"/>
        </w:rPr>
        <w:t>SUPPLEMENTAL OIL AND NATURAL GAS DISCLOSURES — Continued</w:t>
      </w:r>
    </w:p>
    <w:p>
      <w:pPr>
        <w:spacing w:after="0" w:line="209" w:lineRule="exact"/>
        <w:rPr>
          <w:sz w:val="20"/>
          <w:szCs w:val="20"/>
          <w:color w:val="auto"/>
        </w:rPr>
      </w:pPr>
    </w:p>
    <w:p>
      <w:pPr>
        <w:ind w:left="780" w:firstLine="241"/>
        <w:spacing w:after="0" w:line="286" w:lineRule="auto"/>
        <w:rPr>
          <w:sz w:val="20"/>
          <w:szCs w:val="20"/>
          <w:color w:val="auto"/>
        </w:rPr>
      </w:pPr>
      <w:r>
        <w:rPr>
          <w:rFonts w:ascii="Calibri" w:cs="Calibri" w:eastAsia="Calibri" w:hAnsi="Calibri"/>
          <w:sz w:val="17"/>
          <w:szCs w:val="17"/>
          <w:color w:val="auto"/>
        </w:rPr>
        <w:t>The Company’s proved oil and natural gas reserves increased 29% from 356.7 million BOE at December 31, 2022 to 460.1 million BOE at December 31, 2023. The Company’s proved oil and natural gas reserves increased by 151.5 million BOE and the Company produced 48.1 million BOE during the year ended December 31, 2023, resulting in a net increase of 103.3 million BOE. This increase in proved oil and natural gas reserves was primarily attributable to the Advance Acquisition and the Company’s delineation and development operations in the Delaware Basin during 2023. The Company increased its total proved oil and natural gas reserves by 109.1 million BOE as a result of acquisitions and trades during 2023. The Company also added 88.3 million BOE in proved reserves through extensions and discoveries during 2023, of which 27.6 million BOE resulted from new well locations drilled during 2023 to establish proved developed reserves and 60.7 million BOE resulted primarily from new proved undeveloped locations identified as a result of drilling activities on the Company’s existing acreage in the Delaware Basin during 2023. These increases were partially offset by the removal of 17.4 million BOE resulting from the 17% decrease in oil prices and the 58% decrease in natural gas prices used to estimate total proved reserves at December 31, 2023, as compared to December 31, 2022, and the removal of 31.5 million BOE in proved undeveloped reserves that were not developed or were no longer expected to be developed within five years of their initial booking resulting primarily from changes in development plans for certain of the Company’s properties in the Delaware Basin.</w:t>
      </w:r>
    </w:p>
    <w:p>
      <w:pPr>
        <w:spacing w:after="0" w:line="209" w:lineRule="exact"/>
        <w:rPr>
          <w:sz w:val="20"/>
          <w:szCs w:val="20"/>
          <w:color w:val="auto"/>
        </w:rPr>
      </w:pPr>
    </w:p>
    <w:p>
      <w:pPr>
        <w:ind w:left="780" w:right="460"/>
        <w:spacing w:after="0" w:line="226" w:lineRule="auto"/>
        <w:rPr>
          <w:sz w:val="20"/>
          <w:szCs w:val="20"/>
          <w:color w:val="auto"/>
        </w:rPr>
      </w:pPr>
      <w:r>
        <w:rPr>
          <w:rFonts w:ascii="Calibri" w:cs="Calibri" w:eastAsia="Calibri" w:hAnsi="Calibri"/>
          <w:sz w:val="19"/>
          <w:szCs w:val="19"/>
          <w:i w:val="1"/>
          <w:iCs w:val="1"/>
          <w:color w:val="214E93"/>
        </w:rPr>
        <w:t>Standardized Measure of Discounted Future Net Cash Flows and Changes Therein Relating to Proved Oil and Natural Gas Reserves</w:t>
      </w:r>
    </w:p>
    <w:p>
      <w:pPr>
        <w:spacing w:after="0" w:line="210" w:lineRule="exact"/>
        <w:rPr>
          <w:sz w:val="20"/>
          <w:szCs w:val="20"/>
          <w:color w:val="auto"/>
        </w:rPr>
      </w:pPr>
    </w:p>
    <w:p>
      <w:pPr>
        <w:ind w:left="780" w:right="40" w:firstLine="241"/>
        <w:spacing w:after="0" w:line="266" w:lineRule="auto"/>
        <w:rPr>
          <w:sz w:val="20"/>
          <w:szCs w:val="20"/>
          <w:color w:val="auto"/>
        </w:rPr>
      </w:pPr>
      <w:r>
        <w:rPr>
          <w:rFonts w:ascii="Calibri" w:cs="Calibri" w:eastAsia="Calibri" w:hAnsi="Calibri"/>
          <w:sz w:val="18"/>
          <w:szCs w:val="18"/>
          <w:color w:val="auto"/>
        </w:rPr>
        <w:t>The standardized measure of discounted future net cash flows relating to proved oil and natural gas reserves is not intended to provide an estimate of the replacement cost or fair market value of the Company’s oil and natural gas properties. An estimate of fair market value would also take into account, among other things, the recovery of reserves not presently classified as proved, anticipated future changes in prices and costs, potential improvements in industry technology and operating practices, the risks inherent in reserves estimates and perhaps different discount rates.</w:t>
      </w:r>
    </w:p>
    <w:p>
      <w:pPr>
        <w:spacing w:after="0" w:line="218" w:lineRule="exact"/>
        <w:rPr>
          <w:sz w:val="20"/>
          <w:szCs w:val="20"/>
          <w:color w:val="auto"/>
        </w:rPr>
      </w:pPr>
    </w:p>
    <w:p>
      <w:pPr>
        <w:ind w:left="780" w:right="100" w:firstLine="241"/>
        <w:spacing w:after="0" w:line="266" w:lineRule="auto"/>
        <w:rPr>
          <w:sz w:val="20"/>
          <w:szCs w:val="20"/>
          <w:color w:val="auto"/>
        </w:rPr>
      </w:pPr>
      <w:r>
        <w:rPr>
          <w:rFonts w:ascii="Calibri" w:cs="Calibri" w:eastAsia="Calibri" w:hAnsi="Calibri"/>
          <w:sz w:val="18"/>
          <w:szCs w:val="18"/>
          <w:color w:val="auto"/>
        </w:rPr>
        <w:t>As noted previously, for the period from January through December 2025, the unweighted, arithmetic averages of first-day-of-the-month oil and natural gas prices were $61.82 per Bbl and $3.39 per MMBtu, respectively. For the period from January through December 2024, the comparable average oil and natural gas prices were $71.96 per Bbl and $2.13 per MMBtu, respectively. For the period from January through December 2023, the comparable average oil and natural gas prices were $74.70 per Bbl and $2.64 per MMBtu, respectively.</w:t>
      </w:r>
    </w:p>
    <w:p>
      <w:pPr>
        <w:spacing w:after="0" w:line="218" w:lineRule="exact"/>
        <w:rPr>
          <w:sz w:val="20"/>
          <w:szCs w:val="20"/>
          <w:color w:val="auto"/>
        </w:rPr>
      </w:pPr>
    </w:p>
    <w:p>
      <w:pPr>
        <w:ind w:left="780" w:right="120" w:firstLine="241"/>
        <w:spacing w:after="0" w:line="264" w:lineRule="auto"/>
        <w:rPr>
          <w:sz w:val="20"/>
          <w:szCs w:val="20"/>
          <w:color w:val="auto"/>
        </w:rPr>
      </w:pPr>
      <w:r>
        <w:rPr>
          <w:rFonts w:ascii="Calibri" w:cs="Calibri" w:eastAsia="Calibri" w:hAnsi="Calibri"/>
          <w:sz w:val="18"/>
          <w:szCs w:val="18"/>
          <w:color w:val="auto"/>
        </w:rPr>
        <w:t>Future net cash flows were computed by applying these oil and natural gas prices, adjusted for all associated transportation and gathering costs, gravity and energy content and regional price differentials, to year-end quantities of proved oil and natural gas reserves and accounting for any future production, development and plugging and abandonment costs associated with producing these reserves; neither prices nor costs were escalated with time in these computations.</w:t>
      </w:r>
    </w:p>
    <w:p>
      <w:pPr>
        <w:spacing w:after="0" w:line="221" w:lineRule="exact"/>
        <w:rPr>
          <w:sz w:val="20"/>
          <w:szCs w:val="20"/>
          <w:color w:val="auto"/>
        </w:rPr>
      </w:pPr>
    </w:p>
    <w:p>
      <w:pPr>
        <w:ind w:left="780" w:right="180" w:firstLine="241"/>
        <w:spacing w:after="0" w:line="264" w:lineRule="auto"/>
        <w:rPr>
          <w:sz w:val="20"/>
          <w:szCs w:val="20"/>
          <w:color w:val="auto"/>
        </w:rPr>
      </w:pPr>
      <w:r>
        <w:rPr>
          <w:rFonts w:ascii="Calibri" w:cs="Calibri" w:eastAsia="Calibri" w:hAnsi="Calibri"/>
          <w:sz w:val="18"/>
          <w:szCs w:val="18"/>
          <w:color w:val="auto"/>
        </w:rPr>
        <w:t>Future income taxes were computed by applying the statutory tax rate to the excess of future net cash flows relating to proved oil and natural gas reserves less the tax basis of the associated properties. Tax credits and NOL carryforwards available to the Company were also considered in the computation of future income taxes. Future net cash flows after income taxes were discounted using a 10% annual discount rate to derive the standardized measure of discounted future net cash flows.</w:t>
      </w:r>
    </w:p>
    <w:p>
      <w:pPr>
        <w:sectPr>
          <w:pgSz w:w="11880" w:h="15480" w:orient="portrait"/>
          <w:cols w:equalWidth="0" w:num="1">
            <w:col w:w="10340"/>
          </w:cols>
          <w:pgMar w:left="38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0"/>
        <w:spacing w:after="0"/>
        <w:rPr>
          <w:sz w:val="20"/>
          <w:szCs w:val="20"/>
          <w:color w:val="auto"/>
        </w:rPr>
      </w:pPr>
      <w:r>
        <w:rPr>
          <w:rFonts w:ascii="Calibri" w:cs="Calibri" w:eastAsia="Calibri" w:hAnsi="Calibri"/>
          <w:sz w:val="17"/>
          <w:szCs w:val="17"/>
          <w:color w:val="auto"/>
        </w:rPr>
        <w:t>Unaudited Supplementary Information FORM 10-K</w:t>
      </w:r>
    </w:p>
    <w:p>
      <w:pPr>
        <w:sectPr>
          <w:pgSz w:w="11880" w:h="15480" w:orient="portrait"/>
          <w:cols w:equalWidth="0" w:num="1">
            <w:col w:w="10340"/>
          </w:cols>
          <w:pgMar w:left="380" w:top="498" w:right="1160" w:bottom="0" w:gutter="0" w:footer="0" w:header="0"/>
          <w:type w:val="continuous"/>
        </w:sectPr>
      </w:pPr>
    </w:p>
    <w:bookmarkStart w:id="178" w:name="page179"/>
    <w:bookmarkEnd w:id="178"/>
    <w:tbl>
      <w:tblPr>
        <w:tblLayout w:type="fixed"/>
        <w:tblInd w:w="7880" w:type="dxa"/>
        <w:tblCellMar>
          <w:top w:w="0" w:type="dxa"/>
          <w:left w:w="0" w:type="dxa"/>
          <w:bottom w:w="0" w:type="dxa"/>
          <w:right w:w="0" w:type="dxa"/>
        </w:tblCellMar>
      </w:tblPr>
      <w:tr>
        <w:trPr>
          <w:trHeight w:val="220"/>
        </w:trPr>
        <w:tc>
          <w:tcPr>
            <w:tcW w:w="1880" w:type="dxa"/>
            <w:vAlign w:val="bottom"/>
          </w:tcPr>
          <w:p>
            <w:pPr>
              <w:spacing w:after="0"/>
              <w:rPr>
                <w:sz w:val="20"/>
                <w:szCs w:val="20"/>
                <w:color w:val="auto"/>
              </w:rPr>
            </w:pPr>
            <w:r>
              <w:rPr>
                <w:rFonts w:ascii="Calibri" w:cs="Calibri" w:eastAsia="Calibri" w:hAnsi="Calibri"/>
                <w:sz w:val="18"/>
                <w:szCs w:val="18"/>
                <w:color w:val="auto"/>
              </w:rPr>
              <w:t>2025 ANNUAL REPORT</w:t>
            </w:r>
          </w:p>
        </w:tc>
        <w:tc>
          <w:tcPr>
            <w:tcW w:w="580" w:type="dxa"/>
            <w:vAlign w:val="bottom"/>
          </w:tcPr>
          <w:p>
            <w:pPr>
              <w:ind w:left="260"/>
              <w:spacing w:after="0"/>
              <w:rPr>
                <w:sz w:val="20"/>
                <w:szCs w:val="20"/>
                <w:color w:val="auto"/>
              </w:rPr>
            </w:pPr>
            <w:r>
              <w:rPr>
                <w:rFonts w:ascii="Calibri" w:cs="Calibri" w:eastAsia="Calibri" w:hAnsi="Calibri"/>
                <w:sz w:val="18"/>
                <w:szCs w:val="18"/>
                <w:color w:val="auto"/>
                <w:w w:val="93"/>
              </w:rPr>
              <w:t>F-48</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351" name="Shape 3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1" o:spid="_x0000_s13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352" name="Shape 3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52" o:spid="_x0000_s13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Verdana" w:cs="Verdana" w:eastAsia="Verdana" w:hAnsi="Verdana"/>
          <w:sz w:val="20"/>
          <w:szCs w:val="20"/>
          <w:color w:val="214E93"/>
        </w:rPr>
        <w:t>SUPPLEMENTAL OIL AND NATURAL GAS DISCLOSURES — Continued</w:t>
      </w:r>
    </w:p>
    <w:p>
      <w:pPr>
        <w:spacing w:after="0" w:line="209" w:lineRule="exact"/>
        <w:rPr>
          <w:sz w:val="20"/>
          <w:szCs w:val="20"/>
          <w:color w:val="auto"/>
        </w:rPr>
      </w:pPr>
    </w:p>
    <w:p>
      <w:pPr>
        <w:ind w:right="880" w:firstLine="241"/>
        <w:spacing w:after="0" w:line="252" w:lineRule="auto"/>
        <w:rPr>
          <w:sz w:val="20"/>
          <w:szCs w:val="20"/>
          <w:color w:val="auto"/>
        </w:rPr>
      </w:pPr>
      <w:r>
        <w:rPr>
          <w:rFonts w:ascii="Calibri" w:cs="Calibri" w:eastAsia="Calibri" w:hAnsi="Calibri"/>
          <w:sz w:val="18"/>
          <w:szCs w:val="18"/>
          <w:color w:val="auto"/>
        </w:rPr>
        <w:t>The following table presents the standardized measure of discounted future net cash flows relating to proved oil and natural gas reserves for the years ended December 31, 2025, 2024 and 2023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40" w:type="dxa"/>
            <w:vAlign w:val="bottom"/>
          </w:tcPr>
          <w:p>
            <w:pPr>
              <w:spacing w:after="0"/>
              <w:rPr>
                <w:sz w:val="16"/>
                <w:szCs w:val="16"/>
                <w:color w:val="auto"/>
              </w:rPr>
            </w:pPr>
          </w:p>
        </w:tc>
        <w:tc>
          <w:tcPr>
            <w:tcW w:w="3520" w:type="dxa"/>
            <w:vAlign w:val="bottom"/>
            <w:tcBorders>
              <w:bottom w:val="single" w:sz="8" w:color="214E93"/>
            </w:tcBorders>
            <w:gridSpan w:val="3"/>
          </w:tcPr>
          <w:p>
            <w:pPr>
              <w:jc w:val="right"/>
              <w:ind w:right="762"/>
              <w:spacing w:after="0"/>
              <w:rPr>
                <w:sz w:val="20"/>
                <w:szCs w:val="20"/>
                <w:color w:val="auto"/>
              </w:rPr>
            </w:pPr>
            <w:r>
              <w:rPr>
                <w:rFonts w:ascii="Verdana" w:cs="Verdana" w:eastAsia="Verdana" w:hAnsi="Verdana"/>
                <w:sz w:val="14"/>
                <w:szCs w:val="14"/>
                <w:color w:val="auto"/>
              </w:rPr>
              <w:t>Year Ended December 31,</w:t>
            </w:r>
          </w:p>
        </w:tc>
      </w:tr>
      <w:tr>
        <w:trPr>
          <w:trHeight w:val="216"/>
        </w:trPr>
        <w:tc>
          <w:tcPr>
            <w:tcW w:w="6040" w:type="dxa"/>
            <w:vAlign w:val="bottom"/>
            <w:tcBorders>
              <w:bottom w:val="single" w:sz="8" w:color="214E93"/>
            </w:tcBorders>
          </w:tcPr>
          <w:p>
            <w:pPr>
              <w:spacing w:after="0"/>
              <w:rPr>
                <w:sz w:val="18"/>
                <w:szCs w:val="18"/>
                <w:color w:val="auto"/>
              </w:rPr>
            </w:pPr>
          </w:p>
        </w:tc>
        <w:tc>
          <w:tcPr>
            <w:tcW w:w="1180" w:type="dxa"/>
            <w:vAlign w:val="bottom"/>
            <w:tcBorders>
              <w:bottom w:val="single" w:sz="8" w:color="214E93"/>
            </w:tcBorders>
          </w:tcPr>
          <w:p>
            <w:pPr>
              <w:jc w:val="right"/>
              <w:ind w:right="363"/>
              <w:spacing w:after="0"/>
              <w:rPr>
                <w:sz w:val="20"/>
                <w:szCs w:val="20"/>
                <w:color w:val="auto"/>
              </w:rPr>
            </w:pPr>
            <w:r>
              <w:rPr>
                <w:rFonts w:ascii="Verdana" w:cs="Verdana" w:eastAsia="Verdana" w:hAnsi="Verdana"/>
                <w:sz w:val="14"/>
                <w:szCs w:val="14"/>
                <w:color w:val="214E93"/>
              </w:rPr>
              <w:t>2025</w:t>
            </w:r>
          </w:p>
        </w:tc>
        <w:tc>
          <w:tcPr>
            <w:tcW w:w="1200" w:type="dxa"/>
            <w:vAlign w:val="bottom"/>
            <w:tcBorders>
              <w:bottom w:val="single" w:sz="8" w:color="214E93"/>
            </w:tcBorders>
          </w:tcPr>
          <w:p>
            <w:pPr>
              <w:jc w:val="right"/>
              <w:ind w:right="362"/>
              <w:spacing w:after="0"/>
              <w:rPr>
                <w:sz w:val="20"/>
                <w:szCs w:val="20"/>
                <w:color w:val="auto"/>
              </w:rPr>
            </w:pPr>
            <w:r>
              <w:rPr>
                <w:rFonts w:ascii="Verdana" w:cs="Verdana" w:eastAsia="Verdana" w:hAnsi="Verdana"/>
                <w:sz w:val="14"/>
                <w:szCs w:val="14"/>
                <w:color w:val="auto"/>
              </w:rPr>
              <w:t>2024</w:t>
            </w:r>
          </w:p>
        </w:tc>
        <w:tc>
          <w:tcPr>
            <w:tcW w:w="1140" w:type="dxa"/>
            <w:vAlign w:val="bottom"/>
            <w:tcBorders>
              <w:bottom w:val="single" w:sz="8" w:color="214E93"/>
            </w:tcBorders>
          </w:tcPr>
          <w:p>
            <w:pPr>
              <w:jc w:val="right"/>
              <w:ind w:right="302"/>
              <w:spacing w:after="0"/>
              <w:rPr>
                <w:sz w:val="20"/>
                <w:szCs w:val="20"/>
                <w:color w:val="auto"/>
              </w:rPr>
            </w:pPr>
            <w:r>
              <w:rPr>
                <w:rFonts w:ascii="Verdana" w:cs="Verdana" w:eastAsia="Verdana" w:hAnsi="Verdana"/>
                <w:sz w:val="14"/>
                <w:szCs w:val="14"/>
                <w:color w:val="auto"/>
              </w:rPr>
              <w:t>2023</w:t>
            </w:r>
          </w:p>
        </w:tc>
      </w:tr>
      <w:tr>
        <w:trPr>
          <w:trHeight w:val="211"/>
        </w:trPr>
        <w:tc>
          <w:tcPr>
            <w:tcW w:w="6040" w:type="dxa"/>
            <w:vAlign w:val="bottom"/>
          </w:tcPr>
          <w:p>
            <w:pPr>
              <w:ind w:left="40"/>
              <w:spacing w:after="0"/>
              <w:rPr>
                <w:sz w:val="20"/>
                <w:szCs w:val="20"/>
                <w:color w:val="auto"/>
              </w:rPr>
            </w:pPr>
            <w:r>
              <w:rPr>
                <w:rFonts w:ascii="Verdana" w:cs="Verdana" w:eastAsia="Verdana" w:hAnsi="Verdana"/>
                <w:sz w:val="16"/>
                <w:szCs w:val="16"/>
                <w:color w:val="auto"/>
              </w:rPr>
              <w:t>Future cash inflows</w:t>
            </w:r>
          </w:p>
        </w:tc>
        <w:tc>
          <w:tcPr>
            <w:tcW w:w="1180" w:type="dxa"/>
            <w:vAlign w:val="bottom"/>
          </w:tcPr>
          <w:p>
            <w:pPr>
              <w:jc w:val="right"/>
              <w:ind w:right="23"/>
              <w:spacing w:after="0"/>
              <w:rPr>
                <w:sz w:val="20"/>
                <w:szCs w:val="20"/>
                <w:color w:val="auto"/>
              </w:rPr>
            </w:pPr>
            <w:r>
              <w:rPr>
                <w:rFonts w:ascii="Verdana" w:cs="Verdana" w:eastAsia="Verdana" w:hAnsi="Verdana"/>
                <w:sz w:val="16"/>
                <w:szCs w:val="16"/>
                <w:color w:val="214E93"/>
              </w:rPr>
              <w:t>$27,159,063</w:t>
            </w:r>
          </w:p>
        </w:tc>
        <w:tc>
          <w:tcPr>
            <w:tcW w:w="1200" w:type="dxa"/>
            <w:vAlign w:val="bottom"/>
          </w:tcPr>
          <w:p>
            <w:pPr>
              <w:jc w:val="right"/>
              <w:ind w:right="22"/>
              <w:spacing w:after="0"/>
              <w:rPr>
                <w:sz w:val="20"/>
                <w:szCs w:val="20"/>
                <w:color w:val="auto"/>
              </w:rPr>
            </w:pPr>
            <w:r>
              <w:rPr>
                <w:rFonts w:ascii="Verdana" w:cs="Verdana" w:eastAsia="Verdana" w:hAnsi="Verdana"/>
                <w:sz w:val="16"/>
                <w:szCs w:val="16"/>
                <w:color w:val="131313"/>
              </w:rPr>
              <w:t>$29,033,021</w:t>
            </w:r>
          </w:p>
        </w:tc>
        <w:tc>
          <w:tcPr>
            <w:tcW w:w="1140" w:type="dxa"/>
            <w:vAlign w:val="bottom"/>
          </w:tcPr>
          <w:p>
            <w:pPr>
              <w:jc w:val="right"/>
              <w:spacing w:after="0"/>
              <w:rPr>
                <w:sz w:val="20"/>
                <w:szCs w:val="20"/>
                <w:color w:val="auto"/>
              </w:rPr>
            </w:pPr>
            <w:r>
              <w:rPr>
                <w:rFonts w:ascii="Verdana" w:cs="Verdana" w:eastAsia="Verdana" w:hAnsi="Verdana"/>
                <w:sz w:val="16"/>
                <w:szCs w:val="16"/>
                <w:color w:val="131313"/>
              </w:rPr>
              <w:t>$23,662,653</w:t>
            </w:r>
          </w:p>
        </w:tc>
      </w:tr>
      <w:tr>
        <w:trPr>
          <w:trHeight w:val="235"/>
        </w:trPr>
        <w:tc>
          <w:tcPr>
            <w:tcW w:w="6040" w:type="dxa"/>
            <w:vAlign w:val="bottom"/>
          </w:tcPr>
          <w:p>
            <w:pPr>
              <w:ind w:left="40"/>
              <w:spacing w:after="0"/>
              <w:rPr>
                <w:sz w:val="20"/>
                <w:szCs w:val="20"/>
                <w:color w:val="auto"/>
              </w:rPr>
            </w:pPr>
            <w:r>
              <w:rPr>
                <w:rFonts w:ascii="Verdana" w:cs="Verdana" w:eastAsia="Verdana" w:hAnsi="Verdana"/>
                <w:sz w:val="16"/>
                <w:szCs w:val="16"/>
                <w:color w:val="auto"/>
              </w:rPr>
              <w:t>Future production costs</w:t>
            </w:r>
          </w:p>
        </w:tc>
        <w:tc>
          <w:tcPr>
            <w:tcW w:w="1180" w:type="dxa"/>
            <w:vAlign w:val="bottom"/>
          </w:tcPr>
          <w:p>
            <w:pPr>
              <w:jc w:val="right"/>
              <w:spacing w:after="0"/>
              <w:rPr>
                <w:sz w:val="20"/>
                <w:szCs w:val="20"/>
                <w:color w:val="auto"/>
              </w:rPr>
            </w:pPr>
            <w:r>
              <w:rPr>
                <w:rFonts w:ascii="Verdana" w:cs="Verdana" w:eastAsia="Verdana" w:hAnsi="Verdana"/>
                <w:sz w:val="16"/>
                <w:szCs w:val="16"/>
                <w:color w:val="214E93"/>
              </w:rPr>
              <w:t>(10,126,010)</w:t>
            </w:r>
          </w:p>
        </w:tc>
        <w:tc>
          <w:tcPr>
            <w:tcW w:w="1200" w:type="dxa"/>
            <w:vAlign w:val="bottom"/>
          </w:tcPr>
          <w:p>
            <w:pPr>
              <w:jc w:val="right"/>
              <w:spacing w:after="0"/>
              <w:rPr>
                <w:sz w:val="20"/>
                <w:szCs w:val="20"/>
                <w:color w:val="auto"/>
              </w:rPr>
            </w:pPr>
            <w:r>
              <w:rPr>
                <w:rFonts w:ascii="Verdana" w:cs="Verdana" w:eastAsia="Verdana" w:hAnsi="Verdana"/>
                <w:sz w:val="16"/>
                <w:szCs w:val="16"/>
                <w:color w:val="131313"/>
              </w:rPr>
              <w:t>(10,126,454)</w:t>
            </w:r>
          </w:p>
        </w:tc>
        <w:tc>
          <w:tcPr>
            <w:tcW w:w="1140" w:type="dxa"/>
            <w:vAlign w:val="bottom"/>
          </w:tcPr>
          <w:p>
            <w:pPr>
              <w:jc w:val="right"/>
              <w:spacing w:after="0"/>
              <w:rPr>
                <w:sz w:val="20"/>
                <w:szCs w:val="20"/>
                <w:color w:val="auto"/>
              </w:rPr>
            </w:pPr>
            <w:r>
              <w:rPr>
                <w:rFonts w:ascii="Verdana" w:cs="Verdana" w:eastAsia="Verdana" w:hAnsi="Verdana"/>
                <w:sz w:val="16"/>
                <w:szCs w:val="16"/>
                <w:color w:val="131313"/>
              </w:rPr>
              <w:t>(7,623,205)</w:t>
            </w:r>
          </w:p>
        </w:tc>
      </w:tr>
      <w:tr>
        <w:trPr>
          <w:trHeight w:val="236"/>
        </w:trPr>
        <w:tc>
          <w:tcPr>
            <w:tcW w:w="6040" w:type="dxa"/>
            <w:vAlign w:val="bottom"/>
          </w:tcPr>
          <w:p>
            <w:pPr>
              <w:ind w:left="40"/>
              <w:spacing w:after="0"/>
              <w:rPr>
                <w:sz w:val="20"/>
                <w:szCs w:val="20"/>
                <w:color w:val="auto"/>
              </w:rPr>
            </w:pPr>
            <w:r>
              <w:rPr>
                <w:rFonts w:ascii="Verdana" w:cs="Verdana" w:eastAsia="Verdana" w:hAnsi="Verdana"/>
                <w:sz w:val="16"/>
                <w:szCs w:val="16"/>
                <w:color w:val="auto"/>
              </w:rPr>
              <w:t>Future development costs</w:t>
            </w:r>
          </w:p>
        </w:tc>
        <w:tc>
          <w:tcPr>
            <w:tcW w:w="1180" w:type="dxa"/>
            <w:vAlign w:val="bottom"/>
          </w:tcPr>
          <w:p>
            <w:pPr>
              <w:jc w:val="right"/>
              <w:spacing w:after="0"/>
              <w:rPr>
                <w:sz w:val="20"/>
                <w:szCs w:val="20"/>
                <w:color w:val="auto"/>
              </w:rPr>
            </w:pPr>
            <w:r>
              <w:rPr>
                <w:rFonts w:ascii="Verdana" w:cs="Verdana" w:eastAsia="Verdana" w:hAnsi="Verdana"/>
                <w:sz w:val="16"/>
                <w:szCs w:val="16"/>
                <w:color w:val="214E93"/>
              </w:rPr>
              <w:t>(2,683,388)</w:t>
            </w:r>
          </w:p>
        </w:tc>
        <w:tc>
          <w:tcPr>
            <w:tcW w:w="1200" w:type="dxa"/>
            <w:vAlign w:val="bottom"/>
          </w:tcPr>
          <w:p>
            <w:pPr>
              <w:jc w:val="right"/>
              <w:spacing w:after="0"/>
              <w:rPr>
                <w:sz w:val="20"/>
                <w:szCs w:val="20"/>
                <w:color w:val="auto"/>
              </w:rPr>
            </w:pPr>
            <w:r>
              <w:rPr>
                <w:rFonts w:ascii="Verdana" w:cs="Verdana" w:eastAsia="Verdana" w:hAnsi="Verdana"/>
                <w:sz w:val="16"/>
                <w:szCs w:val="16"/>
                <w:color w:val="131313"/>
              </w:rPr>
              <w:t>(2,705,340)</w:t>
            </w:r>
          </w:p>
        </w:tc>
        <w:tc>
          <w:tcPr>
            <w:tcW w:w="1140" w:type="dxa"/>
            <w:vAlign w:val="bottom"/>
          </w:tcPr>
          <w:p>
            <w:pPr>
              <w:jc w:val="right"/>
              <w:spacing w:after="0"/>
              <w:rPr>
                <w:sz w:val="20"/>
                <w:szCs w:val="20"/>
                <w:color w:val="auto"/>
              </w:rPr>
            </w:pPr>
            <w:r>
              <w:rPr>
                <w:rFonts w:ascii="Verdana" w:cs="Verdana" w:eastAsia="Verdana" w:hAnsi="Verdana"/>
                <w:sz w:val="16"/>
                <w:szCs w:val="16"/>
                <w:color w:val="131313"/>
              </w:rPr>
              <w:t>(2,162,625)</w:t>
            </w:r>
          </w:p>
        </w:tc>
      </w:tr>
      <w:tr>
        <w:trPr>
          <w:trHeight w:val="236"/>
        </w:trPr>
        <w:tc>
          <w:tcPr>
            <w:tcW w:w="6040" w:type="dxa"/>
            <w:vAlign w:val="bottom"/>
          </w:tcPr>
          <w:p>
            <w:pPr>
              <w:ind w:left="40"/>
              <w:spacing w:after="0"/>
              <w:rPr>
                <w:sz w:val="20"/>
                <w:szCs w:val="20"/>
                <w:color w:val="auto"/>
              </w:rPr>
            </w:pPr>
            <w:r>
              <w:rPr>
                <w:rFonts w:ascii="Verdana" w:cs="Verdana" w:eastAsia="Verdana" w:hAnsi="Verdana"/>
                <w:sz w:val="16"/>
                <w:szCs w:val="16"/>
                <w:color w:val="auto"/>
              </w:rPr>
              <w:t>Future abandonment costs</w:t>
            </w:r>
          </w:p>
        </w:tc>
        <w:tc>
          <w:tcPr>
            <w:tcW w:w="1180" w:type="dxa"/>
            <w:vAlign w:val="bottom"/>
          </w:tcPr>
          <w:p>
            <w:pPr>
              <w:jc w:val="right"/>
              <w:spacing w:after="0"/>
              <w:rPr>
                <w:sz w:val="20"/>
                <w:szCs w:val="20"/>
                <w:color w:val="auto"/>
              </w:rPr>
            </w:pPr>
            <w:r>
              <w:rPr>
                <w:rFonts w:ascii="Verdana" w:cs="Verdana" w:eastAsia="Verdana" w:hAnsi="Verdana"/>
                <w:sz w:val="16"/>
                <w:szCs w:val="16"/>
                <w:color w:val="214E93"/>
              </w:rPr>
              <w:t>(236,163)</w:t>
            </w:r>
          </w:p>
        </w:tc>
        <w:tc>
          <w:tcPr>
            <w:tcW w:w="1200" w:type="dxa"/>
            <w:vAlign w:val="bottom"/>
          </w:tcPr>
          <w:p>
            <w:pPr>
              <w:jc w:val="right"/>
              <w:spacing w:after="0"/>
              <w:rPr>
                <w:sz w:val="20"/>
                <w:szCs w:val="20"/>
                <w:color w:val="auto"/>
              </w:rPr>
            </w:pPr>
            <w:r>
              <w:rPr>
                <w:rFonts w:ascii="Verdana" w:cs="Verdana" w:eastAsia="Verdana" w:hAnsi="Verdana"/>
                <w:sz w:val="16"/>
                <w:szCs w:val="16"/>
                <w:color w:val="131313"/>
              </w:rPr>
              <w:t>(158,346)</w:t>
            </w:r>
          </w:p>
        </w:tc>
        <w:tc>
          <w:tcPr>
            <w:tcW w:w="1140" w:type="dxa"/>
            <w:vAlign w:val="bottom"/>
          </w:tcPr>
          <w:p>
            <w:pPr>
              <w:jc w:val="right"/>
              <w:spacing w:after="0"/>
              <w:rPr>
                <w:sz w:val="20"/>
                <w:szCs w:val="20"/>
                <w:color w:val="auto"/>
              </w:rPr>
            </w:pPr>
            <w:r>
              <w:rPr>
                <w:rFonts w:ascii="Verdana" w:cs="Verdana" w:eastAsia="Verdana" w:hAnsi="Verdana"/>
                <w:sz w:val="16"/>
                <w:szCs w:val="16"/>
                <w:color w:val="131313"/>
              </w:rPr>
              <w:t>(93,901)</w:t>
            </w:r>
          </w:p>
        </w:tc>
      </w:tr>
      <w:tr>
        <w:trPr>
          <w:trHeight w:val="242"/>
        </w:trPr>
        <w:tc>
          <w:tcPr>
            <w:tcW w:w="604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Future income tax expense</w:t>
            </w: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214E93"/>
              </w:rPr>
              <w:t>(2,089,975)</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131313"/>
              </w:rPr>
              <w:t>(3,326,489)</w:t>
            </w: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131313"/>
              </w:rPr>
              <w:t>(2,939,514)</w:t>
            </w:r>
          </w:p>
        </w:tc>
      </w:tr>
      <w:tr>
        <w:trPr>
          <w:trHeight w:val="211"/>
        </w:trPr>
        <w:tc>
          <w:tcPr>
            <w:tcW w:w="6040" w:type="dxa"/>
            <w:vAlign w:val="bottom"/>
          </w:tcPr>
          <w:p>
            <w:pPr>
              <w:ind w:left="160"/>
              <w:spacing w:after="0"/>
              <w:rPr>
                <w:sz w:val="20"/>
                <w:szCs w:val="20"/>
                <w:color w:val="auto"/>
              </w:rPr>
            </w:pPr>
            <w:r>
              <w:rPr>
                <w:rFonts w:ascii="Verdana" w:cs="Verdana" w:eastAsia="Verdana" w:hAnsi="Verdana"/>
                <w:sz w:val="16"/>
                <w:szCs w:val="16"/>
                <w:color w:val="auto"/>
              </w:rPr>
              <w:t>Future net cash flows</w:t>
            </w:r>
          </w:p>
        </w:tc>
        <w:tc>
          <w:tcPr>
            <w:tcW w:w="1180" w:type="dxa"/>
            <w:vAlign w:val="bottom"/>
          </w:tcPr>
          <w:p>
            <w:pPr>
              <w:jc w:val="right"/>
              <w:ind w:right="63"/>
              <w:spacing w:after="0"/>
              <w:rPr>
                <w:sz w:val="20"/>
                <w:szCs w:val="20"/>
                <w:color w:val="auto"/>
              </w:rPr>
            </w:pPr>
            <w:r>
              <w:rPr>
                <w:rFonts w:ascii="Verdana" w:cs="Verdana" w:eastAsia="Verdana" w:hAnsi="Verdana"/>
                <w:sz w:val="16"/>
                <w:szCs w:val="16"/>
                <w:color w:val="214E93"/>
              </w:rPr>
              <w:t>12,023,527</w:t>
            </w:r>
          </w:p>
        </w:tc>
        <w:tc>
          <w:tcPr>
            <w:tcW w:w="1200" w:type="dxa"/>
            <w:vAlign w:val="bottom"/>
          </w:tcPr>
          <w:p>
            <w:pPr>
              <w:jc w:val="right"/>
              <w:ind w:right="62"/>
              <w:spacing w:after="0"/>
              <w:rPr>
                <w:sz w:val="20"/>
                <w:szCs w:val="20"/>
                <w:color w:val="auto"/>
              </w:rPr>
            </w:pPr>
            <w:r>
              <w:rPr>
                <w:rFonts w:ascii="Verdana" w:cs="Verdana" w:eastAsia="Verdana" w:hAnsi="Verdana"/>
                <w:sz w:val="16"/>
                <w:szCs w:val="16"/>
                <w:color w:val="131313"/>
              </w:rPr>
              <w:t>12,716,392</w:t>
            </w:r>
          </w:p>
        </w:tc>
        <w:tc>
          <w:tcPr>
            <w:tcW w:w="1140" w:type="dxa"/>
            <w:vAlign w:val="bottom"/>
          </w:tcPr>
          <w:p>
            <w:pPr>
              <w:jc w:val="right"/>
              <w:ind w:right="2"/>
              <w:spacing w:after="0"/>
              <w:rPr>
                <w:sz w:val="20"/>
                <w:szCs w:val="20"/>
                <w:color w:val="auto"/>
              </w:rPr>
            </w:pPr>
            <w:r>
              <w:rPr>
                <w:rFonts w:ascii="Verdana" w:cs="Verdana" w:eastAsia="Verdana" w:hAnsi="Verdana"/>
                <w:sz w:val="16"/>
                <w:szCs w:val="16"/>
                <w:color w:val="131313"/>
              </w:rPr>
              <w:t>10,843,408</w:t>
            </w:r>
          </w:p>
        </w:tc>
      </w:tr>
      <w:tr>
        <w:trPr>
          <w:trHeight w:val="242"/>
        </w:trPr>
        <w:tc>
          <w:tcPr>
            <w:tcW w:w="604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10% annual discount for estimated timing of cash flows</w:t>
            </w: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214E93"/>
              </w:rPr>
              <w:t>(5,036,961)</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131313"/>
              </w:rPr>
              <w:t>(5,339,842)</w:t>
            </w: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131313"/>
              </w:rPr>
              <w:t>(4,729,916)</w:t>
            </w:r>
          </w:p>
        </w:tc>
      </w:tr>
      <w:tr>
        <w:trPr>
          <w:trHeight w:val="217"/>
        </w:trPr>
        <w:tc>
          <w:tcPr>
            <w:tcW w:w="6040" w:type="dxa"/>
            <w:vAlign w:val="bottom"/>
            <w:tcBorders>
              <w:bottom w:val="single" w:sz="8" w:color="214E93"/>
            </w:tcBorders>
          </w:tcPr>
          <w:p>
            <w:pPr>
              <w:ind w:left="160"/>
              <w:spacing w:after="0"/>
              <w:rPr>
                <w:sz w:val="20"/>
                <w:szCs w:val="20"/>
                <w:color w:val="auto"/>
              </w:rPr>
            </w:pPr>
            <w:r>
              <w:rPr>
                <w:rFonts w:ascii="Verdana" w:cs="Verdana" w:eastAsia="Verdana" w:hAnsi="Verdana"/>
                <w:sz w:val="16"/>
                <w:szCs w:val="16"/>
                <w:color w:val="auto"/>
              </w:rPr>
              <w:t>Standardized measure of discounted future net cash flows</w:t>
            </w:r>
          </w:p>
        </w:tc>
        <w:tc>
          <w:tcPr>
            <w:tcW w:w="1180" w:type="dxa"/>
            <w:vAlign w:val="bottom"/>
            <w:tcBorders>
              <w:bottom w:val="single" w:sz="8" w:color="214E93"/>
            </w:tcBorders>
          </w:tcPr>
          <w:p>
            <w:pPr>
              <w:jc w:val="right"/>
              <w:ind w:right="63"/>
              <w:spacing w:after="0"/>
              <w:rPr>
                <w:sz w:val="20"/>
                <w:szCs w:val="20"/>
                <w:color w:val="auto"/>
              </w:rPr>
            </w:pPr>
            <w:r>
              <w:rPr>
                <w:rFonts w:ascii="Verdana" w:cs="Verdana" w:eastAsia="Verdana" w:hAnsi="Verdana"/>
                <w:sz w:val="16"/>
                <w:szCs w:val="16"/>
                <w:color w:val="214E93"/>
              </w:rPr>
              <w:t>$ 6,986,566</w:t>
            </w:r>
          </w:p>
        </w:tc>
        <w:tc>
          <w:tcPr>
            <w:tcW w:w="1200" w:type="dxa"/>
            <w:vAlign w:val="bottom"/>
            <w:tcBorders>
              <w:bottom w:val="single" w:sz="8" w:color="214E93"/>
            </w:tcBorders>
          </w:tcPr>
          <w:p>
            <w:pPr>
              <w:jc w:val="right"/>
              <w:ind w:right="62"/>
              <w:spacing w:after="0"/>
              <w:rPr>
                <w:sz w:val="20"/>
                <w:szCs w:val="20"/>
                <w:color w:val="auto"/>
              </w:rPr>
            </w:pPr>
            <w:r>
              <w:rPr>
                <w:rFonts w:ascii="Verdana" w:cs="Verdana" w:eastAsia="Verdana" w:hAnsi="Verdana"/>
                <w:sz w:val="16"/>
                <w:szCs w:val="16"/>
                <w:color w:val="131313"/>
              </w:rPr>
              <w:t>$ 7,376,550</w:t>
            </w:r>
          </w:p>
        </w:tc>
        <w:tc>
          <w:tcPr>
            <w:tcW w:w="1140" w:type="dxa"/>
            <w:vAlign w:val="bottom"/>
            <w:tcBorders>
              <w:bottom w:val="single" w:sz="8" w:color="214E93"/>
            </w:tcBorders>
          </w:tcPr>
          <w:p>
            <w:pPr>
              <w:jc w:val="right"/>
              <w:ind w:right="2"/>
              <w:spacing w:after="0"/>
              <w:rPr>
                <w:sz w:val="20"/>
                <w:szCs w:val="20"/>
                <w:color w:val="auto"/>
              </w:rPr>
            </w:pPr>
            <w:r>
              <w:rPr>
                <w:rFonts w:ascii="Verdana" w:cs="Verdana" w:eastAsia="Verdana" w:hAnsi="Verdana"/>
                <w:sz w:val="16"/>
                <w:szCs w:val="16"/>
                <w:color w:val="131313"/>
              </w:rPr>
              <w:t>$ 6,113,492</w:t>
            </w:r>
          </w:p>
        </w:tc>
      </w:tr>
    </w:tbl>
    <w:p>
      <w:pPr>
        <w:spacing w:after="0" w:line="20" w:lineRule="exact"/>
        <w:rPr>
          <w:sz w:val="20"/>
          <w:szCs w:val="20"/>
          <w:color w:val="auto"/>
        </w:rPr>
      </w:pPr>
    </w:p>
    <w:p>
      <w:pPr>
        <w:spacing w:after="0" w:line="228" w:lineRule="exact"/>
        <w:rPr>
          <w:sz w:val="20"/>
          <w:szCs w:val="20"/>
          <w:color w:val="auto"/>
        </w:rPr>
      </w:pPr>
    </w:p>
    <w:p>
      <w:pPr>
        <w:ind w:right="920" w:firstLine="241"/>
        <w:spacing w:after="0" w:line="252" w:lineRule="auto"/>
        <w:rPr>
          <w:sz w:val="20"/>
          <w:szCs w:val="20"/>
          <w:color w:val="auto"/>
        </w:rPr>
      </w:pPr>
      <w:r>
        <w:rPr>
          <w:rFonts w:ascii="Calibri" w:cs="Calibri" w:eastAsia="Calibri" w:hAnsi="Calibri"/>
          <w:sz w:val="18"/>
          <w:szCs w:val="18"/>
          <w:color w:val="auto"/>
        </w:rPr>
        <w:t>The following table summarizes the changes in the standardized measure of discounted future net cash flows relating to proved oil and natural gas reserves for the years ended December 31, 2025, 2024 and 2023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40" w:type="dxa"/>
            <w:vAlign w:val="bottom"/>
          </w:tcPr>
          <w:p>
            <w:pPr>
              <w:spacing w:after="0"/>
              <w:rPr>
                <w:sz w:val="16"/>
                <w:szCs w:val="16"/>
                <w:color w:val="auto"/>
              </w:rPr>
            </w:pPr>
          </w:p>
        </w:tc>
        <w:tc>
          <w:tcPr>
            <w:tcW w:w="3520" w:type="dxa"/>
            <w:vAlign w:val="bottom"/>
            <w:tcBorders>
              <w:bottom w:val="single" w:sz="8" w:color="214E93"/>
            </w:tcBorders>
            <w:gridSpan w:val="3"/>
          </w:tcPr>
          <w:p>
            <w:pPr>
              <w:jc w:val="right"/>
              <w:ind w:right="762"/>
              <w:spacing w:after="0"/>
              <w:rPr>
                <w:sz w:val="20"/>
                <w:szCs w:val="20"/>
                <w:color w:val="auto"/>
              </w:rPr>
            </w:pPr>
            <w:r>
              <w:rPr>
                <w:rFonts w:ascii="Verdana" w:cs="Verdana" w:eastAsia="Verdana" w:hAnsi="Verdana"/>
                <w:sz w:val="14"/>
                <w:szCs w:val="14"/>
                <w:color w:val="auto"/>
              </w:rPr>
              <w:t>Year Ended December 31,</w:t>
            </w:r>
          </w:p>
        </w:tc>
      </w:tr>
      <w:tr>
        <w:trPr>
          <w:trHeight w:val="216"/>
        </w:trPr>
        <w:tc>
          <w:tcPr>
            <w:tcW w:w="6040" w:type="dxa"/>
            <w:vAlign w:val="bottom"/>
            <w:tcBorders>
              <w:bottom w:val="single" w:sz="8" w:color="214E93"/>
            </w:tcBorders>
          </w:tcPr>
          <w:p>
            <w:pPr>
              <w:spacing w:after="0"/>
              <w:rPr>
                <w:sz w:val="18"/>
                <w:szCs w:val="18"/>
                <w:color w:val="auto"/>
              </w:rPr>
            </w:pPr>
          </w:p>
        </w:tc>
        <w:tc>
          <w:tcPr>
            <w:tcW w:w="1180" w:type="dxa"/>
            <w:vAlign w:val="bottom"/>
            <w:tcBorders>
              <w:bottom w:val="single" w:sz="8" w:color="214E93"/>
            </w:tcBorders>
          </w:tcPr>
          <w:p>
            <w:pPr>
              <w:jc w:val="right"/>
              <w:ind w:right="363"/>
              <w:spacing w:after="0"/>
              <w:rPr>
                <w:sz w:val="20"/>
                <w:szCs w:val="20"/>
                <w:color w:val="auto"/>
              </w:rPr>
            </w:pPr>
            <w:r>
              <w:rPr>
                <w:rFonts w:ascii="Verdana" w:cs="Verdana" w:eastAsia="Verdana" w:hAnsi="Verdana"/>
                <w:sz w:val="14"/>
                <w:szCs w:val="14"/>
                <w:color w:val="214E93"/>
              </w:rPr>
              <w:t>2025</w:t>
            </w:r>
          </w:p>
        </w:tc>
        <w:tc>
          <w:tcPr>
            <w:tcW w:w="1200" w:type="dxa"/>
            <w:vAlign w:val="bottom"/>
            <w:tcBorders>
              <w:bottom w:val="single" w:sz="8" w:color="214E93"/>
            </w:tcBorders>
          </w:tcPr>
          <w:p>
            <w:pPr>
              <w:jc w:val="right"/>
              <w:ind w:right="362"/>
              <w:spacing w:after="0"/>
              <w:rPr>
                <w:sz w:val="20"/>
                <w:szCs w:val="20"/>
                <w:color w:val="auto"/>
              </w:rPr>
            </w:pPr>
            <w:r>
              <w:rPr>
                <w:rFonts w:ascii="Verdana" w:cs="Verdana" w:eastAsia="Verdana" w:hAnsi="Verdana"/>
                <w:sz w:val="14"/>
                <w:szCs w:val="14"/>
                <w:color w:val="auto"/>
              </w:rPr>
              <w:t>2024</w:t>
            </w:r>
          </w:p>
        </w:tc>
        <w:tc>
          <w:tcPr>
            <w:tcW w:w="1140" w:type="dxa"/>
            <w:vAlign w:val="bottom"/>
            <w:tcBorders>
              <w:bottom w:val="single" w:sz="8" w:color="214E93"/>
            </w:tcBorders>
          </w:tcPr>
          <w:p>
            <w:pPr>
              <w:jc w:val="right"/>
              <w:ind w:right="302"/>
              <w:spacing w:after="0"/>
              <w:rPr>
                <w:sz w:val="20"/>
                <w:szCs w:val="20"/>
                <w:color w:val="auto"/>
              </w:rPr>
            </w:pPr>
            <w:r>
              <w:rPr>
                <w:rFonts w:ascii="Verdana" w:cs="Verdana" w:eastAsia="Verdana" w:hAnsi="Verdana"/>
                <w:sz w:val="14"/>
                <w:szCs w:val="14"/>
                <w:color w:val="auto"/>
              </w:rPr>
              <w:t>2023</w:t>
            </w:r>
          </w:p>
        </w:tc>
      </w:tr>
      <w:tr>
        <w:trPr>
          <w:trHeight w:val="211"/>
        </w:trPr>
        <w:tc>
          <w:tcPr>
            <w:tcW w:w="6040" w:type="dxa"/>
            <w:vAlign w:val="bottom"/>
          </w:tcPr>
          <w:p>
            <w:pPr>
              <w:ind w:left="40"/>
              <w:spacing w:after="0"/>
              <w:rPr>
                <w:sz w:val="20"/>
                <w:szCs w:val="20"/>
                <w:color w:val="auto"/>
              </w:rPr>
            </w:pPr>
            <w:r>
              <w:rPr>
                <w:rFonts w:ascii="Verdana" w:cs="Verdana" w:eastAsia="Verdana" w:hAnsi="Verdana"/>
                <w:sz w:val="16"/>
                <w:szCs w:val="16"/>
                <w:color w:val="auto"/>
              </w:rPr>
              <w:t>Balance, beginning of period</w:t>
            </w:r>
          </w:p>
        </w:tc>
        <w:tc>
          <w:tcPr>
            <w:tcW w:w="1180" w:type="dxa"/>
            <w:vAlign w:val="bottom"/>
          </w:tcPr>
          <w:p>
            <w:pPr>
              <w:jc w:val="right"/>
              <w:ind w:right="63"/>
              <w:spacing w:after="0"/>
              <w:rPr>
                <w:sz w:val="20"/>
                <w:szCs w:val="20"/>
                <w:color w:val="auto"/>
              </w:rPr>
            </w:pPr>
            <w:r>
              <w:rPr>
                <w:rFonts w:ascii="Verdana" w:cs="Verdana" w:eastAsia="Verdana" w:hAnsi="Verdana"/>
                <w:sz w:val="16"/>
                <w:szCs w:val="16"/>
                <w:color w:val="214E93"/>
              </w:rPr>
              <w:t>$ 7,376,550</w:t>
            </w:r>
          </w:p>
        </w:tc>
        <w:tc>
          <w:tcPr>
            <w:tcW w:w="1200" w:type="dxa"/>
            <w:vAlign w:val="bottom"/>
          </w:tcPr>
          <w:p>
            <w:pPr>
              <w:jc w:val="right"/>
              <w:ind w:right="62"/>
              <w:spacing w:after="0"/>
              <w:rPr>
                <w:sz w:val="20"/>
                <w:szCs w:val="20"/>
                <w:color w:val="auto"/>
              </w:rPr>
            </w:pPr>
            <w:r>
              <w:rPr>
                <w:rFonts w:ascii="Verdana" w:cs="Verdana" w:eastAsia="Verdana" w:hAnsi="Verdana"/>
                <w:sz w:val="16"/>
                <w:szCs w:val="16"/>
                <w:color w:val="131313"/>
              </w:rPr>
              <w:t>$ 6,113,492</w:t>
            </w:r>
          </w:p>
        </w:tc>
        <w:tc>
          <w:tcPr>
            <w:tcW w:w="1140" w:type="dxa"/>
            <w:vAlign w:val="bottom"/>
          </w:tcPr>
          <w:p>
            <w:pPr>
              <w:jc w:val="right"/>
              <w:ind w:right="2"/>
              <w:spacing w:after="0"/>
              <w:rPr>
                <w:sz w:val="20"/>
                <w:szCs w:val="20"/>
                <w:color w:val="auto"/>
              </w:rPr>
            </w:pPr>
            <w:r>
              <w:rPr>
                <w:rFonts w:ascii="Verdana" w:cs="Verdana" w:eastAsia="Verdana" w:hAnsi="Verdana"/>
                <w:sz w:val="16"/>
                <w:szCs w:val="16"/>
                <w:color w:val="131313"/>
              </w:rPr>
              <w:t>$ 6,983,203</w:t>
            </w:r>
          </w:p>
        </w:tc>
      </w:tr>
      <w:tr>
        <w:trPr>
          <w:trHeight w:val="235"/>
        </w:trPr>
        <w:tc>
          <w:tcPr>
            <w:tcW w:w="6040" w:type="dxa"/>
            <w:vAlign w:val="bottom"/>
          </w:tcPr>
          <w:p>
            <w:pPr>
              <w:ind w:left="40"/>
              <w:spacing w:after="0"/>
              <w:rPr>
                <w:sz w:val="20"/>
                <w:szCs w:val="20"/>
                <w:color w:val="auto"/>
              </w:rPr>
            </w:pPr>
            <w:r>
              <w:rPr>
                <w:rFonts w:ascii="Verdana" w:cs="Verdana" w:eastAsia="Verdana" w:hAnsi="Verdana"/>
                <w:sz w:val="16"/>
                <w:szCs w:val="16"/>
                <w:color w:val="auto"/>
              </w:rPr>
              <w:t>Net change in sales and lifting costs related to future production</w:t>
            </w:r>
          </w:p>
        </w:tc>
        <w:tc>
          <w:tcPr>
            <w:tcW w:w="1180" w:type="dxa"/>
            <w:vAlign w:val="bottom"/>
          </w:tcPr>
          <w:p>
            <w:pPr>
              <w:jc w:val="right"/>
              <w:spacing w:after="0"/>
              <w:rPr>
                <w:sz w:val="20"/>
                <w:szCs w:val="20"/>
                <w:color w:val="auto"/>
              </w:rPr>
            </w:pPr>
            <w:r>
              <w:rPr>
                <w:rFonts w:ascii="Verdana" w:cs="Verdana" w:eastAsia="Verdana" w:hAnsi="Verdana"/>
                <w:sz w:val="16"/>
                <w:szCs w:val="16"/>
                <w:color w:val="214E93"/>
              </w:rPr>
              <w:t>(1,298,014)</w:t>
            </w:r>
          </w:p>
        </w:tc>
        <w:tc>
          <w:tcPr>
            <w:tcW w:w="1200" w:type="dxa"/>
            <w:vAlign w:val="bottom"/>
          </w:tcPr>
          <w:p>
            <w:pPr>
              <w:jc w:val="right"/>
              <w:spacing w:after="0"/>
              <w:rPr>
                <w:sz w:val="20"/>
                <w:szCs w:val="20"/>
                <w:color w:val="auto"/>
              </w:rPr>
            </w:pPr>
            <w:r>
              <w:rPr>
                <w:rFonts w:ascii="Verdana" w:cs="Verdana" w:eastAsia="Verdana" w:hAnsi="Verdana"/>
                <w:sz w:val="16"/>
                <w:szCs w:val="16"/>
                <w:color w:val="131313"/>
              </w:rPr>
              <w:t>(915,645)</w:t>
            </w:r>
          </w:p>
        </w:tc>
        <w:tc>
          <w:tcPr>
            <w:tcW w:w="1140" w:type="dxa"/>
            <w:vAlign w:val="bottom"/>
          </w:tcPr>
          <w:p>
            <w:pPr>
              <w:jc w:val="right"/>
              <w:spacing w:after="0"/>
              <w:rPr>
                <w:sz w:val="20"/>
                <w:szCs w:val="20"/>
                <w:color w:val="auto"/>
              </w:rPr>
            </w:pPr>
            <w:r>
              <w:rPr>
                <w:rFonts w:ascii="Verdana" w:cs="Verdana" w:eastAsia="Verdana" w:hAnsi="Verdana"/>
                <w:sz w:val="16"/>
                <w:szCs w:val="16"/>
                <w:color w:val="131313"/>
              </w:rPr>
              <w:t>(3,074,085)</w:t>
            </w:r>
          </w:p>
        </w:tc>
      </w:tr>
      <w:tr>
        <w:trPr>
          <w:trHeight w:val="236"/>
        </w:trPr>
        <w:tc>
          <w:tcPr>
            <w:tcW w:w="6040" w:type="dxa"/>
            <w:vAlign w:val="bottom"/>
          </w:tcPr>
          <w:p>
            <w:pPr>
              <w:ind w:left="40"/>
              <w:spacing w:after="0"/>
              <w:rPr>
                <w:sz w:val="20"/>
                <w:szCs w:val="20"/>
                <w:color w:val="auto"/>
              </w:rPr>
            </w:pPr>
            <w:r>
              <w:rPr>
                <w:rFonts w:ascii="Verdana" w:cs="Verdana" w:eastAsia="Verdana" w:hAnsi="Verdana"/>
                <w:sz w:val="16"/>
                <w:szCs w:val="16"/>
                <w:color w:val="auto"/>
              </w:rPr>
              <w:t>Changes in estimated future development costs</w:t>
            </w:r>
          </w:p>
        </w:tc>
        <w:tc>
          <w:tcPr>
            <w:tcW w:w="1180" w:type="dxa"/>
            <w:vAlign w:val="bottom"/>
          </w:tcPr>
          <w:p>
            <w:pPr>
              <w:jc w:val="right"/>
              <w:ind w:right="63"/>
              <w:spacing w:after="0"/>
              <w:rPr>
                <w:sz w:val="20"/>
                <w:szCs w:val="20"/>
                <w:color w:val="auto"/>
              </w:rPr>
            </w:pPr>
            <w:r>
              <w:rPr>
                <w:rFonts w:ascii="Verdana" w:cs="Verdana" w:eastAsia="Verdana" w:hAnsi="Verdana"/>
                <w:sz w:val="16"/>
                <w:szCs w:val="16"/>
                <w:color w:val="214E93"/>
              </w:rPr>
              <w:t>5,096</w:t>
            </w:r>
          </w:p>
        </w:tc>
        <w:tc>
          <w:tcPr>
            <w:tcW w:w="1200" w:type="dxa"/>
            <w:vAlign w:val="bottom"/>
          </w:tcPr>
          <w:p>
            <w:pPr>
              <w:jc w:val="right"/>
              <w:spacing w:after="0"/>
              <w:rPr>
                <w:sz w:val="20"/>
                <w:szCs w:val="20"/>
                <w:color w:val="auto"/>
              </w:rPr>
            </w:pPr>
            <w:r>
              <w:rPr>
                <w:rFonts w:ascii="Verdana" w:cs="Verdana" w:eastAsia="Verdana" w:hAnsi="Verdana"/>
                <w:sz w:val="16"/>
                <w:szCs w:val="16"/>
                <w:color w:val="131313"/>
              </w:rPr>
              <w:t>(706,728)</w:t>
            </w:r>
          </w:p>
        </w:tc>
        <w:tc>
          <w:tcPr>
            <w:tcW w:w="1140" w:type="dxa"/>
            <w:vAlign w:val="bottom"/>
          </w:tcPr>
          <w:p>
            <w:pPr>
              <w:jc w:val="right"/>
              <w:spacing w:after="0"/>
              <w:rPr>
                <w:sz w:val="20"/>
                <w:szCs w:val="20"/>
                <w:color w:val="auto"/>
              </w:rPr>
            </w:pPr>
            <w:r>
              <w:rPr>
                <w:rFonts w:ascii="Verdana" w:cs="Verdana" w:eastAsia="Verdana" w:hAnsi="Verdana"/>
                <w:sz w:val="16"/>
                <w:szCs w:val="16"/>
                <w:color w:val="131313"/>
              </w:rPr>
              <w:t>(504,323)</w:t>
            </w:r>
          </w:p>
        </w:tc>
      </w:tr>
      <w:tr>
        <w:trPr>
          <w:trHeight w:val="236"/>
        </w:trPr>
        <w:tc>
          <w:tcPr>
            <w:tcW w:w="6040" w:type="dxa"/>
            <w:vAlign w:val="bottom"/>
          </w:tcPr>
          <w:p>
            <w:pPr>
              <w:ind w:left="40"/>
              <w:spacing w:after="0"/>
              <w:rPr>
                <w:sz w:val="20"/>
                <w:szCs w:val="20"/>
                <w:color w:val="auto"/>
              </w:rPr>
            </w:pPr>
            <w:r>
              <w:rPr>
                <w:rFonts w:ascii="Verdana" w:cs="Verdana" w:eastAsia="Verdana" w:hAnsi="Verdana"/>
                <w:sz w:val="16"/>
                <w:szCs w:val="16"/>
                <w:color w:val="auto"/>
              </w:rPr>
              <w:t>Sales and transfers of oil and natural gas produced during the period</w:t>
            </w:r>
          </w:p>
        </w:tc>
        <w:tc>
          <w:tcPr>
            <w:tcW w:w="1180" w:type="dxa"/>
            <w:vAlign w:val="bottom"/>
          </w:tcPr>
          <w:p>
            <w:pPr>
              <w:jc w:val="right"/>
              <w:spacing w:after="0"/>
              <w:rPr>
                <w:sz w:val="20"/>
                <w:szCs w:val="20"/>
                <w:color w:val="auto"/>
              </w:rPr>
            </w:pPr>
            <w:r>
              <w:rPr>
                <w:rFonts w:ascii="Verdana" w:cs="Verdana" w:eastAsia="Verdana" w:hAnsi="Verdana"/>
                <w:sz w:val="16"/>
                <w:szCs w:val="16"/>
                <w:color w:val="214E93"/>
              </w:rPr>
              <w:t>(2,757,200)</w:t>
            </w:r>
          </w:p>
        </w:tc>
        <w:tc>
          <w:tcPr>
            <w:tcW w:w="1200" w:type="dxa"/>
            <w:vAlign w:val="bottom"/>
          </w:tcPr>
          <w:p>
            <w:pPr>
              <w:jc w:val="right"/>
              <w:spacing w:after="0"/>
              <w:rPr>
                <w:sz w:val="20"/>
                <w:szCs w:val="20"/>
                <w:color w:val="auto"/>
              </w:rPr>
            </w:pPr>
            <w:r>
              <w:rPr>
                <w:rFonts w:ascii="Verdana" w:cs="Verdana" w:eastAsia="Verdana" w:hAnsi="Verdana"/>
                <w:sz w:val="16"/>
                <w:szCs w:val="16"/>
                <w:color w:val="131313"/>
              </w:rPr>
              <w:t>(2,496,524)</w:t>
            </w:r>
          </w:p>
        </w:tc>
        <w:tc>
          <w:tcPr>
            <w:tcW w:w="1140" w:type="dxa"/>
            <w:vAlign w:val="bottom"/>
          </w:tcPr>
          <w:p>
            <w:pPr>
              <w:jc w:val="right"/>
              <w:spacing w:after="0"/>
              <w:rPr>
                <w:sz w:val="20"/>
                <w:szCs w:val="20"/>
                <w:color w:val="auto"/>
              </w:rPr>
            </w:pPr>
            <w:r>
              <w:rPr>
                <w:rFonts w:ascii="Verdana" w:cs="Verdana" w:eastAsia="Verdana" w:hAnsi="Verdana"/>
                <w:sz w:val="16"/>
                <w:szCs w:val="16"/>
                <w:color w:val="131313"/>
              </w:rPr>
              <w:t>(2,037,451)</w:t>
            </w:r>
          </w:p>
        </w:tc>
      </w:tr>
      <w:tr>
        <w:trPr>
          <w:trHeight w:val="236"/>
        </w:trPr>
        <w:tc>
          <w:tcPr>
            <w:tcW w:w="6040" w:type="dxa"/>
            <w:vAlign w:val="bottom"/>
          </w:tcPr>
          <w:p>
            <w:pPr>
              <w:ind w:left="40"/>
              <w:spacing w:after="0"/>
              <w:rPr>
                <w:sz w:val="20"/>
                <w:szCs w:val="20"/>
                <w:color w:val="auto"/>
              </w:rPr>
            </w:pPr>
            <w:r>
              <w:rPr>
                <w:rFonts w:ascii="Verdana" w:cs="Verdana" w:eastAsia="Verdana" w:hAnsi="Verdana"/>
                <w:sz w:val="16"/>
                <w:szCs w:val="16"/>
                <w:color w:val="auto"/>
              </w:rPr>
              <w:t>Net purchases of reserves in place</w:t>
            </w:r>
          </w:p>
        </w:tc>
        <w:tc>
          <w:tcPr>
            <w:tcW w:w="1180" w:type="dxa"/>
            <w:vAlign w:val="bottom"/>
          </w:tcPr>
          <w:p>
            <w:pPr>
              <w:jc w:val="right"/>
              <w:ind w:right="63"/>
              <w:spacing w:after="0"/>
              <w:rPr>
                <w:sz w:val="20"/>
                <w:szCs w:val="20"/>
                <w:color w:val="auto"/>
              </w:rPr>
            </w:pPr>
            <w:r>
              <w:rPr>
                <w:rFonts w:ascii="Verdana" w:cs="Verdana" w:eastAsia="Verdana" w:hAnsi="Verdana"/>
                <w:sz w:val="16"/>
                <w:szCs w:val="16"/>
                <w:color w:val="214E93"/>
              </w:rPr>
              <w:t>82,713</w:t>
            </w:r>
          </w:p>
        </w:tc>
        <w:tc>
          <w:tcPr>
            <w:tcW w:w="1200" w:type="dxa"/>
            <w:vAlign w:val="bottom"/>
          </w:tcPr>
          <w:p>
            <w:pPr>
              <w:jc w:val="right"/>
              <w:ind w:right="62"/>
              <w:spacing w:after="0"/>
              <w:rPr>
                <w:sz w:val="20"/>
                <w:szCs w:val="20"/>
                <w:color w:val="auto"/>
              </w:rPr>
            </w:pPr>
            <w:r>
              <w:rPr>
                <w:rFonts w:ascii="Verdana" w:cs="Verdana" w:eastAsia="Verdana" w:hAnsi="Verdana"/>
                <w:sz w:val="16"/>
                <w:szCs w:val="16"/>
                <w:color w:val="131313"/>
              </w:rPr>
              <w:t>2,310,776</w:t>
            </w:r>
          </w:p>
        </w:tc>
        <w:tc>
          <w:tcPr>
            <w:tcW w:w="1140" w:type="dxa"/>
            <w:vAlign w:val="bottom"/>
          </w:tcPr>
          <w:p>
            <w:pPr>
              <w:jc w:val="right"/>
              <w:ind w:right="2"/>
              <w:spacing w:after="0"/>
              <w:rPr>
                <w:sz w:val="20"/>
                <w:szCs w:val="20"/>
                <w:color w:val="auto"/>
              </w:rPr>
            </w:pPr>
            <w:r>
              <w:rPr>
                <w:rFonts w:ascii="Verdana" w:cs="Verdana" w:eastAsia="Verdana" w:hAnsi="Verdana"/>
                <w:sz w:val="16"/>
                <w:szCs w:val="16"/>
                <w:color w:val="131313"/>
              </w:rPr>
              <w:t>2,113,620</w:t>
            </w:r>
          </w:p>
        </w:tc>
      </w:tr>
      <w:tr>
        <w:trPr>
          <w:trHeight w:val="236"/>
        </w:trPr>
        <w:tc>
          <w:tcPr>
            <w:tcW w:w="6040" w:type="dxa"/>
            <w:vAlign w:val="bottom"/>
          </w:tcPr>
          <w:p>
            <w:pPr>
              <w:ind w:left="40"/>
              <w:spacing w:after="0"/>
              <w:rPr>
                <w:sz w:val="20"/>
                <w:szCs w:val="20"/>
                <w:color w:val="auto"/>
              </w:rPr>
            </w:pPr>
            <w:r>
              <w:rPr>
                <w:rFonts w:ascii="Verdana" w:cs="Verdana" w:eastAsia="Verdana" w:hAnsi="Verdana"/>
                <w:sz w:val="16"/>
                <w:szCs w:val="16"/>
                <w:color w:val="auto"/>
              </w:rPr>
              <w:t>Net change due to extensions and discoveries</w:t>
            </w:r>
          </w:p>
        </w:tc>
        <w:tc>
          <w:tcPr>
            <w:tcW w:w="1180" w:type="dxa"/>
            <w:vAlign w:val="bottom"/>
          </w:tcPr>
          <w:p>
            <w:pPr>
              <w:jc w:val="right"/>
              <w:ind w:right="63"/>
              <w:spacing w:after="0"/>
              <w:rPr>
                <w:sz w:val="20"/>
                <w:szCs w:val="20"/>
                <w:color w:val="auto"/>
              </w:rPr>
            </w:pPr>
            <w:r>
              <w:rPr>
                <w:rFonts w:ascii="Verdana" w:cs="Verdana" w:eastAsia="Verdana" w:hAnsi="Verdana"/>
                <w:sz w:val="16"/>
                <w:szCs w:val="16"/>
                <w:color w:val="214E93"/>
              </w:rPr>
              <w:t>1,376,044</w:t>
            </w:r>
          </w:p>
        </w:tc>
        <w:tc>
          <w:tcPr>
            <w:tcW w:w="1200" w:type="dxa"/>
            <w:vAlign w:val="bottom"/>
          </w:tcPr>
          <w:p>
            <w:pPr>
              <w:jc w:val="right"/>
              <w:ind w:right="62"/>
              <w:spacing w:after="0"/>
              <w:rPr>
                <w:sz w:val="20"/>
                <w:szCs w:val="20"/>
                <w:color w:val="auto"/>
              </w:rPr>
            </w:pPr>
            <w:r>
              <w:rPr>
                <w:rFonts w:ascii="Verdana" w:cs="Verdana" w:eastAsia="Verdana" w:hAnsi="Verdana"/>
                <w:sz w:val="16"/>
                <w:szCs w:val="16"/>
                <w:color w:val="131313"/>
              </w:rPr>
              <w:t>1,925,926</w:t>
            </w:r>
          </w:p>
        </w:tc>
        <w:tc>
          <w:tcPr>
            <w:tcW w:w="1140" w:type="dxa"/>
            <w:vAlign w:val="bottom"/>
          </w:tcPr>
          <w:p>
            <w:pPr>
              <w:jc w:val="right"/>
              <w:ind w:right="2"/>
              <w:spacing w:after="0"/>
              <w:rPr>
                <w:sz w:val="20"/>
                <w:szCs w:val="20"/>
                <w:color w:val="auto"/>
              </w:rPr>
            </w:pPr>
            <w:r>
              <w:rPr>
                <w:rFonts w:ascii="Verdana" w:cs="Verdana" w:eastAsia="Verdana" w:hAnsi="Verdana"/>
                <w:sz w:val="16"/>
                <w:szCs w:val="16"/>
                <w:color w:val="131313"/>
              </w:rPr>
              <w:t>1,711,389</w:t>
            </w:r>
          </w:p>
        </w:tc>
      </w:tr>
      <w:tr>
        <w:trPr>
          <w:trHeight w:val="236"/>
        </w:trPr>
        <w:tc>
          <w:tcPr>
            <w:tcW w:w="6040" w:type="dxa"/>
            <w:vAlign w:val="bottom"/>
          </w:tcPr>
          <w:p>
            <w:pPr>
              <w:ind w:left="40"/>
              <w:spacing w:after="0"/>
              <w:rPr>
                <w:sz w:val="20"/>
                <w:szCs w:val="20"/>
                <w:color w:val="auto"/>
              </w:rPr>
            </w:pPr>
            <w:r>
              <w:rPr>
                <w:rFonts w:ascii="Verdana" w:cs="Verdana" w:eastAsia="Verdana" w:hAnsi="Verdana"/>
                <w:sz w:val="16"/>
                <w:szCs w:val="16"/>
                <w:color w:val="auto"/>
              </w:rPr>
              <w:t>Net change due to revisions in estimates of reserves quantities</w:t>
            </w:r>
          </w:p>
        </w:tc>
        <w:tc>
          <w:tcPr>
            <w:tcW w:w="1180" w:type="dxa"/>
            <w:vAlign w:val="bottom"/>
          </w:tcPr>
          <w:p>
            <w:pPr>
              <w:jc w:val="right"/>
              <w:spacing w:after="0"/>
              <w:rPr>
                <w:sz w:val="20"/>
                <w:szCs w:val="20"/>
                <w:color w:val="auto"/>
              </w:rPr>
            </w:pPr>
            <w:r>
              <w:rPr>
                <w:rFonts w:ascii="Verdana" w:cs="Verdana" w:eastAsia="Verdana" w:hAnsi="Verdana"/>
                <w:sz w:val="16"/>
                <w:szCs w:val="16"/>
                <w:color w:val="214E93"/>
              </w:rPr>
              <w:t>(52,151)</w:t>
            </w:r>
          </w:p>
        </w:tc>
        <w:tc>
          <w:tcPr>
            <w:tcW w:w="1200" w:type="dxa"/>
            <w:vAlign w:val="bottom"/>
          </w:tcPr>
          <w:p>
            <w:pPr>
              <w:jc w:val="right"/>
              <w:spacing w:after="0"/>
              <w:rPr>
                <w:sz w:val="20"/>
                <w:szCs w:val="20"/>
                <w:color w:val="auto"/>
              </w:rPr>
            </w:pPr>
            <w:r>
              <w:rPr>
                <w:rFonts w:ascii="Verdana" w:cs="Verdana" w:eastAsia="Verdana" w:hAnsi="Verdana"/>
                <w:sz w:val="16"/>
                <w:szCs w:val="16"/>
                <w:color w:val="131313"/>
              </w:rPr>
              <w:t>(102,776)</w:t>
            </w:r>
          </w:p>
        </w:tc>
        <w:tc>
          <w:tcPr>
            <w:tcW w:w="1140" w:type="dxa"/>
            <w:vAlign w:val="bottom"/>
          </w:tcPr>
          <w:p>
            <w:pPr>
              <w:jc w:val="right"/>
              <w:spacing w:after="0"/>
              <w:rPr>
                <w:sz w:val="20"/>
                <w:szCs w:val="20"/>
                <w:color w:val="auto"/>
              </w:rPr>
            </w:pPr>
            <w:r>
              <w:rPr>
                <w:rFonts w:ascii="Verdana" w:cs="Verdana" w:eastAsia="Verdana" w:hAnsi="Verdana"/>
                <w:sz w:val="16"/>
                <w:szCs w:val="16"/>
                <w:color w:val="131313"/>
              </w:rPr>
              <w:t>(890,794)</w:t>
            </w:r>
          </w:p>
        </w:tc>
      </w:tr>
      <w:tr>
        <w:trPr>
          <w:trHeight w:val="236"/>
        </w:trPr>
        <w:tc>
          <w:tcPr>
            <w:tcW w:w="6040" w:type="dxa"/>
            <w:vAlign w:val="bottom"/>
          </w:tcPr>
          <w:p>
            <w:pPr>
              <w:ind w:left="40"/>
              <w:spacing w:after="0"/>
              <w:rPr>
                <w:sz w:val="20"/>
                <w:szCs w:val="20"/>
                <w:color w:val="auto"/>
              </w:rPr>
            </w:pPr>
            <w:r>
              <w:rPr>
                <w:rFonts w:ascii="Verdana" w:cs="Verdana" w:eastAsia="Verdana" w:hAnsi="Verdana"/>
                <w:sz w:val="16"/>
                <w:szCs w:val="16"/>
                <w:color w:val="auto"/>
              </w:rPr>
              <w:t>Previously estimated development costs incurred during the period</w:t>
            </w:r>
          </w:p>
        </w:tc>
        <w:tc>
          <w:tcPr>
            <w:tcW w:w="1180" w:type="dxa"/>
            <w:vAlign w:val="bottom"/>
          </w:tcPr>
          <w:p>
            <w:pPr>
              <w:jc w:val="right"/>
              <w:ind w:right="63"/>
              <w:spacing w:after="0"/>
              <w:rPr>
                <w:sz w:val="20"/>
                <w:szCs w:val="20"/>
                <w:color w:val="auto"/>
              </w:rPr>
            </w:pPr>
            <w:r>
              <w:rPr>
                <w:rFonts w:ascii="Verdana" w:cs="Verdana" w:eastAsia="Verdana" w:hAnsi="Verdana"/>
                <w:sz w:val="16"/>
                <w:szCs w:val="16"/>
                <w:color w:val="214E93"/>
              </w:rPr>
              <w:t>821,212</w:t>
            </w:r>
          </w:p>
        </w:tc>
        <w:tc>
          <w:tcPr>
            <w:tcW w:w="1200" w:type="dxa"/>
            <w:vAlign w:val="bottom"/>
          </w:tcPr>
          <w:p>
            <w:pPr>
              <w:jc w:val="right"/>
              <w:ind w:right="62"/>
              <w:spacing w:after="0"/>
              <w:rPr>
                <w:sz w:val="20"/>
                <w:szCs w:val="20"/>
                <w:color w:val="auto"/>
              </w:rPr>
            </w:pPr>
            <w:r>
              <w:rPr>
                <w:rFonts w:ascii="Verdana" w:cs="Verdana" w:eastAsia="Verdana" w:hAnsi="Verdana"/>
                <w:sz w:val="16"/>
                <w:szCs w:val="16"/>
                <w:color w:val="131313"/>
              </w:rPr>
              <w:t>685,163</w:t>
            </w:r>
          </w:p>
        </w:tc>
        <w:tc>
          <w:tcPr>
            <w:tcW w:w="1140" w:type="dxa"/>
            <w:vAlign w:val="bottom"/>
          </w:tcPr>
          <w:p>
            <w:pPr>
              <w:jc w:val="right"/>
              <w:ind w:right="2"/>
              <w:spacing w:after="0"/>
              <w:rPr>
                <w:sz w:val="20"/>
                <w:szCs w:val="20"/>
                <w:color w:val="auto"/>
              </w:rPr>
            </w:pPr>
            <w:r>
              <w:rPr>
                <w:rFonts w:ascii="Verdana" w:cs="Verdana" w:eastAsia="Verdana" w:hAnsi="Verdana"/>
                <w:sz w:val="16"/>
                <w:szCs w:val="16"/>
                <w:color w:val="131313"/>
              </w:rPr>
              <w:t>441,671</w:t>
            </w:r>
          </w:p>
        </w:tc>
      </w:tr>
      <w:tr>
        <w:trPr>
          <w:trHeight w:val="236"/>
        </w:trPr>
        <w:tc>
          <w:tcPr>
            <w:tcW w:w="6040" w:type="dxa"/>
            <w:vAlign w:val="bottom"/>
          </w:tcPr>
          <w:p>
            <w:pPr>
              <w:ind w:left="40"/>
              <w:spacing w:after="0"/>
              <w:rPr>
                <w:sz w:val="20"/>
                <w:szCs w:val="20"/>
                <w:color w:val="auto"/>
              </w:rPr>
            </w:pPr>
            <w:r>
              <w:rPr>
                <w:rFonts w:ascii="Verdana" w:cs="Verdana" w:eastAsia="Verdana" w:hAnsi="Verdana"/>
                <w:sz w:val="16"/>
                <w:szCs w:val="16"/>
                <w:color w:val="auto"/>
              </w:rPr>
              <w:t>Accretion of discount</w:t>
            </w:r>
          </w:p>
        </w:tc>
        <w:tc>
          <w:tcPr>
            <w:tcW w:w="1180" w:type="dxa"/>
            <w:vAlign w:val="bottom"/>
          </w:tcPr>
          <w:p>
            <w:pPr>
              <w:jc w:val="right"/>
              <w:ind w:right="63"/>
              <w:spacing w:after="0"/>
              <w:rPr>
                <w:sz w:val="20"/>
                <w:szCs w:val="20"/>
                <w:color w:val="auto"/>
              </w:rPr>
            </w:pPr>
            <w:r>
              <w:rPr>
                <w:rFonts w:ascii="Verdana" w:cs="Verdana" w:eastAsia="Verdana" w:hAnsi="Verdana"/>
                <w:sz w:val="16"/>
                <w:szCs w:val="16"/>
                <w:color w:val="214E93"/>
              </w:rPr>
              <w:t>923,378</w:t>
            </w:r>
          </w:p>
        </w:tc>
        <w:tc>
          <w:tcPr>
            <w:tcW w:w="1200" w:type="dxa"/>
            <w:vAlign w:val="bottom"/>
          </w:tcPr>
          <w:p>
            <w:pPr>
              <w:jc w:val="right"/>
              <w:ind w:right="62"/>
              <w:spacing w:after="0"/>
              <w:rPr>
                <w:sz w:val="20"/>
                <w:szCs w:val="20"/>
                <w:color w:val="auto"/>
              </w:rPr>
            </w:pPr>
            <w:r>
              <w:rPr>
                <w:rFonts w:ascii="Verdana" w:cs="Verdana" w:eastAsia="Verdana" w:hAnsi="Verdana"/>
                <w:sz w:val="16"/>
                <w:szCs w:val="16"/>
                <w:color w:val="131313"/>
              </w:rPr>
              <w:t>770,407</w:t>
            </w:r>
          </w:p>
        </w:tc>
        <w:tc>
          <w:tcPr>
            <w:tcW w:w="1140" w:type="dxa"/>
            <w:vAlign w:val="bottom"/>
          </w:tcPr>
          <w:p>
            <w:pPr>
              <w:jc w:val="right"/>
              <w:ind w:right="2"/>
              <w:spacing w:after="0"/>
              <w:rPr>
                <w:sz w:val="20"/>
                <w:szCs w:val="20"/>
                <w:color w:val="auto"/>
              </w:rPr>
            </w:pPr>
            <w:r>
              <w:rPr>
                <w:rFonts w:ascii="Verdana" w:cs="Verdana" w:eastAsia="Verdana" w:hAnsi="Verdana"/>
                <w:sz w:val="16"/>
                <w:szCs w:val="16"/>
                <w:color w:val="131313"/>
              </w:rPr>
              <w:t>807,896</w:t>
            </w:r>
          </w:p>
        </w:tc>
      </w:tr>
      <w:tr>
        <w:trPr>
          <w:trHeight w:val="236"/>
        </w:trPr>
        <w:tc>
          <w:tcPr>
            <w:tcW w:w="6040" w:type="dxa"/>
            <w:vAlign w:val="bottom"/>
          </w:tcPr>
          <w:p>
            <w:pPr>
              <w:ind w:left="40"/>
              <w:spacing w:after="0"/>
              <w:rPr>
                <w:sz w:val="20"/>
                <w:szCs w:val="20"/>
                <w:color w:val="auto"/>
              </w:rPr>
            </w:pPr>
            <w:r>
              <w:rPr>
                <w:rFonts w:ascii="Verdana" w:cs="Verdana" w:eastAsia="Verdana" w:hAnsi="Verdana"/>
                <w:sz w:val="16"/>
                <w:szCs w:val="16"/>
                <w:color w:val="auto"/>
              </w:rPr>
              <w:t>Changes in timing and other</w:t>
            </w:r>
          </w:p>
        </w:tc>
        <w:tc>
          <w:tcPr>
            <w:tcW w:w="1180" w:type="dxa"/>
            <w:vAlign w:val="bottom"/>
          </w:tcPr>
          <w:p>
            <w:pPr>
              <w:jc w:val="right"/>
              <w:spacing w:after="0"/>
              <w:rPr>
                <w:sz w:val="20"/>
                <w:szCs w:val="20"/>
                <w:color w:val="auto"/>
              </w:rPr>
            </w:pPr>
            <w:r>
              <w:rPr>
                <w:rFonts w:ascii="Verdana" w:cs="Verdana" w:eastAsia="Verdana" w:hAnsi="Verdana"/>
                <w:sz w:val="16"/>
                <w:szCs w:val="16"/>
                <w:color w:val="214E93"/>
              </w:rPr>
              <w:t>(97,104)</w:t>
            </w:r>
          </w:p>
        </w:tc>
        <w:tc>
          <w:tcPr>
            <w:tcW w:w="1200" w:type="dxa"/>
            <w:vAlign w:val="bottom"/>
          </w:tcPr>
          <w:p>
            <w:pPr>
              <w:jc w:val="right"/>
              <w:ind w:right="62"/>
              <w:spacing w:after="0"/>
              <w:rPr>
                <w:sz w:val="20"/>
                <w:szCs w:val="20"/>
                <w:color w:val="auto"/>
              </w:rPr>
            </w:pPr>
            <w:r>
              <w:rPr>
                <w:rFonts w:ascii="Verdana" w:cs="Verdana" w:eastAsia="Verdana" w:hAnsi="Verdana"/>
                <w:sz w:val="16"/>
                <w:szCs w:val="16"/>
                <w:color w:val="131313"/>
              </w:rPr>
              <w:t>15,190</w:t>
            </w:r>
          </w:p>
        </w:tc>
        <w:tc>
          <w:tcPr>
            <w:tcW w:w="1140" w:type="dxa"/>
            <w:vAlign w:val="bottom"/>
          </w:tcPr>
          <w:p>
            <w:pPr>
              <w:jc w:val="right"/>
              <w:ind w:right="2"/>
              <w:spacing w:after="0"/>
              <w:rPr>
                <w:sz w:val="20"/>
                <w:szCs w:val="20"/>
                <w:color w:val="auto"/>
              </w:rPr>
            </w:pPr>
            <w:r>
              <w:rPr>
                <w:rFonts w:ascii="Verdana" w:cs="Verdana" w:eastAsia="Verdana" w:hAnsi="Verdana"/>
                <w:sz w:val="16"/>
                <w:szCs w:val="16"/>
                <w:color w:val="131313"/>
              </w:rPr>
              <w:t>3,913</w:t>
            </w:r>
          </w:p>
        </w:tc>
      </w:tr>
      <w:tr>
        <w:trPr>
          <w:trHeight w:val="242"/>
        </w:trPr>
        <w:tc>
          <w:tcPr>
            <w:tcW w:w="604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Net change in income taxes</w:t>
            </w:r>
          </w:p>
        </w:tc>
        <w:tc>
          <w:tcPr>
            <w:tcW w:w="1180" w:type="dxa"/>
            <w:vAlign w:val="bottom"/>
            <w:tcBorders>
              <w:bottom w:val="single" w:sz="8" w:color="auto"/>
            </w:tcBorders>
          </w:tcPr>
          <w:p>
            <w:pPr>
              <w:jc w:val="right"/>
              <w:ind w:right="63"/>
              <w:spacing w:after="0"/>
              <w:rPr>
                <w:sz w:val="20"/>
                <w:szCs w:val="20"/>
                <w:color w:val="auto"/>
              </w:rPr>
            </w:pPr>
            <w:r>
              <w:rPr>
                <w:rFonts w:ascii="Verdana" w:cs="Verdana" w:eastAsia="Verdana" w:hAnsi="Verdana"/>
                <w:sz w:val="16"/>
                <w:szCs w:val="16"/>
                <w:color w:val="214E93"/>
              </w:rPr>
              <w:t>606,042</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131313"/>
              </w:rPr>
              <w:t>(222,731)</w:t>
            </w:r>
          </w:p>
        </w:tc>
        <w:tc>
          <w:tcPr>
            <w:tcW w:w="1140" w:type="dxa"/>
            <w:vAlign w:val="bottom"/>
            <w:tcBorders>
              <w:bottom w:val="single" w:sz="8" w:color="auto"/>
            </w:tcBorders>
          </w:tcPr>
          <w:p>
            <w:pPr>
              <w:jc w:val="right"/>
              <w:ind w:right="2"/>
              <w:spacing w:after="0"/>
              <w:rPr>
                <w:sz w:val="20"/>
                <w:szCs w:val="20"/>
                <w:color w:val="auto"/>
              </w:rPr>
            </w:pPr>
            <w:r>
              <w:rPr>
                <w:rFonts w:ascii="Verdana" w:cs="Verdana" w:eastAsia="Verdana" w:hAnsi="Verdana"/>
                <w:sz w:val="16"/>
                <w:szCs w:val="16"/>
                <w:color w:val="131313"/>
              </w:rPr>
              <w:t>558,453</w:t>
            </w:r>
          </w:p>
        </w:tc>
      </w:tr>
      <w:tr>
        <w:trPr>
          <w:trHeight w:val="217"/>
        </w:trPr>
        <w:tc>
          <w:tcPr>
            <w:tcW w:w="6040" w:type="dxa"/>
            <w:vAlign w:val="bottom"/>
            <w:tcBorders>
              <w:bottom w:val="single" w:sz="8" w:color="214E93"/>
            </w:tcBorders>
          </w:tcPr>
          <w:p>
            <w:pPr>
              <w:ind w:left="160"/>
              <w:spacing w:after="0"/>
              <w:rPr>
                <w:sz w:val="20"/>
                <w:szCs w:val="20"/>
                <w:color w:val="auto"/>
              </w:rPr>
            </w:pPr>
            <w:r>
              <w:rPr>
                <w:rFonts w:ascii="Verdana" w:cs="Verdana" w:eastAsia="Verdana" w:hAnsi="Verdana"/>
                <w:sz w:val="16"/>
                <w:szCs w:val="16"/>
                <w:color w:val="auto"/>
              </w:rPr>
              <w:t>Standardized measure of discounted future net cash flows</w:t>
            </w:r>
          </w:p>
        </w:tc>
        <w:tc>
          <w:tcPr>
            <w:tcW w:w="1180" w:type="dxa"/>
            <w:vAlign w:val="bottom"/>
            <w:tcBorders>
              <w:bottom w:val="single" w:sz="8" w:color="214E93"/>
            </w:tcBorders>
          </w:tcPr>
          <w:p>
            <w:pPr>
              <w:jc w:val="right"/>
              <w:ind w:right="63"/>
              <w:spacing w:after="0"/>
              <w:rPr>
                <w:sz w:val="20"/>
                <w:szCs w:val="20"/>
                <w:color w:val="auto"/>
              </w:rPr>
            </w:pPr>
            <w:r>
              <w:rPr>
                <w:rFonts w:ascii="Verdana" w:cs="Verdana" w:eastAsia="Verdana" w:hAnsi="Verdana"/>
                <w:sz w:val="16"/>
                <w:szCs w:val="16"/>
                <w:color w:val="214E93"/>
              </w:rPr>
              <w:t>$ 6,986,566</w:t>
            </w:r>
          </w:p>
        </w:tc>
        <w:tc>
          <w:tcPr>
            <w:tcW w:w="1200" w:type="dxa"/>
            <w:vAlign w:val="bottom"/>
            <w:tcBorders>
              <w:bottom w:val="single" w:sz="8" w:color="214E93"/>
            </w:tcBorders>
          </w:tcPr>
          <w:p>
            <w:pPr>
              <w:jc w:val="right"/>
              <w:ind w:right="62"/>
              <w:spacing w:after="0"/>
              <w:rPr>
                <w:sz w:val="20"/>
                <w:szCs w:val="20"/>
                <w:color w:val="auto"/>
              </w:rPr>
            </w:pPr>
            <w:r>
              <w:rPr>
                <w:rFonts w:ascii="Verdana" w:cs="Verdana" w:eastAsia="Verdana" w:hAnsi="Verdana"/>
                <w:sz w:val="16"/>
                <w:szCs w:val="16"/>
                <w:color w:val="131313"/>
              </w:rPr>
              <w:t>$ 7,376,550</w:t>
            </w:r>
          </w:p>
        </w:tc>
        <w:tc>
          <w:tcPr>
            <w:tcW w:w="1140" w:type="dxa"/>
            <w:vAlign w:val="bottom"/>
            <w:tcBorders>
              <w:bottom w:val="single" w:sz="8" w:color="214E93"/>
            </w:tcBorders>
          </w:tcPr>
          <w:p>
            <w:pPr>
              <w:jc w:val="right"/>
              <w:ind w:right="2"/>
              <w:spacing w:after="0"/>
              <w:rPr>
                <w:sz w:val="20"/>
                <w:szCs w:val="20"/>
                <w:color w:val="auto"/>
              </w:rPr>
            </w:pPr>
            <w:r>
              <w:rPr>
                <w:rFonts w:ascii="Verdana" w:cs="Verdana" w:eastAsia="Verdana" w:hAnsi="Verdana"/>
                <w:sz w:val="16"/>
                <w:szCs w:val="16"/>
                <w:color w:val="131313"/>
              </w:rPr>
              <w:t>$ 6,113,492</w:t>
            </w:r>
          </w:p>
        </w:tc>
      </w:tr>
    </w:tbl>
    <w:p>
      <w:pPr>
        <w:spacing w:after="0" w:line="20" w:lineRule="exact"/>
        <w:rPr>
          <w:sz w:val="20"/>
          <w:szCs w:val="20"/>
          <w:color w:val="auto"/>
        </w:rPr>
      </w:pPr>
    </w:p>
    <w:p>
      <w:pPr>
        <w:sectPr>
          <w:pgSz w:w="11880" w:h="15480" w:orient="portrait"/>
          <w:cols w:equalWidth="0" w:num="1">
            <w:col w:w="10340"/>
          </w:cols>
          <w:pgMar w:left="1160" w:top="498"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600"/>
        <w:spacing w:after="0"/>
        <w:rPr>
          <w:sz w:val="20"/>
          <w:szCs w:val="20"/>
          <w:color w:val="auto"/>
        </w:rPr>
      </w:pPr>
      <w:r>
        <w:rPr>
          <w:rFonts w:ascii="Calibri" w:cs="Calibri" w:eastAsia="Calibri" w:hAnsi="Calibri"/>
          <w:sz w:val="17"/>
          <w:szCs w:val="17"/>
          <w:color w:val="auto"/>
        </w:rPr>
        <w:t>Unaudited Supplementary Information FORM 10-K</w:t>
      </w:r>
    </w:p>
    <w:p>
      <w:pPr>
        <w:sectPr>
          <w:pgSz w:w="11880" w:h="15480" w:orient="portrait"/>
          <w:cols w:equalWidth="0" w:num="1">
            <w:col w:w="10340"/>
          </w:cols>
          <w:pgMar w:left="1160" w:top="498" w:right="380" w:bottom="0" w:gutter="0" w:footer="0" w:header="0"/>
          <w:type w:val="continuous"/>
        </w:sectPr>
      </w:pPr>
    </w:p>
    <w:bookmarkStart w:id="179" w:name="page180"/>
    <w:bookmarkEnd w:id="179"/>
    <w:p>
      <w:pPr>
        <w:ind w:left="720"/>
        <w:spacing w:after="0"/>
        <w:rPr>
          <w:sz w:val="20"/>
          <w:szCs w:val="20"/>
          <w:color w:val="auto"/>
        </w:rPr>
      </w:pPr>
      <w:r>
        <w:rPr>
          <w:rFonts w:ascii="Calibri" w:cs="Calibri" w:eastAsia="Calibri" w:hAnsi="Calibri"/>
          <w:sz w:val="18"/>
          <w:szCs w:val="18"/>
          <w:color w:val="auto"/>
        </w:rPr>
        <w:t>MATADOR RESOURCES COMPANY</w:t>
      </w:r>
    </w:p>
    <w:p>
      <w:pPr>
        <w:spacing w:after="0" w:line="223" w:lineRule="exact"/>
        <w:rPr>
          <w:sz w:val="20"/>
          <w:szCs w:val="20"/>
          <w:color w:val="auto"/>
        </w:rPr>
      </w:pPr>
    </w:p>
    <w:p>
      <w:pPr>
        <w:ind w:left="720"/>
        <w:spacing w:after="0"/>
        <w:rPr>
          <w:sz w:val="20"/>
          <w:szCs w:val="20"/>
          <w:color w:val="auto"/>
        </w:rPr>
      </w:pPr>
      <w:r>
        <w:rPr>
          <w:rFonts w:ascii="Verdana" w:cs="Verdana" w:eastAsia="Verdana" w:hAnsi="Verdana"/>
          <w:sz w:val="21"/>
          <w:szCs w:val="21"/>
          <w:color w:val="214E93"/>
        </w:rPr>
        <w:t>Exhibit 31.1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426720</wp:posOffset>
                </wp:positionH>
                <wp:positionV relativeFrom="paragraph">
                  <wp:posOffset>17145</wp:posOffset>
                </wp:positionV>
                <wp:extent cx="6812280" cy="0"/>
                <wp:wrapNone/>
                <wp:docPr id="353" name="Shape 3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3" o:spid="_x0000_s13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6pt,1.35pt" to="570pt,1.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426720</wp:posOffset>
                </wp:positionH>
                <wp:positionV relativeFrom="paragraph">
                  <wp:posOffset>17145</wp:posOffset>
                </wp:positionV>
                <wp:extent cx="6812280" cy="0"/>
                <wp:wrapNone/>
                <wp:docPr id="354" name="Shape 3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54" o:spid="_x0000_s13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6pt,1.35pt" to="570pt,1.35pt" o:allowincell="f" strokecolor="#214E93" strokeweight="1pt"/>
            </w:pict>
          </mc:Fallback>
        </mc:AlternateContent>
      </w:r>
    </w:p>
    <w:p>
      <w:pPr>
        <w:spacing w:after="0" w:line="141" w:lineRule="exact"/>
        <w:rPr>
          <w:sz w:val="20"/>
          <w:szCs w:val="20"/>
          <w:color w:val="auto"/>
        </w:rPr>
      </w:pPr>
    </w:p>
    <w:p>
      <w:pPr>
        <w:ind w:left="680"/>
        <w:spacing w:after="0"/>
        <w:rPr>
          <w:sz w:val="20"/>
          <w:szCs w:val="20"/>
          <w:color w:val="auto"/>
        </w:rPr>
      </w:pPr>
      <w:r>
        <w:rPr>
          <w:rFonts w:ascii="Verdana" w:cs="Verdana" w:eastAsia="Verdana" w:hAnsi="Verdana"/>
          <w:sz w:val="20"/>
          <w:szCs w:val="20"/>
          <w:color w:val="214E93"/>
        </w:rPr>
        <w:t>CERTIFICATION</w:t>
      </w:r>
    </w:p>
    <w:p>
      <w:pPr>
        <w:spacing w:after="0" w:line="192" w:lineRule="exact"/>
        <w:rPr>
          <w:sz w:val="20"/>
          <w:szCs w:val="20"/>
          <w:color w:val="auto"/>
        </w:rPr>
      </w:pPr>
    </w:p>
    <w:p>
      <w:pPr>
        <w:ind w:left="680"/>
        <w:spacing w:after="0"/>
        <w:rPr>
          <w:sz w:val="20"/>
          <w:szCs w:val="20"/>
          <w:color w:val="auto"/>
        </w:rPr>
      </w:pPr>
      <w:r>
        <w:rPr>
          <w:rFonts w:ascii="Calibri" w:cs="Calibri" w:eastAsia="Calibri" w:hAnsi="Calibri"/>
          <w:sz w:val="18"/>
          <w:szCs w:val="18"/>
          <w:color w:val="auto"/>
        </w:rPr>
        <w:t>I, Joseph Wm. Foran, certify that:</w:t>
      </w:r>
    </w:p>
    <w:p>
      <w:pPr>
        <w:spacing w:after="0" w:line="224" w:lineRule="exact"/>
        <w:rPr>
          <w:sz w:val="20"/>
          <w:szCs w:val="20"/>
          <w:color w:val="auto"/>
        </w:rPr>
      </w:pPr>
    </w:p>
    <w:p>
      <w:pPr>
        <w:ind w:left="1380" w:hanging="349"/>
        <w:spacing w:after="0"/>
        <w:tabs>
          <w:tab w:leader="none" w:pos="1380" w:val="left"/>
        </w:tabs>
        <w:numPr>
          <w:ilvl w:val="0"/>
          <w:numId w:val="101"/>
        </w:numPr>
        <w:rPr>
          <w:rFonts w:ascii="Calibri" w:cs="Calibri" w:eastAsia="Calibri" w:hAnsi="Calibri"/>
          <w:sz w:val="18"/>
          <w:szCs w:val="18"/>
          <w:color w:val="auto"/>
        </w:rPr>
      </w:pPr>
      <w:r>
        <w:rPr>
          <w:rFonts w:ascii="Calibri" w:cs="Calibri" w:eastAsia="Calibri" w:hAnsi="Calibri"/>
          <w:sz w:val="18"/>
          <w:szCs w:val="18"/>
          <w:color w:val="auto"/>
        </w:rPr>
        <w:t>I have reviewed this annual report on Form 10-K of Matador Resources Company;</w:t>
      </w:r>
    </w:p>
    <w:p>
      <w:pPr>
        <w:spacing w:after="0" w:line="240" w:lineRule="exact"/>
        <w:rPr>
          <w:rFonts w:ascii="Calibri" w:cs="Calibri" w:eastAsia="Calibri" w:hAnsi="Calibri"/>
          <w:sz w:val="18"/>
          <w:szCs w:val="18"/>
          <w:color w:val="auto"/>
        </w:rPr>
      </w:pPr>
    </w:p>
    <w:p>
      <w:pPr>
        <w:jc w:val="both"/>
        <w:ind w:left="1380" w:right="180" w:hanging="349"/>
        <w:spacing w:after="0" w:line="261" w:lineRule="auto"/>
        <w:tabs>
          <w:tab w:leader="none" w:pos="1380" w:val="left"/>
        </w:tabs>
        <w:numPr>
          <w:ilvl w:val="0"/>
          <w:numId w:val="101"/>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2" w:lineRule="exact"/>
        <w:rPr>
          <w:rFonts w:ascii="Calibri" w:cs="Calibri" w:eastAsia="Calibri" w:hAnsi="Calibri"/>
          <w:sz w:val="18"/>
          <w:szCs w:val="18"/>
          <w:color w:val="auto"/>
        </w:rPr>
      </w:pPr>
    </w:p>
    <w:p>
      <w:pPr>
        <w:ind w:left="1380" w:hanging="349"/>
        <w:spacing w:after="0" w:line="261" w:lineRule="auto"/>
        <w:tabs>
          <w:tab w:leader="none" w:pos="1380" w:val="left"/>
        </w:tabs>
        <w:numPr>
          <w:ilvl w:val="0"/>
          <w:numId w:val="101"/>
        </w:numPr>
        <w:rPr>
          <w:rFonts w:ascii="Calibri" w:cs="Calibri" w:eastAsia="Calibri" w:hAnsi="Calibri"/>
          <w:sz w:val="18"/>
          <w:szCs w:val="18"/>
          <w:color w:val="auto"/>
        </w:rPr>
      </w:pPr>
      <w:r>
        <w:rPr>
          <w:rFonts w:ascii="Calibri" w:cs="Calibri" w:eastAsia="Calibri" w:hAnsi="Calibri"/>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Calibri" w:cs="Calibri" w:eastAsia="Calibri" w:hAnsi="Calibri"/>
          <w:sz w:val="18"/>
          <w:szCs w:val="18"/>
          <w:color w:val="auto"/>
        </w:rPr>
      </w:pPr>
    </w:p>
    <w:p>
      <w:pPr>
        <w:jc w:val="both"/>
        <w:ind w:left="1380" w:right="300" w:hanging="349"/>
        <w:spacing w:after="0" w:line="261" w:lineRule="auto"/>
        <w:tabs>
          <w:tab w:leader="none" w:pos="1380" w:val="left"/>
        </w:tabs>
        <w:numPr>
          <w:ilvl w:val="0"/>
          <w:numId w:val="101"/>
        </w:numPr>
        <w:rPr>
          <w:rFonts w:ascii="Calibri" w:cs="Calibri" w:eastAsia="Calibri" w:hAnsi="Calibri"/>
          <w:sz w:val="18"/>
          <w:szCs w:val="18"/>
          <w:color w:val="auto"/>
        </w:rPr>
      </w:pPr>
      <w:r>
        <w:rPr>
          <w:rFonts w:ascii="Calibri" w:cs="Calibri" w:eastAsia="Calibri" w:hAnsi="Calibri"/>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2" w:lineRule="exact"/>
        <w:rPr>
          <w:rFonts w:ascii="Calibri" w:cs="Calibri" w:eastAsia="Calibri" w:hAnsi="Calibri"/>
          <w:sz w:val="18"/>
          <w:szCs w:val="18"/>
          <w:color w:val="auto"/>
        </w:rPr>
      </w:pPr>
    </w:p>
    <w:p>
      <w:pPr>
        <w:ind w:left="2100" w:right="180" w:hanging="360"/>
        <w:spacing w:after="0" w:line="264" w:lineRule="auto"/>
        <w:tabs>
          <w:tab w:leader="none" w:pos="2100" w:val="left"/>
        </w:tabs>
        <w:numPr>
          <w:ilvl w:val="1"/>
          <w:numId w:val="101"/>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0" w:lineRule="exact"/>
        <w:rPr>
          <w:rFonts w:ascii="Calibri" w:cs="Calibri" w:eastAsia="Calibri" w:hAnsi="Calibri"/>
          <w:sz w:val="18"/>
          <w:szCs w:val="18"/>
          <w:color w:val="auto"/>
        </w:rPr>
      </w:pPr>
    </w:p>
    <w:p>
      <w:pPr>
        <w:ind w:left="2100" w:hanging="360"/>
        <w:spacing w:after="0" w:line="264" w:lineRule="auto"/>
        <w:tabs>
          <w:tab w:leader="none" w:pos="2100" w:val="left"/>
        </w:tabs>
        <w:numPr>
          <w:ilvl w:val="1"/>
          <w:numId w:val="101"/>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0" w:lineRule="exact"/>
        <w:rPr>
          <w:rFonts w:ascii="Calibri" w:cs="Calibri" w:eastAsia="Calibri" w:hAnsi="Calibri"/>
          <w:sz w:val="18"/>
          <w:szCs w:val="18"/>
          <w:color w:val="auto"/>
        </w:rPr>
      </w:pPr>
    </w:p>
    <w:p>
      <w:pPr>
        <w:jc w:val="both"/>
        <w:ind w:left="2100" w:right="240" w:hanging="360"/>
        <w:spacing w:after="0" w:line="261" w:lineRule="auto"/>
        <w:tabs>
          <w:tab w:leader="none" w:pos="2100" w:val="left"/>
        </w:tabs>
        <w:numPr>
          <w:ilvl w:val="1"/>
          <w:numId w:val="101"/>
        </w:numPr>
        <w:rPr>
          <w:rFonts w:ascii="Calibri" w:cs="Calibri" w:eastAsia="Calibri" w:hAnsi="Calibri"/>
          <w:sz w:val="18"/>
          <w:szCs w:val="18"/>
          <w:color w:val="auto"/>
        </w:rPr>
      </w:pPr>
      <w:r>
        <w:rPr>
          <w:rFonts w:ascii="Calibri" w:cs="Calibri" w:eastAsia="Calibri" w:hAnsi="Calibri"/>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Calibri" w:cs="Calibri" w:eastAsia="Calibri" w:hAnsi="Calibri"/>
          <w:sz w:val="18"/>
          <w:szCs w:val="18"/>
          <w:color w:val="auto"/>
        </w:rPr>
      </w:pPr>
    </w:p>
    <w:p>
      <w:pPr>
        <w:ind w:left="2100" w:right="240" w:hanging="360"/>
        <w:spacing w:after="0" w:line="264" w:lineRule="auto"/>
        <w:tabs>
          <w:tab w:leader="none" w:pos="2100" w:val="left"/>
        </w:tabs>
        <w:numPr>
          <w:ilvl w:val="1"/>
          <w:numId w:val="101"/>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0" w:lineRule="exact"/>
        <w:rPr>
          <w:rFonts w:ascii="Calibri" w:cs="Calibri" w:eastAsia="Calibri" w:hAnsi="Calibri"/>
          <w:sz w:val="18"/>
          <w:szCs w:val="18"/>
          <w:color w:val="auto"/>
        </w:rPr>
      </w:pPr>
    </w:p>
    <w:p>
      <w:pPr>
        <w:ind w:left="1380" w:right="340" w:hanging="349"/>
        <w:spacing w:after="0" w:line="261" w:lineRule="auto"/>
        <w:tabs>
          <w:tab w:leader="none" w:pos="1380" w:val="left"/>
        </w:tabs>
        <w:numPr>
          <w:ilvl w:val="0"/>
          <w:numId w:val="101"/>
        </w:numPr>
        <w:rPr>
          <w:rFonts w:ascii="Calibri" w:cs="Calibri" w:eastAsia="Calibri" w:hAnsi="Calibri"/>
          <w:sz w:val="18"/>
          <w:szCs w:val="18"/>
          <w:color w:val="auto"/>
        </w:rPr>
      </w:pPr>
      <w:r>
        <w:rPr>
          <w:rFonts w:ascii="Calibri" w:cs="Calibri" w:eastAsia="Calibri" w:hAnsi="Calibri"/>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2" w:lineRule="exact"/>
        <w:rPr>
          <w:rFonts w:ascii="Calibri" w:cs="Calibri" w:eastAsia="Calibri" w:hAnsi="Calibri"/>
          <w:sz w:val="18"/>
          <w:szCs w:val="18"/>
          <w:color w:val="auto"/>
        </w:rPr>
      </w:pPr>
    </w:p>
    <w:p>
      <w:pPr>
        <w:ind w:left="2100" w:right="200" w:hanging="360"/>
        <w:spacing w:after="0" w:line="261" w:lineRule="auto"/>
        <w:tabs>
          <w:tab w:leader="none" w:pos="2100" w:val="left"/>
        </w:tabs>
        <w:numPr>
          <w:ilvl w:val="1"/>
          <w:numId w:val="101"/>
        </w:numPr>
        <w:rPr>
          <w:rFonts w:ascii="Calibri" w:cs="Calibri" w:eastAsia="Calibri" w:hAnsi="Calibri"/>
          <w:sz w:val="18"/>
          <w:szCs w:val="18"/>
          <w:color w:val="auto"/>
        </w:rPr>
      </w:pPr>
      <w:r>
        <w:rPr>
          <w:rFonts w:ascii="Calibri" w:cs="Calibri" w:eastAsia="Calibri" w:hAnsi="Calibri"/>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Calibri" w:cs="Calibri" w:eastAsia="Calibri" w:hAnsi="Calibri"/>
          <w:sz w:val="18"/>
          <w:szCs w:val="18"/>
          <w:color w:val="auto"/>
        </w:rPr>
      </w:pPr>
    </w:p>
    <w:p>
      <w:pPr>
        <w:ind w:left="2100" w:right="40" w:hanging="360"/>
        <w:spacing w:after="0" w:line="252" w:lineRule="auto"/>
        <w:tabs>
          <w:tab w:leader="none" w:pos="2100" w:val="left"/>
        </w:tabs>
        <w:numPr>
          <w:ilvl w:val="1"/>
          <w:numId w:val="101"/>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ind w:left="720"/>
        <w:spacing w:after="0"/>
        <w:tabs>
          <w:tab w:leader="none" w:pos="7360" w:val="left"/>
        </w:tabs>
        <w:rPr>
          <w:sz w:val="20"/>
          <w:szCs w:val="20"/>
          <w:color w:val="auto"/>
        </w:rPr>
      </w:pPr>
      <w:r>
        <w:rPr>
          <w:rFonts w:ascii="Calibri" w:cs="Calibri" w:eastAsia="Calibri" w:hAnsi="Calibri"/>
          <w:sz w:val="18"/>
          <w:szCs w:val="18"/>
          <w:color w:val="auto"/>
        </w:rPr>
        <w:t>February 26, 2026</w:t>
      </w:r>
      <w:r>
        <w:rPr>
          <w:sz w:val="20"/>
          <w:szCs w:val="20"/>
          <w:color w:val="auto"/>
        </w:rPr>
        <w:tab/>
      </w:r>
      <w:r>
        <w:rPr>
          <w:rFonts w:ascii="Calibri" w:cs="Calibri" w:eastAsia="Calibri" w:hAnsi="Calibri"/>
          <w:sz w:val="17"/>
          <w:szCs w:val="17"/>
          <w:color w:val="auto"/>
        </w:rPr>
        <w:t>/s/ Joseph Wm. Foran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3870325</wp:posOffset>
            </wp:positionH>
            <wp:positionV relativeFrom="paragraph">
              <wp:posOffset>19050</wp:posOffset>
            </wp:positionV>
            <wp:extent cx="2633980" cy="127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
                      <a:extLst>
                        <a:ext uri="{28A0092B-C50C-407E-A947-70E740481C1C}"/>
                      </a:extLst>
                    </a:blip>
                    <a:srcRect/>
                    <a:stretch>
                      <a:fillRect/>
                    </a:stretch>
                  </pic:blipFill>
                  <pic:spPr bwMode="auto">
                    <a:xfrm>
                      <a:off x="0" y="0"/>
                      <a:ext cx="2633980" cy="12700"/>
                    </a:xfrm>
                    <a:prstGeom prst="rect">
                      <a:avLst/>
                    </a:prstGeom>
                    <a:noFill/>
                  </pic:spPr>
                </pic:pic>
              </a:graphicData>
            </a:graphic>
          </wp:anchor>
        </w:drawing>
      </w:r>
    </w:p>
    <w:p>
      <w:pPr>
        <w:spacing w:after="0" w:line="159" w:lineRule="exact"/>
        <w:rPr>
          <w:sz w:val="20"/>
          <w:szCs w:val="20"/>
          <w:color w:val="auto"/>
        </w:rPr>
      </w:pPr>
    </w:p>
    <w:p>
      <w:pPr>
        <w:ind w:left="7500"/>
        <w:spacing w:after="0"/>
        <w:rPr>
          <w:sz w:val="20"/>
          <w:szCs w:val="20"/>
          <w:color w:val="auto"/>
        </w:rPr>
      </w:pPr>
      <w:r>
        <w:rPr>
          <w:rFonts w:ascii="Calibri" w:cs="Calibri" w:eastAsia="Calibri" w:hAnsi="Calibri"/>
          <w:sz w:val="18"/>
          <w:szCs w:val="18"/>
          <w:color w:val="auto"/>
        </w:rPr>
        <w:t>Joseph Wm. Foran</w:t>
      </w:r>
    </w:p>
    <w:p>
      <w:pPr>
        <w:spacing w:after="0" w:line="49" w:lineRule="exact"/>
        <w:rPr>
          <w:sz w:val="20"/>
          <w:szCs w:val="20"/>
          <w:color w:val="auto"/>
        </w:rPr>
      </w:pPr>
    </w:p>
    <w:p>
      <w:pPr>
        <w:ind w:left="6840"/>
        <w:spacing w:after="0"/>
        <w:rPr>
          <w:sz w:val="20"/>
          <w:szCs w:val="20"/>
          <w:color w:val="auto"/>
        </w:rPr>
      </w:pPr>
      <w:r>
        <w:rPr>
          <w:rFonts w:ascii="Calibri" w:cs="Calibri" w:eastAsia="Calibri" w:hAnsi="Calibri"/>
          <w:sz w:val="18"/>
          <w:szCs w:val="18"/>
          <w:color w:val="auto"/>
        </w:rPr>
        <w:t>Chairman and Chief Executive Officer</w:t>
      </w:r>
    </w:p>
    <w:p>
      <w:pPr>
        <w:spacing w:after="0" w:line="28" w:lineRule="exact"/>
        <w:rPr>
          <w:sz w:val="20"/>
          <w:szCs w:val="20"/>
          <w:color w:val="auto"/>
        </w:rPr>
      </w:pPr>
    </w:p>
    <w:p>
      <w:pPr>
        <w:ind w:left="7180"/>
        <w:spacing w:after="0"/>
        <w:rPr>
          <w:sz w:val="20"/>
          <w:szCs w:val="20"/>
          <w:color w:val="auto"/>
        </w:rPr>
      </w:pPr>
      <w:r>
        <w:rPr>
          <w:rFonts w:ascii="Calibri" w:cs="Calibri" w:eastAsia="Calibri" w:hAnsi="Calibri"/>
          <w:sz w:val="18"/>
          <w:szCs w:val="18"/>
          <w:color w:val="auto"/>
        </w:rPr>
        <w:t>(Principal Executive Officer)</w:t>
      </w:r>
    </w:p>
    <w:p>
      <w:pPr>
        <w:sectPr>
          <w:pgSz w:w="11880" w:h="15480" w:orient="portrait"/>
          <w:cols w:equalWidth="0" w:num="1">
            <w:col w:w="10240"/>
          </w:cols>
          <w:pgMar w:left="48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alibri" w:cs="Calibri" w:eastAsia="Calibri" w:hAnsi="Calibri"/>
          <w:sz w:val="17"/>
          <w:szCs w:val="17"/>
          <w:color w:val="auto"/>
        </w:rPr>
        <w:t>FORM 10-K</w:t>
      </w:r>
    </w:p>
    <w:p>
      <w:pPr>
        <w:sectPr>
          <w:pgSz w:w="11880" w:h="15480" w:orient="portrait"/>
          <w:cols w:equalWidth="0" w:num="1">
            <w:col w:w="10240"/>
          </w:cols>
          <w:pgMar w:left="480" w:top="498" w:right="1160" w:bottom="0" w:gutter="0" w:footer="0" w:header="0"/>
          <w:type w:val="continuous"/>
        </w:sectPr>
      </w:pPr>
    </w:p>
    <w:bookmarkStart w:id="180" w:name="page181"/>
    <w:bookmarkEnd w:id="180"/>
    <w:p>
      <w:pPr>
        <w:ind w:left="7880"/>
        <w:spacing w:after="0"/>
        <w:rPr>
          <w:sz w:val="20"/>
          <w:szCs w:val="20"/>
          <w:color w:val="auto"/>
        </w:rPr>
      </w:pPr>
      <w:r>
        <w:rPr>
          <w:rFonts w:ascii="Calibri" w:cs="Calibri" w:eastAsia="Calibri" w:hAnsi="Calibri"/>
          <w:sz w:val="18"/>
          <w:szCs w:val="18"/>
          <w:color w:val="auto"/>
        </w:rPr>
        <w:t>2025 ANNUAL REPORT</w:t>
      </w:r>
    </w:p>
    <w:p>
      <w:pPr>
        <w:spacing w:after="0" w:line="235" w:lineRule="exact"/>
        <w:rPr>
          <w:sz w:val="20"/>
          <w:szCs w:val="20"/>
          <w:color w:val="auto"/>
        </w:rPr>
      </w:pPr>
    </w:p>
    <w:p>
      <w:pPr>
        <w:ind w:left="40"/>
        <w:spacing w:after="0"/>
        <w:rPr>
          <w:sz w:val="20"/>
          <w:szCs w:val="20"/>
          <w:color w:val="auto"/>
        </w:rPr>
      </w:pPr>
      <w:r>
        <w:rPr>
          <w:rFonts w:ascii="Verdana" w:cs="Verdana" w:eastAsia="Verdana" w:hAnsi="Verdana"/>
          <w:sz w:val="20"/>
          <w:szCs w:val="20"/>
          <w:color w:val="214E93"/>
        </w:rPr>
        <w:t>Exhibit 31.2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17145</wp:posOffset>
                </wp:positionV>
                <wp:extent cx="6811645" cy="0"/>
                <wp:wrapNone/>
                <wp:docPr id="356" name="Shape 3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6" o:spid="_x0000_s13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1.35pt" to="478.35pt,1.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17145</wp:posOffset>
                </wp:positionV>
                <wp:extent cx="6811645" cy="0"/>
                <wp:wrapNone/>
                <wp:docPr id="357" name="Shape 3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57" o:spid="_x0000_s13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1.35pt" to="478.35pt,1.35pt" o:allowincell="f" strokecolor="#214E93" strokeweight="1pt"/>
            </w:pict>
          </mc:Fallback>
        </mc:AlternateContent>
      </w:r>
    </w:p>
    <w:p>
      <w:pPr>
        <w:spacing w:after="0" w:line="141" w:lineRule="exact"/>
        <w:rPr>
          <w:sz w:val="20"/>
          <w:szCs w:val="20"/>
          <w:color w:val="auto"/>
        </w:rPr>
      </w:pPr>
    </w:p>
    <w:p>
      <w:pPr>
        <w:spacing w:after="0"/>
        <w:rPr>
          <w:sz w:val="20"/>
          <w:szCs w:val="20"/>
          <w:color w:val="auto"/>
        </w:rPr>
      </w:pPr>
      <w:r>
        <w:rPr>
          <w:rFonts w:ascii="Verdana" w:cs="Verdana" w:eastAsia="Verdana" w:hAnsi="Verdana"/>
          <w:sz w:val="20"/>
          <w:szCs w:val="20"/>
          <w:color w:val="214E93"/>
        </w:rPr>
        <w:t>CERTIFICATION</w:t>
      </w:r>
    </w:p>
    <w:p>
      <w:pPr>
        <w:spacing w:after="0" w:line="192" w:lineRule="exact"/>
        <w:rPr>
          <w:sz w:val="20"/>
          <w:szCs w:val="20"/>
          <w:color w:val="auto"/>
        </w:rPr>
      </w:pPr>
    </w:p>
    <w:p>
      <w:pPr>
        <w:spacing w:after="0"/>
        <w:rPr>
          <w:sz w:val="20"/>
          <w:szCs w:val="20"/>
          <w:color w:val="auto"/>
        </w:rPr>
      </w:pPr>
      <w:r>
        <w:rPr>
          <w:rFonts w:ascii="Calibri" w:cs="Calibri" w:eastAsia="Calibri" w:hAnsi="Calibri"/>
          <w:sz w:val="18"/>
          <w:szCs w:val="18"/>
          <w:color w:val="auto"/>
        </w:rPr>
        <w:t>I, Robert T. Macalik, certify that:</w:t>
      </w:r>
    </w:p>
    <w:p>
      <w:pPr>
        <w:spacing w:after="0" w:line="224" w:lineRule="exact"/>
        <w:rPr>
          <w:sz w:val="20"/>
          <w:szCs w:val="20"/>
          <w:color w:val="auto"/>
        </w:rPr>
      </w:pPr>
    </w:p>
    <w:p>
      <w:pPr>
        <w:ind w:left="700" w:hanging="349"/>
        <w:spacing w:after="0"/>
        <w:tabs>
          <w:tab w:leader="none" w:pos="700" w:val="left"/>
        </w:tabs>
        <w:numPr>
          <w:ilvl w:val="0"/>
          <w:numId w:val="102"/>
        </w:numPr>
        <w:rPr>
          <w:rFonts w:ascii="Calibri" w:cs="Calibri" w:eastAsia="Calibri" w:hAnsi="Calibri"/>
          <w:sz w:val="18"/>
          <w:szCs w:val="18"/>
          <w:color w:val="auto"/>
        </w:rPr>
      </w:pPr>
      <w:r>
        <w:rPr>
          <w:rFonts w:ascii="Calibri" w:cs="Calibri" w:eastAsia="Calibri" w:hAnsi="Calibri"/>
          <w:sz w:val="18"/>
          <w:szCs w:val="18"/>
          <w:color w:val="auto"/>
        </w:rPr>
        <w:t>I have reviewed this annual report on Form 10-K of Matador Resources Company;</w:t>
      </w:r>
    </w:p>
    <w:p>
      <w:pPr>
        <w:spacing w:after="0" w:line="240" w:lineRule="exact"/>
        <w:rPr>
          <w:rFonts w:ascii="Calibri" w:cs="Calibri" w:eastAsia="Calibri" w:hAnsi="Calibri"/>
          <w:sz w:val="18"/>
          <w:szCs w:val="18"/>
          <w:color w:val="auto"/>
        </w:rPr>
      </w:pPr>
    </w:p>
    <w:p>
      <w:pPr>
        <w:jc w:val="both"/>
        <w:ind w:left="700" w:right="860" w:hanging="349"/>
        <w:spacing w:after="0" w:line="261" w:lineRule="auto"/>
        <w:tabs>
          <w:tab w:leader="none" w:pos="700" w:val="left"/>
        </w:tabs>
        <w:numPr>
          <w:ilvl w:val="0"/>
          <w:numId w:val="102"/>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2" w:lineRule="exact"/>
        <w:rPr>
          <w:rFonts w:ascii="Calibri" w:cs="Calibri" w:eastAsia="Calibri" w:hAnsi="Calibri"/>
          <w:sz w:val="18"/>
          <w:szCs w:val="18"/>
          <w:color w:val="auto"/>
        </w:rPr>
      </w:pPr>
    </w:p>
    <w:p>
      <w:pPr>
        <w:ind w:left="700" w:right="680" w:hanging="349"/>
        <w:spacing w:after="0" w:line="261" w:lineRule="auto"/>
        <w:tabs>
          <w:tab w:leader="none" w:pos="700" w:val="left"/>
        </w:tabs>
        <w:numPr>
          <w:ilvl w:val="0"/>
          <w:numId w:val="102"/>
        </w:numPr>
        <w:rPr>
          <w:rFonts w:ascii="Calibri" w:cs="Calibri" w:eastAsia="Calibri" w:hAnsi="Calibri"/>
          <w:sz w:val="18"/>
          <w:szCs w:val="18"/>
          <w:color w:val="auto"/>
        </w:rPr>
      </w:pPr>
      <w:r>
        <w:rPr>
          <w:rFonts w:ascii="Calibri" w:cs="Calibri" w:eastAsia="Calibri" w:hAnsi="Calibri"/>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Calibri" w:cs="Calibri" w:eastAsia="Calibri" w:hAnsi="Calibri"/>
          <w:sz w:val="18"/>
          <w:szCs w:val="18"/>
          <w:color w:val="auto"/>
        </w:rPr>
      </w:pPr>
    </w:p>
    <w:p>
      <w:pPr>
        <w:jc w:val="both"/>
        <w:ind w:left="700" w:right="980" w:hanging="349"/>
        <w:spacing w:after="0" w:line="261" w:lineRule="auto"/>
        <w:tabs>
          <w:tab w:leader="none" w:pos="700" w:val="left"/>
        </w:tabs>
        <w:numPr>
          <w:ilvl w:val="0"/>
          <w:numId w:val="102"/>
        </w:numPr>
        <w:rPr>
          <w:rFonts w:ascii="Calibri" w:cs="Calibri" w:eastAsia="Calibri" w:hAnsi="Calibri"/>
          <w:sz w:val="18"/>
          <w:szCs w:val="18"/>
          <w:color w:val="auto"/>
        </w:rPr>
      </w:pPr>
      <w:r>
        <w:rPr>
          <w:rFonts w:ascii="Calibri" w:cs="Calibri" w:eastAsia="Calibri" w:hAnsi="Calibri"/>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2" w:lineRule="exact"/>
        <w:rPr>
          <w:rFonts w:ascii="Calibri" w:cs="Calibri" w:eastAsia="Calibri" w:hAnsi="Calibri"/>
          <w:sz w:val="18"/>
          <w:szCs w:val="18"/>
          <w:color w:val="auto"/>
        </w:rPr>
      </w:pPr>
    </w:p>
    <w:p>
      <w:pPr>
        <w:ind w:left="1420" w:right="860" w:hanging="360"/>
        <w:spacing w:after="0" w:line="264" w:lineRule="auto"/>
        <w:tabs>
          <w:tab w:leader="none" w:pos="1420" w:val="left"/>
        </w:tabs>
        <w:numPr>
          <w:ilvl w:val="1"/>
          <w:numId w:val="102"/>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0" w:lineRule="exact"/>
        <w:rPr>
          <w:rFonts w:ascii="Calibri" w:cs="Calibri" w:eastAsia="Calibri" w:hAnsi="Calibri"/>
          <w:sz w:val="18"/>
          <w:szCs w:val="18"/>
          <w:color w:val="auto"/>
        </w:rPr>
      </w:pPr>
    </w:p>
    <w:p>
      <w:pPr>
        <w:ind w:left="1420" w:right="680" w:hanging="360"/>
        <w:spacing w:after="0" w:line="264" w:lineRule="auto"/>
        <w:tabs>
          <w:tab w:leader="none" w:pos="1420" w:val="left"/>
        </w:tabs>
        <w:numPr>
          <w:ilvl w:val="1"/>
          <w:numId w:val="102"/>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0" w:lineRule="exact"/>
        <w:rPr>
          <w:rFonts w:ascii="Calibri" w:cs="Calibri" w:eastAsia="Calibri" w:hAnsi="Calibri"/>
          <w:sz w:val="18"/>
          <w:szCs w:val="18"/>
          <w:color w:val="auto"/>
        </w:rPr>
      </w:pPr>
    </w:p>
    <w:p>
      <w:pPr>
        <w:jc w:val="both"/>
        <w:ind w:left="1420" w:right="920" w:hanging="360"/>
        <w:spacing w:after="0" w:line="261" w:lineRule="auto"/>
        <w:tabs>
          <w:tab w:leader="none" w:pos="1420" w:val="left"/>
        </w:tabs>
        <w:numPr>
          <w:ilvl w:val="1"/>
          <w:numId w:val="102"/>
        </w:numPr>
        <w:rPr>
          <w:rFonts w:ascii="Calibri" w:cs="Calibri" w:eastAsia="Calibri" w:hAnsi="Calibri"/>
          <w:sz w:val="18"/>
          <w:szCs w:val="18"/>
          <w:color w:val="auto"/>
        </w:rPr>
      </w:pPr>
      <w:r>
        <w:rPr>
          <w:rFonts w:ascii="Calibri" w:cs="Calibri" w:eastAsia="Calibri" w:hAnsi="Calibri"/>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Calibri" w:cs="Calibri" w:eastAsia="Calibri" w:hAnsi="Calibri"/>
          <w:sz w:val="18"/>
          <w:szCs w:val="18"/>
          <w:color w:val="auto"/>
        </w:rPr>
      </w:pPr>
    </w:p>
    <w:p>
      <w:pPr>
        <w:ind w:left="1420" w:right="920" w:hanging="360"/>
        <w:spacing w:after="0" w:line="264" w:lineRule="auto"/>
        <w:tabs>
          <w:tab w:leader="none" w:pos="1420" w:val="left"/>
        </w:tabs>
        <w:numPr>
          <w:ilvl w:val="1"/>
          <w:numId w:val="102"/>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0" w:lineRule="exact"/>
        <w:rPr>
          <w:rFonts w:ascii="Calibri" w:cs="Calibri" w:eastAsia="Calibri" w:hAnsi="Calibri"/>
          <w:sz w:val="18"/>
          <w:szCs w:val="18"/>
          <w:color w:val="auto"/>
        </w:rPr>
      </w:pPr>
    </w:p>
    <w:p>
      <w:pPr>
        <w:ind w:left="700" w:right="1020" w:hanging="349"/>
        <w:spacing w:after="0" w:line="261" w:lineRule="auto"/>
        <w:tabs>
          <w:tab w:leader="none" w:pos="700" w:val="left"/>
        </w:tabs>
        <w:numPr>
          <w:ilvl w:val="0"/>
          <w:numId w:val="102"/>
        </w:numPr>
        <w:rPr>
          <w:rFonts w:ascii="Calibri" w:cs="Calibri" w:eastAsia="Calibri" w:hAnsi="Calibri"/>
          <w:sz w:val="18"/>
          <w:szCs w:val="18"/>
          <w:color w:val="auto"/>
        </w:rPr>
      </w:pPr>
      <w:r>
        <w:rPr>
          <w:rFonts w:ascii="Calibri" w:cs="Calibri" w:eastAsia="Calibri" w:hAnsi="Calibri"/>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2" w:lineRule="exact"/>
        <w:rPr>
          <w:rFonts w:ascii="Calibri" w:cs="Calibri" w:eastAsia="Calibri" w:hAnsi="Calibri"/>
          <w:sz w:val="18"/>
          <w:szCs w:val="18"/>
          <w:color w:val="auto"/>
        </w:rPr>
      </w:pPr>
    </w:p>
    <w:p>
      <w:pPr>
        <w:ind w:left="1420" w:right="880" w:hanging="360"/>
        <w:spacing w:after="0" w:line="261" w:lineRule="auto"/>
        <w:tabs>
          <w:tab w:leader="none" w:pos="1420" w:val="left"/>
        </w:tabs>
        <w:numPr>
          <w:ilvl w:val="1"/>
          <w:numId w:val="102"/>
        </w:numPr>
        <w:rPr>
          <w:rFonts w:ascii="Calibri" w:cs="Calibri" w:eastAsia="Calibri" w:hAnsi="Calibri"/>
          <w:sz w:val="18"/>
          <w:szCs w:val="18"/>
          <w:color w:val="auto"/>
        </w:rPr>
      </w:pPr>
      <w:r>
        <w:rPr>
          <w:rFonts w:ascii="Calibri" w:cs="Calibri" w:eastAsia="Calibri" w:hAnsi="Calibri"/>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Calibri" w:cs="Calibri" w:eastAsia="Calibri" w:hAnsi="Calibri"/>
          <w:sz w:val="18"/>
          <w:szCs w:val="18"/>
          <w:color w:val="auto"/>
        </w:rPr>
      </w:pPr>
    </w:p>
    <w:p>
      <w:pPr>
        <w:ind w:left="1420" w:right="720" w:hanging="360"/>
        <w:spacing w:after="0" w:line="252" w:lineRule="auto"/>
        <w:tabs>
          <w:tab w:leader="none" w:pos="1420" w:val="left"/>
        </w:tabs>
        <w:numPr>
          <w:ilvl w:val="1"/>
          <w:numId w:val="102"/>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p>
      <w:pPr>
        <w:ind w:left="40"/>
        <w:spacing w:after="0"/>
        <w:tabs>
          <w:tab w:leader="none" w:pos="6720" w:val="left"/>
        </w:tabs>
        <w:rPr>
          <w:sz w:val="20"/>
          <w:szCs w:val="20"/>
          <w:color w:val="auto"/>
        </w:rPr>
      </w:pPr>
      <w:r>
        <w:rPr>
          <w:rFonts w:ascii="Calibri" w:cs="Calibri" w:eastAsia="Calibri" w:hAnsi="Calibri"/>
          <w:sz w:val="18"/>
          <w:szCs w:val="18"/>
          <w:color w:val="auto"/>
        </w:rPr>
        <w:t>February 26, 2026</w:t>
      </w:r>
      <w:r>
        <w:rPr>
          <w:sz w:val="20"/>
          <w:szCs w:val="20"/>
          <w:color w:val="auto"/>
        </w:rPr>
        <w:tab/>
      </w:r>
      <w:r>
        <w:rPr>
          <w:rFonts w:ascii="Calibri" w:cs="Calibri" w:eastAsia="Calibri" w:hAnsi="Calibri"/>
          <w:sz w:val="17"/>
          <w:szCs w:val="17"/>
          <w:color w:val="auto"/>
        </w:rPr>
        <w:t>/s/ Robert T. Macalik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3438525</wp:posOffset>
            </wp:positionH>
            <wp:positionV relativeFrom="paragraph">
              <wp:posOffset>19050</wp:posOffset>
            </wp:positionV>
            <wp:extent cx="2633980" cy="127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
                      <a:extLst>
                        <a:ext uri="{28A0092B-C50C-407E-A947-70E740481C1C}"/>
                      </a:extLst>
                    </a:blip>
                    <a:srcRect/>
                    <a:stretch>
                      <a:fillRect/>
                    </a:stretch>
                  </pic:blipFill>
                  <pic:spPr bwMode="auto">
                    <a:xfrm>
                      <a:off x="0" y="0"/>
                      <a:ext cx="2633980" cy="12700"/>
                    </a:xfrm>
                    <a:prstGeom prst="rect">
                      <a:avLst/>
                    </a:prstGeom>
                    <a:noFill/>
                  </pic:spPr>
                </pic:pic>
              </a:graphicData>
            </a:graphic>
          </wp:anchor>
        </w:drawing>
      </w:r>
    </w:p>
    <w:p>
      <w:pPr>
        <w:spacing w:after="0" w:line="159" w:lineRule="exact"/>
        <w:rPr>
          <w:sz w:val="20"/>
          <w:szCs w:val="20"/>
          <w:color w:val="auto"/>
        </w:rPr>
      </w:pPr>
    </w:p>
    <w:p>
      <w:pPr>
        <w:ind w:left="6860"/>
        <w:spacing w:after="0"/>
        <w:rPr>
          <w:sz w:val="20"/>
          <w:szCs w:val="20"/>
          <w:color w:val="auto"/>
        </w:rPr>
      </w:pPr>
      <w:r>
        <w:rPr>
          <w:rFonts w:ascii="Calibri" w:cs="Calibri" w:eastAsia="Calibri" w:hAnsi="Calibri"/>
          <w:sz w:val="18"/>
          <w:szCs w:val="18"/>
          <w:color w:val="auto"/>
        </w:rPr>
        <w:t>Robert T. Macalik</w:t>
      </w:r>
    </w:p>
    <w:p>
      <w:pPr>
        <w:spacing w:after="0" w:line="49" w:lineRule="exact"/>
        <w:rPr>
          <w:sz w:val="20"/>
          <w:szCs w:val="20"/>
          <w:color w:val="auto"/>
        </w:rPr>
      </w:pPr>
    </w:p>
    <w:p>
      <w:pPr>
        <w:ind w:left="5660"/>
        <w:spacing w:after="0"/>
        <w:rPr>
          <w:sz w:val="20"/>
          <w:szCs w:val="20"/>
          <w:color w:val="auto"/>
        </w:rPr>
      </w:pPr>
      <w:r>
        <w:rPr>
          <w:rFonts w:ascii="Calibri" w:cs="Calibri" w:eastAsia="Calibri" w:hAnsi="Calibri"/>
          <w:sz w:val="18"/>
          <w:szCs w:val="18"/>
          <w:color w:val="auto"/>
        </w:rPr>
        <w:t>Executive Vice President and Chief Financial Officer</w:t>
      </w:r>
    </w:p>
    <w:p>
      <w:pPr>
        <w:spacing w:after="0" w:line="28" w:lineRule="exact"/>
        <w:rPr>
          <w:sz w:val="20"/>
          <w:szCs w:val="20"/>
          <w:color w:val="auto"/>
        </w:rPr>
      </w:pPr>
    </w:p>
    <w:p>
      <w:pPr>
        <w:ind w:left="6520"/>
        <w:spacing w:after="0"/>
        <w:rPr>
          <w:sz w:val="20"/>
          <w:szCs w:val="20"/>
          <w:color w:val="auto"/>
        </w:rPr>
      </w:pPr>
      <w:r>
        <w:rPr>
          <w:rFonts w:ascii="Calibri" w:cs="Calibri" w:eastAsia="Calibri" w:hAnsi="Calibri"/>
          <w:sz w:val="18"/>
          <w:szCs w:val="18"/>
          <w:color w:val="auto"/>
        </w:rPr>
        <w:t>(Principal Financial Officer)</w:t>
      </w:r>
    </w:p>
    <w:p>
      <w:pPr>
        <w:sectPr>
          <w:pgSz w:w="11880" w:h="15480" w:orient="portrait"/>
          <w:cols w:equalWidth="0" w:num="1">
            <w:col w:w="10240"/>
          </w:cols>
          <w:pgMar w:left="1160" w:top="498"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9420"/>
        <w:spacing w:after="0"/>
        <w:rPr>
          <w:sz w:val="20"/>
          <w:szCs w:val="20"/>
          <w:color w:val="auto"/>
        </w:rPr>
      </w:pPr>
      <w:r>
        <w:rPr>
          <w:rFonts w:ascii="Calibri" w:cs="Calibri" w:eastAsia="Calibri" w:hAnsi="Calibri"/>
          <w:sz w:val="17"/>
          <w:szCs w:val="17"/>
          <w:color w:val="auto"/>
        </w:rPr>
        <w:t>FORM 10-K</w:t>
      </w:r>
    </w:p>
    <w:p>
      <w:pPr>
        <w:sectPr>
          <w:pgSz w:w="11880" w:h="15480" w:orient="portrait"/>
          <w:cols w:equalWidth="0" w:num="1">
            <w:col w:w="10240"/>
          </w:cols>
          <w:pgMar w:left="1160" w:top="498" w:right="480" w:bottom="0" w:gutter="0" w:footer="0" w:header="0"/>
          <w:type w:val="continuous"/>
        </w:sectPr>
      </w:pPr>
    </w:p>
    <w:bookmarkStart w:id="181" w:name="page182"/>
    <w:bookmarkEnd w:id="181"/>
    <w:p>
      <w:pPr>
        <w:ind w:left="720"/>
        <w:spacing w:after="0"/>
        <w:rPr>
          <w:sz w:val="20"/>
          <w:szCs w:val="20"/>
          <w:color w:val="auto"/>
        </w:rPr>
      </w:pPr>
      <w:r>
        <w:rPr>
          <w:rFonts w:ascii="Calibri" w:cs="Calibri" w:eastAsia="Calibri" w:hAnsi="Calibri"/>
          <w:sz w:val="18"/>
          <w:szCs w:val="18"/>
          <w:color w:val="auto"/>
        </w:rPr>
        <w:t>MATADOR RESOURCES COMPANY</w:t>
      </w:r>
    </w:p>
    <w:p>
      <w:pPr>
        <w:spacing w:after="0" w:line="235" w:lineRule="exact"/>
        <w:rPr>
          <w:sz w:val="20"/>
          <w:szCs w:val="20"/>
          <w:color w:val="auto"/>
        </w:rPr>
      </w:pPr>
    </w:p>
    <w:p>
      <w:pPr>
        <w:ind w:left="720"/>
        <w:spacing w:after="0"/>
        <w:rPr>
          <w:sz w:val="20"/>
          <w:szCs w:val="20"/>
          <w:color w:val="auto"/>
        </w:rPr>
      </w:pPr>
      <w:r>
        <w:rPr>
          <w:rFonts w:ascii="Verdana" w:cs="Verdana" w:eastAsia="Verdana" w:hAnsi="Verdana"/>
          <w:sz w:val="20"/>
          <w:szCs w:val="20"/>
          <w:color w:val="214E93"/>
        </w:rPr>
        <w:t>Exhibit 32.1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426720</wp:posOffset>
                </wp:positionH>
                <wp:positionV relativeFrom="paragraph">
                  <wp:posOffset>17145</wp:posOffset>
                </wp:positionV>
                <wp:extent cx="6812280" cy="0"/>
                <wp:wrapNone/>
                <wp:docPr id="359" name="Shape 3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9" o:spid="_x0000_s13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6pt,1.35pt" to="570pt,1.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426720</wp:posOffset>
                </wp:positionH>
                <wp:positionV relativeFrom="paragraph">
                  <wp:posOffset>17145</wp:posOffset>
                </wp:positionV>
                <wp:extent cx="6812280" cy="0"/>
                <wp:wrapNone/>
                <wp:docPr id="360" name="Shape 3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60" o:spid="_x0000_s13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6pt,1.35pt" to="570pt,1.35pt" o:allowincell="f" strokecolor="#214E93" strokeweight="1pt"/>
            </w:pict>
          </mc:Fallback>
        </mc:AlternateContent>
      </w:r>
    </w:p>
    <w:p>
      <w:pPr>
        <w:spacing w:after="0" w:line="134" w:lineRule="exact"/>
        <w:rPr>
          <w:sz w:val="20"/>
          <w:szCs w:val="20"/>
          <w:color w:val="auto"/>
        </w:rPr>
      </w:pPr>
    </w:p>
    <w:p>
      <w:pPr>
        <w:ind w:left="680"/>
        <w:spacing w:after="0"/>
        <w:rPr>
          <w:sz w:val="20"/>
          <w:szCs w:val="20"/>
          <w:color w:val="auto"/>
        </w:rPr>
      </w:pPr>
      <w:r>
        <w:rPr>
          <w:rFonts w:ascii="Verdana" w:cs="Verdana" w:eastAsia="Verdana" w:hAnsi="Verdana"/>
          <w:sz w:val="20"/>
          <w:szCs w:val="20"/>
          <w:color w:val="214E93"/>
        </w:rPr>
        <w:t>CERTIFICATION PURSUANT TO 18 U.S.C. SECTION 1350,</w:t>
      </w:r>
    </w:p>
    <w:p>
      <w:pPr>
        <w:ind w:left="680"/>
        <w:spacing w:after="0"/>
        <w:rPr>
          <w:sz w:val="20"/>
          <w:szCs w:val="20"/>
          <w:color w:val="auto"/>
        </w:rPr>
      </w:pPr>
      <w:r>
        <w:rPr>
          <w:rFonts w:ascii="Verdana" w:cs="Verdana" w:eastAsia="Verdana" w:hAnsi="Verdana"/>
          <w:sz w:val="20"/>
          <w:szCs w:val="20"/>
          <w:color w:val="214E93"/>
        </w:rPr>
        <w:t>AS ADOPTED PURSUANT TO SECTION 906 OF THE SARBANES-OXLEY ACT OF 2002</w:t>
      </w:r>
    </w:p>
    <w:p>
      <w:pPr>
        <w:spacing w:after="0" w:line="209" w:lineRule="exact"/>
        <w:rPr>
          <w:sz w:val="20"/>
          <w:szCs w:val="20"/>
          <w:color w:val="auto"/>
        </w:rPr>
      </w:pPr>
    </w:p>
    <w:p>
      <w:pPr>
        <w:ind w:left="680" w:right="120" w:firstLine="241"/>
        <w:spacing w:after="0" w:line="264" w:lineRule="auto"/>
        <w:rPr>
          <w:sz w:val="20"/>
          <w:szCs w:val="20"/>
          <w:color w:val="auto"/>
        </w:rPr>
      </w:pPr>
      <w:r>
        <w:rPr>
          <w:rFonts w:ascii="Calibri" w:cs="Calibri" w:eastAsia="Calibri" w:hAnsi="Calibri"/>
          <w:sz w:val="18"/>
          <w:szCs w:val="18"/>
          <w:color w:val="auto"/>
        </w:rPr>
        <w:t>In connection with the annual report of Matador Resources Company (the “Company”) on Form 10-K for the year ended December 31, 2024 as filed with the Securities and Exchange Commission on the date hereof (the “Form 10-K”), I, Brian J. Willey, Executive Vice President and Chief Financial Officer of the Company, hereby certify, pursuant to 18 U.S.C. § 1350, as adopted pursuant to § 906 of the Sarbanes-Oxley Act of 2002, that to the best of my knowledge:</w:t>
      </w:r>
    </w:p>
    <w:p>
      <w:pPr>
        <w:spacing w:after="0" w:line="216" w:lineRule="exact"/>
        <w:rPr>
          <w:sz w:val="20"/>
          <w:szCs w:val="20"/>
          <w:color w:val="auto"/>
        </w:rPr>
      </w:pPr>
    </w:p>
    <w:p>
      <w:pPr>
        <w:ind w:left="1380" w:hanging="349"/>
        <w:spacing w:after="0"/>
        <w:tabs>
          <w:tab w:leader="none" w:pos="1380" w:val="left"/>
        </w:tabs>
        <w:numPr>
          <w:ilvl w:val="0"/>
          <w:numId w:val="103"/>
        </w:numPr>
        <w:rPr>
          <w:rFonts w:ascii="Calibri" w:cs="Calibri" w:eastAsia="Calibri" w:hAnsi="Calibri"/>
          <w:sz w:val="17"/>
          <w:szCs w:val="17"/>
          <w:color w:val="auto"/>
        </w:rPr>
      </w:pPr>
      <w:r>
        <w:rPr>
          <w:rFonts w:ascii="Calibri" w:cs="Calibri" w:eastAsia="Calibri" w:hAnsi="Calibri"/>
          <w:sz w:val="17"/>
          <w:szCs w:val="17"/>
          <w:color w:val="auto"/>
        </w:rPr>
        <w:t>The Form 10-K fully complies with the requirements of Section 13(a) or 15(d) of the Securities Exchange Act of 1934; and</w:t>
      </w:r>
    </w:p>
    <w:p>
      <w:pPr>
        <w:spacing w:after="0" w:line="240" w:lineRule="exact"/>
        <w:rPr>
          <w:rFonts w:ascii="Calibri" w:cs="Calibri" w:eastAsia="Calibri" w:hAnsi="Calibri"/>
          <w:sz w:val="17"/>
          <w:szCs w:val="17"/>
          <w:color w:val="auto"/>
        </w:rPr>
      </w:pPr>
    </w:p>
    <w:p>
      <w:pPr>
        <w:ind w:left="1380" w:right="40" w:hanging="349"/>
        <w:spacing w:after="0" w:line="252" w:lineRule="auto"/>
        <w:tabs>
          <w:tab w:leader="none" w:pos="1380" w:val="left"/>
        </w:tabs>
        <w:numPr>
          <w:ilvl w:val="0"/>
          <w:numId w:val="103"/>
        </w:numPr>
        <w:rPr>
          <w:rFonts w:ascii="Calibri" w:cs="Calibri" w:eastAsia="Calibri" w:hAnsi="Calibri"/>
          <w:sz w:val="18"/>
          <w:szCs w:val="18"/>
          <w:color w:val="auto"/>
        </w:rPr>
      </w:pPr>
      <w:r>
        <w:rPr>
          <w:rFonts w:ascii="Calibri" w:cs="Calibri" w:eastAsia="Calibri" w:hAnsi="Calibri"/>
          <w:sz w:val="18"/>
          <w:szCs w:val="18"/>
          <w:color w:val="auto"/>
        </w:rPr>
        <w:t>The information contained in the Form 10-K fairly presents, in all material respects, the financial condition and results of operations of the Company.</w:t>
      </w:r>
    </w:p>
    <w:p>
      <w:pPr>
        <w:spacing w:after="0" w:line="380" w:lineRule="exact"/>
        <w:rPr>
          <w:sz w:val="20"/>
          <w:szCs w:val="20"/>
          <w:color w:val="auto"/>
        </w:rPr>
      </w:pPr>
    </w:p>
    <w:p>
      <w:pPr>
        <w:ind w:left="720"/>
        <w:spacing w:after="0"/>
        <w:tabs>
          <w:tab w:leader="none" w:pos="7360" w:val="left"/>
        </w:tabs>
        <w:rPr>
          <w:sz w:val="20"/>
          <w:szCs w:val="20"/>
          <w:color w:val="auto"/>
        </w:rPr>
      </w:pPr>
      <w:r>
        <w:rPr>
          <w:rFonts w:ascii="Calibri" w:cs="Calibri" w:eastAsia="Calibri" w:hAnsi="Calibri"/>
          <w:sz w:val="18"/>
          <w:szCs w:val="18"/>
          <w:color w:val="auto"/>
        </w:rPr>
        <w:t>February 26, 2026</w:t>
      </w:r>
      <w:r>
        <w:rPr>
          <w:sz w:val="20"/>
          <w:szCs w:val="20"/>
          <w:color w:val="auto"/>
        </w:rPr>
        <w:tab/>
      </w:r>
      <w:r>
        <w:rPr>
          <w:rFonts w:ascii="Calibri" w:cs="Calibri" w:eastAsia="Calibri" w:hAnsi="Calibri"/>
          <w:sz w:val="17"/>
          <w:szCs w:val="17"/>
          <w:color w:val="auto"/>
        </w:rPr>
        <w:t>/s/ Joseph Wm. Foran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3870325</wp:posOffset>
            </wp:positionH>
            <wp:positionV relativeFrom="paragraph">
              <wp:posOffset>33020</wp:posOffset>
            </wp:positionV>
            <wp:extent cx="2633980" cy="127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
                      <a:extLst>
                        <a:ext uri="{28A0092B-C50C-407E-A947-70E740481C1C}"/>
                      </a:extLst>
                    </a:blip>
                    <a:srcRect/>
                    <a:stretch>
                      <a:fillRect/>
                    </a:stretch>
                  </pic:blipFill>
                  <pic:spPr bwMode="auto">
                    <a:xfrm>
                      <a:off x="0" y="0"/>
                      <a:ext cx="2633980" cy="12700"/>
                    </a:xfrm>
                    <a:prstGeom prst="rect">
                      <a:avLst/>
                    </a:prstGeom>
                    <a:noFill/>
                  </pic:spPr>
                </pic:pic>
              </a:graphicData>
            </a:graphic>
          </wp:anchor>
        </w:drawing>
      </w:r>
    </w:p>
    <w:p>
      <w:pPr>
        <w:spacing w:after="0" w:line="181" w:lineRule="exact"/>
        <w:rPr>
          <w:sz w:val="20"/>
          <w:szCs w:val="20"/>
          <w:color w:val="auto"/>
        </w:rPr>
      </w:pPr>
    </w:p>
    <w:p>
      <w:pPr>
        <w:ind w:left="7500"/>
        <w:spacing w:after="0"/>
        <w:rPr>
          <w:sz w:val="20"/>
          <w:szCs w:val="20"/>
          <w:color w:val="auto"/>
        </w:rPr>
      </w:pPr>
      <w:r>
        <w:rPr>
          <w:rFonts w:ascii="Calibri" w:cs="Calibri" w:eastAsia="Calibri" w:hAnsi="Calibri"/>
          <w:sz w:val="18"/>
          <w:szCs w:val="18"/>
          <w:color w:val="auto"/>
        </w:rPr>
        <w:t>Joseph Wm. Foran</w:t>
      </w:r>
    </w:p>
    <w:p>
      <w:pPr>
        <w:spacing w:after="0" w:line="49" w:lineRule="exact"/>
        <w:rPr>
          <w:sz w:val="20"/>
          <w:szCs w:val="20"/>
          <w:color w:val="auto"/>
        </w:rPr>
      </w:pPr>
    </w:p>
    <w:p>
      <w:pPr>
        <w:ind w:left="6840"/>
        <w:spacing w:after="0"/>
        <w:rPr>
          <w:sz w:val="20"/>
          <w:szCs w:val="20"/>
          <w:color w:val="auto"/>
        </w:rPr>
      </w:pPr>
      <w:r>
        <w:rPr>
          <w:rFonts w:ascii="Calibri" w:cs="Calibri" w:eastAsia="Calibri" w:hAnsi="Calibri"/>
          <w:sz w:val="18"/>
          <w:szCs w:val="18"/>
          <w:color w:val="auto"/>
        </w:rPr>
        <w:t>Chairman and Chief Executive Officer</w:t>
      </w:r>
    </w:p>
    <w:p>
      <w:pPr>
        <w:spacing w:after="0" w:line="28" w:lineRule="exact"/>
        <w:rPr>
          <w:sz w:val="20"/>
          <w:szCs w:val="20"/>
          <w:color w:val="auto"/>
        </w:rPr>
      </w:pPr>
    </w:p>
    <w:p>
      <w:pPr>
        <w:ind w:left="7180"/>
        <w:spacing w:after="0"/>
        <w:rPr>
          <w:sz w:val="20"/>
          <w:szCs w:val="20"/>
          <w:color w:val="auto"/>
        </w:rPr>
      </w:pPr>
      <w:r>
        <w:rPr>
          <w:rFonts w:ascii="Calibri" w:cs="Calibri" w:eastAsia="Calibri" w:hAnsi="Calibri"/>
          <w:sz w:val="18"/>
          <w:szCs w:val="18"/>
          <w:color w:val="auto"/>
        </w:rPr>
        <w:t>(Principal Executive Officer)</w:t>
      </w:r>
    </w:p>
    <w:p>
      <w:pPr>
        <w:sectPr>
          <w:pgSz w:w="11880" w:h="15480" w:orient="portrait"/>
          <w:cols w:equalWidth="0" w:num="1">
            <w:col w:w="10060"/>
          </w:cols>
          <w:pgMar w:left="480" w:top="498"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alibri" w:cs="Calibri" w:eastAsia="Calibri" w:hAnsi="Calibri"/>
          <w:sz w:val="17"/>
          <w:szCs w:val="17"/>
          <w:color w:val="auto"/>
        </w:rPr>
        <w:t>FORM 10-K</w:t>
      </w:r>
    </w:p>
    <w:p>
      <w:pPr>
        <w:sectPr>
          <w:pgSz w:w="11880" w:h="15480" w:orient="portrait"/>
          <w:cols w:equalWidth="0" w:num="1">
            <w:col w:w="10060"/>
          </w:cols>
          <w:pgMar w:left="480" w:top="498" w:right="1340" w:bottom="0" w:gutter="0" w:footer="0" w:header="0"/>
          <w:type w:val="continuous"/>
        </w:sectPr>
      </w:pPr>
    </w:p>
    <w:bookmarkStart w:id="182" w:name="page183"/>
    <w:bookmarkEnd w:id="182"/>
    <w:p>
      <w:pPr>
        <w:jc w:val="right"/>
        <w:ind w:right="720"/>
        <w:spacing w:after="0"/>
        <w:rPr>
          <w:sz w:val="20"/>
          <w:szCs w:val="20"/>
          <w:color w:val="auto"/>
        </w:rPr>
      </w:pPr>
      <w:r>
        <w:rPr>
          <w:rFonts w:ascii="Calibri" w:cs="Calibri" w:eastAsia="Calibri" w:hAnsi="Calibri"/>
          <w:sz w:val="18"/>
          <w:szCs w:val="18"/>
          <w:color w:val="auto"/>
        </w:rPr>
        <w:t>2025 ANNUAL REPORT</w:t>
      </w:r>
    </w:p>
    <w:p>
      <w:pPr>
        <w:spacing w:after="0" w:line="235" w:lineRule="exact"/>
        <w:rPr>
          <w:sz w:val="20"/>
          <w:szCs w:val="20"/>
          <w:color w:val="auto"/>
        </w:rPr>
      </w:pPr>
    </w:p>
    <w:p>
      <w:pPr>
        <w:ind w:left="40"/>
        <w:spacing w:after="0"/>
        <w:rPr>
          <w:sz w:val="20"/>
          <w:szCs w:val="20"/>
          <w:color w:val="auto"/>
        </w:rPr>
      </w:pPr>
      <w:r>
        <w:rPr>
          <w:rFonts w:ascii="Verdana" w:cs="Verdana" w:eastAsia="Verdana" w:hAnsi="Verdana"/>
          <w:sz w:val="20"/>
          <w:szCs w:val="20"/>
          <w:color w:val="214E93"/>
        </w:rPr>
        <w:t>Exhibit 32.2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17145</wp:posOffset>
                </wp:positionV>
                <wp:extent cx="6811645" cy="0"/>
                <wp:wrapNone/>
                <wp:docPr id="362" name="Shape 3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62" o:spid="_x0000_s13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1.35pt" to="478.35pt,1.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17145</wp:posOffset>
                </wp:positionV>
                <wp:extent cx="6811645" cy="0"/>
                <wp:wrapNone/>
                <wp:docPr id="363" name="Shape 3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63" o:spid="_x0000_s13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1.35pt" to="478.35pt,1.35pt" o:allowincell="f" strokecolor="#214E93" strokeweight="1pt"/>
            </w:pict>
          </mc:Fallback>
        </mc:AlternateContent>
      </w:r>
    </w:p>
    <w:p>
      <w:pPr>
        <w:spacing w:after="0" w:line="134" w:lineRule="exact"/>
        <w:rPr>
          <w:sz w:val="20"/>
          <w:szCs w:val="20"/>
          <w:color w:val="auto"/>
        </w:rPr>
      </w:pPr>
    </w:p>
    <w:p>
      <w:pPr>
        <w:spacing w:after="0"/>
        <w:rPr>
          <w:sz w:val="20"/>
          <w:szCs w:val="20"/>
          <w:color w:val="auto"/>
        </w:rPr>
      </w:pPr>
      <w:r>
        <w:rPr>
          <w:rFonts w:ascii="Verdana" w:cs="Verdana" w:eastAsia="Verdana" w:hAnsi="Verdana"/>
          <w:sz w:val="20"/>
          <w:szCs w:val="20"/>
          <w:color w:val="214E93"/>
        </w:rPr>
        <w:t>CERTIFICATION PURSUANT TO 18 U.S.C. SECTION 1350,</w:t>
      </w:r>
    </w:p>
    <w:p>
      <w:pPr>
        <w:spacing w:after="0"/>
        <w:rPr>
          <w:sz w:val="20"/>
          <w:szCs w:val="20"/>
          <w:color w:val="auto"/>
        </w:rPr>
      </w:pPr>
      <w:r>
        <w:rPr>
          <w:rFonts w:ascii="Verdana" w:cs="Verdana" w:eastAsia="Verdana" w:hAnsi="Verdana"/>
          <w:sz w:val="20"/>
          <w:szCs w:val="20"/>
          <w:color w:val="214E93"/>
        </w:rPr>
        <w:t>AS ADOPTED PURSUANT TO SECTION 906 OF THE SARBANES-OXLEY ACT OF 2002</w:t>
      </w:r>
    </w:p>
    <w:p>
      <w:pPr>
        <w:spacing w:after="0" w:line="209" w:lineRule="exact"/>
        <w:rPr>
          <w:sz w:val="20"/>
          <w:szCs w:val="20"/>
          <w:color w:val="auto"/>
        </w:rPr>
      </w:pPr>
    </w:p>
    <w:p>
      <w:pPr>
        <w:ind w:right="980" w:firstLine="241"/>
        <w:spacing w:after="0" w:line="264" w:lineRule="auto"/>
        <w:rPr>
          <w:sz w:val="20"/>
          <w:szCs w:val="20"/>
          <w:color w:val="auto"/>
        </w:rPr>
      </w:pPr>
      <w:r>
        <w:rPr>
          <w:rFonts w:ascii="Calibri" w:cs="Calibri" w:eastAsia="Calibri" w:hAnsi="Calibri"/>
          <w:sz w:val="18"/>
          <w:szCs w:val="18"/>
          <w:color w:val="auto"/>
        </w:rPr>
        <w:t>In connection with the annual report of Matador Resources Company (the “Company”) on Form 10-K for the year ended December 31, 2024 as filed with the Securities and Exchange Commission on the date hereof (the “Form 10-K”), I, Brian J. Willey, Executive Vice President and Chief Financial Officer of the Company, hereby certify, pursuant to 18 U.S.C. § 1350, as adopted pursuant to § 906 of the Sarbanes-Oxley Act of 2002, that to the best of my knowledge:</w:t>
      </w:r>
    </w:p>
    <w:p>
      <w:pPr>
        <w:spacing w:after="0" w:line="204" w:lineRule="exact"/>
        <w:rPr>
          <w:sz w:val="20"/>
          <w:szCs w:val="20"/>
          <w:color w:val="auto"/>
        </w:rPr>
      </w:pPr>
    </w:p>
    <w:p>
      <w:pPr>
        <w:ind w:left="700" w:hanging="349"/>
        <w:spacing w:after="0"/>
        <w:tabs>
          <w:tab w:leader="none" w:pos="700" w:val="left"/>
        </w:tabs>
        <w:numPr>
          <w:ilvl w:val="0"/>
          <w:numId w:val="104"/>
        </w:numPr>
        <w:rPr>
          <w:rFonts w:ascii="Calibri" w:cs="Calibri" w:eastAsia="Calibri" w:hAnsi="Calibri"/>
          <w:sz w:val="18"/>
          <w:szCs w:val="18"/>
          <w:color w:val="auto"/>
        </w:rPr>
      </w:pPr>
      <w:r>
        <w:rPr>
          <w:rFonts w:ascii="Calibri" w:cs="Calibri" w:eastAsia="Calibri" w:hAnsi="Calibri"/>
          <w:sz w:val="18"/>
          <w:szCs w:val="18"/>
          <w:color w:val="auto"/>
        </w:rPr>
        <w:t>The Form 10-K fully complies with the requirements of Section 13(a) or 15(d) of the Securities Exchange Act of 1934; and</w:t>
      </w:r>
    </w:p>
    <w:p>
      <w:pPr>
        <w:spacing w:after="0" w:line="240" w:lineRule="exact"/>
        <w:rPr>
          <w:rFonts w:ascii="Calibri" w:cs="Calibri" w:eastAsia="Calibri" w:hAnsi="Calibri"/>
          <w:sz w:val="18"/>
          <w:szCs w:val="18"/>
          <w:color w:val="auto"/>
        </w:rPr>
      </w:pPr>
    </w:p>
    <w:p>
      <w:pPr>
        <w:ind w:left="700" w:right="900" w:hanging="349"/>
        <w:spacing w:after="0" w:line="252" w:lineRule="auto"/>
        <w:tabs>
          <w:tab w:leader="none" w:pos="700" w:val="left"/>
        </w:tabs>
        <w:numPr>
          <w:ilvl w:val="0"/>
          <w:numId w:val="104"/>
        </w:numPr>
        <w:rPr>
          <w:rFonts w:ascii="Calibri" w:cs="Calibri" w:eastAsia="Calibri" w:hAnsi="Calibri"/>
          <w:sz w:val="18"/>
          <w:szCs w:val="18"/>
          <w:color w:val="auto"/>
        </w:rPr>
      </w:pPr>
      <w:r>
        <w:rPr>
          <w:rFonts w:ascii="Calibri" w:cs="Calibri" w:eastAsia="Calibri" w:hAnsi="Calibri"/>
          <w:sz w:val="18"/>
          <w:szCs w:val="18"/>
          <w:color w:val="auto"/>
        </w:rPr>
        <w:t>The information contained in the Form 10-K fairly presents, in all material respects, the financial condition and results of operations of the Company.</w:t>
      </w:r>
    </w:p>
    <w:p>
      <w:pPr>
        <w:spacing w:after="0" w:line="380" w:lineRule="exact"/>
        <w:rPr>
          <w:sz w:val="20"/>
          <w:szCs w:val="20"/>
          <w:color w:val="auto"/>
        </w:rPr>
      </w:pPr>
    </w:p>
    <w:p>
      <w:pPr>
        <w:ind w:left="40"/>
        <w:spacing w:after="0"/>
        <w:tabs>
          <w:tab w:leader="none" w:pos="6720" w:val="left"/>
        </w:tabs>
        <w:rPr>
          <w:sz w:val="20"/>
          <w:szCs w:val="20"/>
          <w:color w:val="auto"/>
        </w:rPr>
      </w:pPr>
      <w:r>
        <w:rPr>
          <w:rFonts w:ascii="Calibri" w:cs="Calibri" w:eastAsia="Calibri" w:hAnsi="Calibri"/>
          <w:sz w:val="18"/>
          <w:szCs w:val="18"/>
          <w:color w:val="auto"/>
        </w:rPr>
        <w:t>February 26, 2026</w:t>
      </w:r>
      <w:r>
        <w:rPr>
          <w:sz w:val="20"/>
          <w:szCs w:val="20"/>
          <w:color w:val="auto"/>
        </w:rPr>
        <w:tab/>
      </w:r>
      <w:r>
        <w:rPr>
          <w:rFonts w:ascii="Calibri" w:cs="Calibri" w:eastAsia="Calibri" w:hAnsi="Calibri"/>
          <w:sz w:val="17"/>
          <w:szCs w:val="17"/>
          <w:color w:val="auto"/>
        </w:rPr>
        <w:t>/s/ Robert T. Macalik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3438525</wp:posOffset>
            </wp:positionH>
            <wp:positionV relativeFrom="paragraph">
              <wp:posOffset>33020</wp:posOffset>
            </wp:positionV>
            <wp:extent cx="2633980" cy="127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
                      <a:extLst>
                        <a:ext uri="{28A0092B-C50C-407E-A947-70E740481C1C}"/>
                      </a:extLst>
                    </a:blip>
                    <a:srcRect/>
                    <a:stretch>
                      <a:fillRect/>
                    </a:stretch>
                  </pic:blipFill>
                  <pic:spPr bwMode="auto">
                    <a:xfrm>
                      <a:off x="0" y="0"/>
                      <a:ext cx="2633980" cy="12700"/>
                    </a:xfrm>
                    <a:prstGeom prst="rect">
                      <a:avLst/>
                    </a:prstGeom>
                    <a:noFill/>
                  </pic:spPr>
                </pic:pic>
              </a:graphicData>
            </a:graphic>
          </wp:anchor>
        </w:drawing>
      </w:r>
    </w:p>
    <w:p>
      <w:pPr>
        <w:spacing w:after="0" w:line="181" w:lineRule="exact"/>
        <w:rPr>
          <w:sz w:val="20"/>
          <w:szCs w:val="20"/>
          <w:color w:val="auto"/>
        </w:rPr>
      </w:pPr>
    </w:p>
    <w:p>
      <w:pPr>
        <w:ind w:left="6860"/>
        <w:spacing w:after="0"/>
        <w:rPr>
          <w:sz w:val="20"/>
          <w:szCs w:val="20"/>
          <w:color w:val="auto"/>
        </w:rPr>
      </w:pPr>
      <w:r>
        <w:rPr>
          <w:rFonts w:ascii="Calibri" w:cs="Calibri" w:eastAsia="Calibri" w:hAnsi="Calibri"/>
          <w:sz w:val="18"/>
          <w:szCs w:val="18"/>
          <w:color w:val="auto"/>
        </w:rPr>
        <w:t>Robert T. Macalik</w:t>
      </w:r>
    </w:p>
    <w:p>
      <w:pPr>
        <w:spacing w:after="0" w:line="49" w:lineRule="exact"/>
        <w:rPr>
          <w:sz w:val="20"/>
          <w:szCs w:val="20"/>
          <w:color w:val="auto"/>
        </w:rPr>
      </w:pPr>
    </w:p>
    <w:p>
      <w:pPr>
        <w:ind w:left="5660"/>
        <w:spacing w:after="0"/>
        <w:rPr>
          <w:sz w:val="20"/>
          <w:szCs w:val="20"/>
          <w:color w:val="auto"/>
        </w:rPr>
      </w:pPr>
      <w:r>
        <w:rPr>
          <w:rFonts w:ascii="Calibri" w:cs="Calibri" w:eastAsia="Calibri" w:hAnsi="Calibri"/>
          <w:sz w:val="18"/>
          <w:szCs w:val="18"/>
          <w:color w:val="auto"/>
        </w:rPr>
        <w:t>Executive Vice President and Chief Financial Officer</w:t>
      </w:r>
    </w:p>
    <w:p>
      <w:pPr>
        <w:spacing w:after="0" w:line="28" w:lineRule="exact"/>
        <w:rPr>
          <w:sz w:val="20"/>
          <w:szCs w:val="20"/>
          <w:color w:val="auto"/>
        </w:rPr>
      </w:pPr>
    </w:p>
    <w:p>
      <w:pPr>
        <w:ind w:left="6520"/>
        <w:spacing w:after="0"/>
        <w:rPr>
          <w:sz w:val="20"/>
          <w:szCs w:val="20"/>
          <w:color w:val="auto"/>
        </w:rPr>
      </w:pPr>
      <w:r>
        <w:rPr>
          <w:rFonts w:ascii="Calibri" w:cs="Calibri" w:eastAsia="Calibri" w:hAnsi="Calibri"/>
          <w:sz w:val="18"/>
          <w:szCs w:val="18"/>
          <w:color w:val="auto"/>
        </w:rPr>
        <w:t>(Principal Financial Officer)</w:t>
      </w:r>
    </w:p>
    <w:p>
      <w:pPr>
        <w:sectPr>
          <w:pgSz w:w="11880" w:h="15480" w:orient="portrait"/>
          <w:cols w:equalWidth="0" w:num="1">
            <w:col w:w="10240"/>
          </w:cols>
          <w:pgMar w:left="1160" w:top="498"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9420"/>
        <w:spacing w:after="0"/>
        <w:rPr>
          <w:sz w:val="20"/>
          <w:szCs w:val="20"/>
          <w:color w:val="auto"/>
        </w:rPr>
      </w:pPr>
      <w:r>
        <w:rPr>
          <w:rFonts w:ascii="Calibri" w:cs="Calibri" w:eastAsia="Calibri" w:hAnsi="Calibri"/>
          <w:sz w:val="17"/>
          <w:szCs w:val="17"/>
          <w:color w:val="auto"/>
        </w:rPr>
        <w:t>FORM 10-K</w:t>
      </w:r>
    </w:p>
    <w:p>
      <w:pPr>
        <w:sectPr>
          <w:pgSz w:w="11880" w:h="15480" w:orient="portrait"/>
          <w:cols w:equalWidth="0" w:num="1">
            <w:col w:w="10240"/>
          </w:cols>
          <w:pgMar w:left="1160" w:top="498" w:right="480" w:bottom="0" w:gutter="0" w:footer="0" w:header="0"/>
          <w:type w:val="continuous"/>
        </w:sectPr>
      </w:pPr>
    </w:p>
    <w:bookmarkStart w:id="183" w:name="page184"/>
    <w:bookmarkEnd w:id="183"/>
    <w:p>
      <w:pPr>
        <w:ind w:left="720"/>
        <w:spacing w:after="0"/>
        <w:rPr>
          <w:sz w:val="20"/>
          <w:szCs w:val="20"/>
          <w:color w:val="auto"/>
        </w:rPr>
      </w:pPr>
      <w:r>
        <w:rPr>
          <w:rFonts w:ascii="Calibri" w:cs="Calibri" w:eastAsia="Calibri" w:hAnsi="Calibri"/>
          <w:sz w:val="18"/>
          <w:szCs w:val="18"/>
          <w:color w:val="auto"/>
        </w:rPr>
        <w:t>MATADOR RESOURCES COMPANY</w:t>
      </w:r>
    </w:p>
    <w:p>
      <w:pPr>
        <w:spacing w:after="0" w:line="235" w:lineRule="exact"/>
        <w:rPr>
          <w:sz w:val="20"/>
          <w:szCs w:val="20"/>
          <w:color w:val="auto"/>
        </w:rPr>
      </w:pPr>
    </w:p>
    <w:p>
      <w:pPr>
        <w:ind w:left="720"/>
        <w:spacing w:after="0"/>
        <w:rPr>
          <w:sz w:val="20"/>
          <w:szCs w:val="20"/>
          <w:color w:val="auto"/>
        </w:rPr>
      </w:pPr>
      <w:r>
        <w:rPr>
          <w:rFonts w:ascii="Verdana" w:cs="Verdana" w:eastAsia="Verdana" w:hAnsi="Verdana"/>
          <w:sz w:val="20"/>
          <w:szCs w:val="20"/>
          <w:color w:val="214E93"/>
        </w:rPr>
        <w:t>Additional Financial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426720</wp:posOffset>
                </wp:positionH>
                <wp:positionV relativeFrom="paragraph">
                  <wp:posOffset>17145</wp:posOffset>
                </wp:positionV>
                <wp:extent cx="6812280" cy="0"/>
                <wp:wrapNone/>
                <wp:docPr id="365" name="Shape 3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65" o:spid="_x0000_s13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6pt,1.35pt" to="570pt,1.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426720</wp:posOffset>
                </wp:positionH>
                <wp:positionV relativeFrom="paragraph">
                  <wp:posOffset>17145</wp:posOffset>
                </wp:positionV>
                <wp:extent cx="6812280" cy="0"/>
                <wp:wrapNone/>
                <wp:docPr id="366" name="Shape 3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66" o:spid="_x0000_s13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6pt,1.35pt" to="570pt,1.35pt" o:allowincell="f" strokecolor="#214E93" strokeweight="1pt"/>
            </w:pict>
          </mc:Fallback>
        </mc:AlternateContent>
      </w:r>
    </w:p>
    <w:p>
      <w:pPr>
        <w:spacing w:after="0" w:line="141" w:lineRule="exact"/>
        <w:rPr>
          <w:sz w:val="20"/>
          <w:szCs w:val="20"/>
          <w:color w:val="auto"/>
        </w:rPr>
      </w:pPr>
    </w:p>
    <w:p>
      <w:pPr>
        <w:ind w:left="680"/>
        <w:spacing w:after="0"/>
        <w:rPr>
          <w:sz w:val="20"/>
          <w:szCs w:val="20"/>
          <w:color w:val="auto"/>
        </w:rPr>
      </w:pPr>
      <w:r>
        <w:rPr>
          <w:rFonts w:ascii="Verdana" w:cs="Verdana" w:eastAsia="Verdana" w:hAnsi="Verdana"/>
          <w:sz w:val="20"/>
          <w:szCs w:val="20"/>
          <w:color w:val="214E93"/>
        </w:rPr>
        <w:t>ADJUSTED EBITDA RECONCILIATION</w:t>
      </w:r>
    </w:p>
    <w:p>
      <w:pPr>
        <w:spacing w:after="0" w:line="209" w:lineRule="exact"/>
        <w:rPr>
          <w:sz w:val="20"/>
          <w:szCs w:val="20"/>
          <w:color w:val="auto"/>
        </w:rPr>
      </w:pPr>
    </w:p>
    <w:p>
      <w:pPr>
        <w:ind w:left="680" w:right="120" w:firstLine="241"/>
        <w:spacing w:after="0" w:line="269" w:lineRule="auto"/>
        <w:rPr>
          <w:sz w:val="20"/>
          <w:szCs w:val="20"/>
          <w:color w:val="auto"/>
        </w:rPr>
      </w:pPr>
      <w:r>
        <w:rPr>
          <w:rFonts w:ascii="Calibri" w:cs="Calibri" w:eastAsia="Calibri" w:hAnsi="Calibri"/>
          <w:sz w:val="18"/>
          <w:szCs w:val="18"/>
          <w:color w:val="auto"/>
        </w:rPr>
        <w:t>This Annual Report includes the non-GAAP financial measure of Adjusted EBITDA. Adjusted EBITDA is a supplemental non-GAAP financial measure that is used by management and external users of the Company’s consolidated financial statements, such as securities analysts, investors, lenders and rating agencies. “GAAP” means Generally Accepted Accounting Principles in the United States of America. The Company believes Adjusted EBITDA helps it evaluate its operating performance and compare its results of operations from period to period without regard to its financing methods or capital structure. The Company defines, on a consolidated basis and for San Mateo, Adjusted EBITDA as earnings before interest expense, income taxes, depletion, depreciation and amortization, accretion of asset retirement obligations, property impairments, unrealized derivative gains and losses, non-recurring transaction costs for certain acquisitions, certain other non-cash items and non-cash stock-based compensation expense and net gain or loss on asset sales and impairment. Adjusted EBITDA is not a measure of net income or net cash provided by operating activities as determined by GAAP. All references to Matador’s Adjusted EBITDA are those values attributable to Matador Resources Company shareholders after giving effect to Adjusted EBITDA attributable to third-party non-controlling interests, including in San Mateo.</w:t>
      </w:r>
    </w:p>
    <w:p>
      <w:pPr>
        <w:spacing w:after="0" w:line="216" w:lineRule="exact"/>
        <w:rPr>
          <w:sz w:val="20"/>
          <w:szCs w:val="20"/>
          <w:color w:val="auto"/>
        </w:rPr>
      </w:pPr>
    </w:p>
    <w:p>
      <w:pPr>
        <w:ind w:left="680" w:firstLine="241"/>
        <w:spacing w:after="0" w:line="286" w:lineRule="auto"/>
        <w:rPr>
          <w:sz w:val="20"/>
          <w:szCs w:val="20"/>
          <w:color w:val="auto"/>
        </w:rPr>
      </w:pPr>
      <w:r>
        <w:rPr>
          <w:rFonts w:ascii="Calibri" w:cs="Calibri" w:eastAsia="Calibri" w:hAnsi="Calibri"/>
          <w:sz w:val="17"/>
          <w:szCs w:val="17"/>
          <w:color w:val="auto"/>
        </w:rPr>
        <w:t>Adjusted EBITDA should not be considered an alternative to, or more meaningful than, net income or net cash provided by operating activities as determined in accordance with GAAP or as an indicator of the Company’s operating performance or liquidity. Certain items excluded from Adjusted EBITDA are significant components of understanding and assessing a company’s financial performance, such as a company’s cost of capital and tax structure. Adjusted EBITDA may not be comparable to similarly titled measures of another company because all companies may not calculate Adjusted EBITDA in the same manner. The following table presents the calculation of Adjusted EBITDA and the reconciliation of Adjusted EBITDA to the GAAP financial measures of net income and net cash provided by operating activities, respectively, that are of a historical nature. Where references are pro forma, forward-looking, preliminary or prospective in nature, and not based on historical fact, the table does not provide a reconciliation. The Company could not provide such reconciliation without undue hardship because such Adjusted EBITDA numbers are estimations, approximations and/or ranges. In addition, it would be difficult for the Company to present a detailed reconciliation on account of many unknown variables for the reconciling items, including future income taxes, full-cost ceiling impairments, unrealized gains or losses on derivatives and gains or losses on asset sales and impairment. For the same reasons, the Company is unable to address the probable significance of the unavailable information, which could be material to future results.</w:t>
      </w:r>
    </w:p>
    <w:p>
      <w:pPr>
        <w:sectPr>
          <w:pgSz w:w="11880" w:h="15480" w:orient="portrait"/>
          <w:cols w:equalWidth="0" w:num="1">
            <w:col w:w="10220"/>
          </w:cols>
          <w:pgMar w:left="480" w:top="49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alibri" w:cs="Calibri" w:eastAsia="Calibri" w:hAnsi="Calibri"/>
          <w:sz w:val="17"/>
          <w:szCs w:val="17"/>
          <w:color w:val="auto"/>
        </w:rPr>
        <w:t>Additional Financial Information</w:t>
      </w:r>
    </w:p>
    <w:p>
      <w:pPr>
        <w:sectPr>
          <w:pgSz w:w="11880" w:h="15480" w:orient="portrait"/>
          <w:cols w:equalWidth="0" w:num="1">
            <w:col w:w="10220"/>
          </w:cols>
          <w:pgMar w:left="480" w:top="498" w:right="1180" w:bottom="0" w:gutter="0" w:footer="0" w:header="0"/>
          <w:type w:val="continuous"/>
        </w:sectPr>
      </w:pPr>
    </w:p>
    <w:bookmarkStart w:id="184" w:name="page185"/>
    <w:bookmarkEnd w:id="184"/>
    <w:p>
      <w:pPr>
        <w:ind w:left="7880"/>
        <w:spacing w:after="0"/>
        <w:rPr>
          <w:sz w:val="20"/>
          <w:szCs w:val="20"/>
          <w:color w:val="auto"/>
        </w:rPr>
      </w:pPr>
      <w:r>
        <w:rPr>
          <w:rFonts w:ascii="Calibri" w:cs="Calibri" w:eastAsia="Calibri" w:hAnsi="Calibri"/>
          <w:sz w:val="18"/>
          <w:szCs w:val="18"/>
          <w:color w:val="auto"/>
        </w:rPr>
        <w:t>2025 ANNUAL REPORT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367" name="Shape 3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67" o:spid="_x0000_s13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368" name="Shape 3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68" o:spid="_x0000_s13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Verdana" w:cs="Verdana" w:eastAsia="Verdana" w:hAnsi="Verdana"/>
          <w:sz w:val="20"/>
          <w:szCs w:val="20"/>
          <w:color w:val="214E93"/>
        </w:rPr>
        <w:t>ADJUSTED EBITDA RECONCILIATION - Continued</w:t>
      </w:r>
    </w:p>
    <w:p>
      <w:pPr>
        <w:spacing w:after="0" w:line="264" w:lineRule="exact"/>
        <w:rPr>
          <w:sz w:val="20"/>
          <w:szCs w:val="20"/>
          <w:color w:val="auto"/>
        </w:rPr>
      </w:pPr>
    </w:p>
    <w:p>
      <w:pPr>
        <w:jc w:val="center"/>
        <w:ind w:left="7040"/>
        <w:spacing w:after="0"/>
        <w:rPr>
          <w:sz w:val="20"/>
          <w:szCs w:val="20"/>
          <w:color w:val="auto"/>
        </w:rPr>
      </w:pPr>
      <w:r>
        <w:rPr>
          <w:rFonts w:ascii="Verdana" w:cs="Verdana" w:eastAsia="Verdana" w:hAnsi="Verdana"/>
          <w:sz w:val="14"/>
          <w:szCs w:val="14"/>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14605</wp:posOffset>
            </wp:positionV>
            <wp:extent cx="1593215" cy="127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
                      <a:extLst>
                        <a:ext uri="{28A0092B-C50C-407E-A947-70E740481C1C}"/>
                      </a:extLst>
                    </a:blip>
                    <a:srcRect/>
                    <a:stretch>
                      <a:fillRect/>
                    </a:stretch>
                  </pic:blipFill>
                  <pic:spPr bwMode="auto">
                    <a:xfrm>
                      <a:off x="0" y="0"/>
                      <a:ext cx="1593215" cy="12700"/>
                    </a:xfrm>
                    <a:prstGeom prst="rect">
                      <a:avLst/>
                    </a:prstGeom>
                    <a:noFill/>
                  </pic:spPr>
                </pic:pic>
              </a:graphicData>
            </a:graphic>
          </wp:anchor>
        </w:drawing>
      </w:r>
    </w:p>
    <w:p>
      <w:pPr>
        <w:spacing w:after="0" w:line="31" w:lineRule="exact"/>
        <w:rPr>
          <w:sz w:val="20"/>
          <w:szCs w:val="20"/>
          <w:color w:val="auto"/>
        </w:rPr>
      </w:pPr>
    </w:p>
    <w:p>
      <w:pPr>
        <w:ind w:left="7160"/>
        <w:spacing w:after="0"/>
        <w:tabs>
          <w:tab w:leader="none" w:pos="8440" w:val="left"/>
        </w:tabs>
        <w:rPr>
          <w:sz w:val="20"/>
          <w:szCs w:val="20"/>
          <w:color w:val="auto"/>
        </w:rPr>
      </w:pPr>
      <w:r>
        <w:rPr>
          <w:rFonts w:ascii="Verdana" w:cs="Verdana" w:eastAsia="Verdana" w:hAnsi="Verdana"/>
          <w:sz w:val="14"/>
          <w:szCs w:val="14"/>
          <w:color w:val="214E93"/>
        </w:rPr>
        <w:t>December 31,</w:t>
      </w:r>
      <w:r>
        <w:rPr>
          <w:sz w:val="20"/>
          <w:szCs w:val="20"/>
          <w:color w:val="auto"/>
        </w:rPr>
        <w:tab/>
      </w:r>
      <w:r>
        <w:rPr>
          <w:rFonts w:ascii="Verdana" w:cs="Verdana" w:eastAsia="Verdana" w:hAnsi="Verdana"/>
          <w:sz w:val="13"/>
          <w:szCs w:val="13"/>
          <w:color w:val="auto"/>
        </w:rPr>
        <w:t>December 31,</w:t>
      </w:r>
    </w:p>
    <w:p>
      <w:pPr>
        <w:spacing w:after="0" w:line="51" w:lineRule="exact"/>
        <w:rPr>
          <w:sz w:val="20"/>
          <w:szCs w:val="20"/>
          <w:color w:val="auto"/>
        </w:rPr>
      </w:pPr>
    </w:p>
    <w:tbl>
      <w:tblPr>
        <w:tblLayout w:type="fixed"/>
        <w:tblInd w:w="240" w:type="dxa"/>
        <w:tblCellMar>
          <w:top w:w="0" w:type="dxa"/>
          <w:left w:w="0" w:type="dxa"/>
          <w:bottom w:w="0" w:type="dxa"/>
          <w:right w:w="0" w:type="dxa"/>
        </w:tblCellMar>
      </w:tblPr>
      <w:tr>
        <w:trPr>
          <w:trHeight w:val="193"/>
        </w:trPr>
        <w:tc>
          <w:tcPr>
            <w:tcW w:w="6800" w:type="dxa"/>
            <w:vAlign w:val="bottom"/>
            <w:tcBorders>
              <w:bottom w:val="single" w:sz="8" w:color="214E93"/>
            </w:tcBorders>
          </w:tcPr>
          <w:p>
            <w:pPr>
              <w:spacing w:after="0"/>
              <w:rPr>
                <w:sz w:val="16"/>
                <w:szCs w:val="16"/>
                <w:color w:val="auto"/>
              </w:rPr>
            </w:pPr>
          </w:p>
        </w:tc>
        <w:tc>
          <w:tcPr>
            <w:tcW w:w="240" w:type="dxa"/>
            <w:vAlign w:val="bottom"/>
            <w:tcBorders>
              <w:bottom w:val="single" w:sz="8" w:color="214E93"/>
            </w:tcBorders>
          </w:tcPr>
          <w:p>
            <w:pPr>
              <w:spacing w:after="0"/>
              <w:rPr>
                <w:sz w:val="16"/>
                <w:szCs w:val="16"/>
                <w:color w:val="auto"/>
              </w:rPr>
            </w:pPr>
          </w:p>
        </w:tc>
        <w:tc>
          <w:tcPr>
            <w:tcW w:w="980" w:type="dxa"/>
            <w:vAlign w:val="bottom"/>
            <w:tcBorders>
              <w:bottom w:val="single" w:sz="8" w:color="214E93"/>
            </w:tcBorders>
          </w:tcPr>
          <w:p>
            <w:pPr>
              <w:jc w:val="right"/>
              <w:ind w:right="342"/>
              <w:spacing w:after="0"/>
              <w:rPr>
                <w:sz w:val="20"/>
                <w:szCs w:val="20"/>
                <w:color w:val="auto"/>
              </w:rPr>
            </w:pPr>
            <w:r>
              <w:rPr>
                <w:rFonts w:ascii="Verdana" w:cs="Verdana" w:eastAsia="Verdana" w:hAnsi="Verdana"/>
                <w:sz w:val="14"/>
                <w:szCs w:val="14"/>
                <w:color w:val="214E93"/>
              </w:rPr>
              <w:t>2025</w:t>
            </w:r>
          </w:p>
        </w:tc>
        <w:tc>
          <w:tcPr>
            <w:tcW w:w="60" w:type="dxa"/>
            <w:vAlign w:val="bottom"/>
            <w:tcBorders>
              <w:bottom w:val="single" w:sz="8" w:color="214E93"/>
            </w:tcBorders>
          </w:tcPr>
          <w:p>
            <w:pPr>
              <w:spacing w:after="0"/>
              <w:rPr>
                <w:sz w:val="16"/>
                <w:szCs w:val="16"/>
                <w:color w:val="auto"/>
              </w:rPr>
            </w:pPr>
          </w:p>
        </w:tc>
        <w:tc>
          <w:tcPr>
            <w:tcW w:w="240" w:type="dxa"/>
            <w:vAlign w:val="bottom"/>
            <w:tcBorders>
              <w:bottom w:val="single" w:sz="8" w:color="214E93"/>
            </w:tcBorders>
          </w:tcPr>
          <w:p>
            <w:pPr>
              <w:spacing w:after="0"/>
              <w:rPr>
                <w:sz w:val="16"/>
                <w:szCs w:val="16"/>
                <w:color w:val="auto"/>
              </w:rPr>
            </w:pPr>
          </w:p>
        </w:tc>
        <w:tc>
          <w:tcPr>
            <w:tcW w:w="1000" w:type="dxa"/>
            <w:vAlign w:val="bottom"/>
            <w:tcBorders>
              <w:bottom w:val="single" w:sz="8" w:color="214E93"/>
            </w:tcBorders>
          </w:tcPr>
          <w:p>
            <w:pPr>
              <w:jc w:val="right"/>
              <w:ind w:right="362"/>
              <w:spacing w:after="0"/>
              <w:rPr>
                <w:sz w:val="20"/>
                <w:szCs w:val="20"/>
                <w:color w:val="auto"/>
              </w:rPr>
            </w:pPr>
            <w:r>
              <w:rPr>
                <w:rFonts w:ascii="Verdana" w:cs="Verdana" w:eastAsia="Verdana" w:hAnsi="Verdana"/>
                <w:sz w:val="14"/>
                <w:szCs w:val="14"/>
                <w:color w:val="auto"/>
              </w:rPr>
              <w:t>2024</w:t>
            </w:r>
          </w:p>
        </w:tc>
      </w:tr>
      <w:tr>
        <w:trPr>
          <w:trHeight w:val="194"/>
        </w:trPr>
        <w:tc>
          <w:tcPr>
            <w:tcW w:w="6800" w:type="dxa"/>
            <w:vAlign w:val="bottom"/>
          </w:tcPr>
          <w:p>
            <w:pPr>
              <w:ind w:left="40"/>
              <w:spacing w:after="0"/>
              <w:rPr>
                <w:sz w:val="20"/>
                <w:szCs w:val="20"/>
                <w:color w:val="auto"/>
              </w:rPr>
            </w:pPr>
            <w:r>
              <w:rPr>
                <w:rFonts w:ascii="Verdana" w:cs="Verdana" w:eastAsia="Verdana" w:hAnsi="Verdana"/>
                <w:sz w:val="14"/>
                <w:szCs w:val="14"/>
                <w:i w:val="1"/>
                <w:iCs w:val="1"/>
                <w:color w:val="auto"/>
              </w:rPr>
              <w:t>(In thousands)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8"/>
        </w:trPr>
        <w:tc>
          <w:tcPr>
            <w:tcW w:w="6800" w:type="dxa"/>
            <w:vAlign w:val="bottom"/>
          </w:tcPr>
          <w:p>
            <w:pPr>
              <w:ind w:left="40"/>
              <w:spacing w:after="0"/>
              <w:rPr>
                <w:sz w:val="20"/>
                <w:szCs w:val="20"/>
                <w:color w:val="auto"/>
              </w:rPr>
            </w:pPr>
            <w:r>
              <w:rPr>
                <w:rFonts w:ascii="Calibri" w:cs="Calibri" w:eastAsia="Calibri" w:hAnsi="Calibri"/>
                <w:sz w:val="19"/>
                <w:szCs w:val="19"/>
                <w:b w:val="1"/>
                <w:bCs w:val="1"/>
                <w:color w:val="auto"/>
              </w:rPr>
              <w:t>Unaudited Adjusted EBITDA reconciliation to Net Income:</w:t>
            </w: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60"/>
        </w:trPr>
        <w:tc>
          <w:tcPr>
            <w:tcW w:w="6800" w:type="dxa"/>
            <w:vAlign w:val="bottom"/>
          </w:tcPr>
          <w:p>
            <w:pPr>
              <w:ind w:left="40"/>
              <w:spacing w:after="0"/>
              <w:rPr>
                <w:sz w:val="20"/>
                <w:szCs w:val="20"/>
                <w:color w:val="auto"/>
              </w:rPr>
            </w:pPr>
            <w:r>
              <w:rPr>
                <w:rFonts w:ascii="Verdana" w:cs="Verdana" w:eastAsia="Verdana" w:hAnsi="Verdana"/>
                <w:sz w:val="16"/>
                <w:szCs w:val="16"/>
                <w:color w:val="auto"/>
              </w:rPr>
              <w:t>Net income attributable to Matador Resources Company shareholders</w:t>
            </w:r>
          </w:p>
        </w:tc>
        <w:tc>
          <w:tcPr>
            <w:tcW w:w="240" w:type="dxa"/>
            <w:vAlign w:val="bottom"/>
          </w:tcPr>
          <w:p>
            <w:pPr>
              <w:jc w:val="right"/>
              <w:ind w:right="3"/>
              <w:spacing w:after="0"/>
              <w:rPr>
                <w:sz w:val="20"/>
                <w:szCs w:val="20"/>
                <w:color w:val="auto"/>
              </w:rPr>
            </w:pPr>
            <w:r>
              <w:rPr>
                <w:rFonts w:ascii="Verdana" w:cs="Verdana" w:eastAsia="Verdana" w:hAnsi="Verdana"/>
                <w:sz w:val="16"/>
                <w:szCs w:val="16"/>
                <w:color w:val="214E93"/>
              </w:rPr>
              <w:t>$</w:t>
            </w:r>
          </w:p>
        </w:tc>
        <w:tc>
          <w:tcPr>
            <w:tcW w:w="980" w:type="dxa"/>
            <w:vAlign w:val="bottom"/>
          </w:tcPr>
          <w:p>
            <w:pPr>
              <w:jc w:val="right"/>
              <w:ind w:right="2"/>
              <w:spacing w:after="0"/>
              <w:rPr>
                <w:sz w:val="20"/>
                <w:szCs w:val="20"/>
                <w:color w:val="auto"/>
              </w:rPr>
            </w:pPr>
            <w:r>
              <w:rPr>
                <w:rFonts w:ascii="Verdana" w:cs="Verdana" w:eastAsia="Verdana" w:hAnsi="Verdana"/>
                <w:sz w:val="16"/>
                <w:szCs w:val="16"/>
                <w:color w:val="214E93"/>
              </w:rPr>
              <w:t>759,221</w:t>
            </w:r>
          </w:p>
        </w:tc>
        <w:tc>
          <w:tcPr>
            <w:tcW w:w="300" w:type="dxa"/>
            <w:vAlign w:val="bottom"/>
            <w:gridSpan w:val="2"/>
          </w:tcPr>
          <w:p>
            <w:pPr>
              <w:jc w:val="right"/>
              <w:ind w:right="6"/>
              <w:spacing w:after="0"/>
              <w:rPr>
                <w:sz w:val="20"/>
                <w:szCs w:val="20"/>
                <w:color w:val="auto"/>
              </w:rPr>
            </w:pPr>
            <w:r>
              <w:rPr>
                <w:rFonts w:ascii="Verdana" w:cs="Verdana" w:eastAsia="Verdana" w:hAnsi="Verdana"/>
                <w:sz w:val="16"/>
                <w:szCs w:val="16"/>
                <w:color w:val="auto"/>
              </w:rPr>
              <w:t>$</w:t>
            </w:r>
          </w:p>
        </w:tc>
        <w:tc>
          <w:tcPr>
            <w:tcW w:w="1000" w:type="dxa"/>
            <w:vAlign w:val="bottom"/>
          </w:tcPr>
          <w:p>
            <w:pPr>
              <w:jc w:val="right"/>
              <w:ind w:right="22"/>
              <w:spacing w:after="0"/>
              <w:rPr>
                <w:sz w:val="20"/>
                <w:szCs w:val="20"/>
                <w:color w:val="auto"/>
              </w:rPr>
            </w:pPr>
            <w:r>
              <w:rPr>
                <w:rFonts w:ascii="Verdana" w:cs="Verdana" w:eastAsia="Verdana" w:hAnsi="Verdana"/>
                <w:sz w:val="16"/>
                <w:szCs w:val="16"/>
                <w:color w:val="auto"/>
              </w:rPr>
              <w:t>885,322</w:t>
            </w:r>
          </w:p>
        </w:tc>
      </w:tr>
      <w:tr>
        <w:trPr>
          <w:trHeight w:val="242"/>
        </w:trPr>
        <w:tc>
          <w:tcPr>
            <w:tcW w:w="680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Net income attributable to non-controlling interest in subsidiaries</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214E93"/>
              </w:rPr>
              <w:t>101,548</w:t>
            </w: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86,021</w:t>
            </w:r>
          </w:p>
        </w:tc>
      </w:tr>
      <w:tr>
        <w:trPr>
          <w:trHeight w:val="211"/>
        </w:trPr>
        <w:tc>
          <w:tcPr>
            <w:tcW w:w="6800" w:type="dxa"/>
            <w:vAlign w:val="bottom"/>
          </w:tcPr>
          <w:p>
            <w:pPr>
              <w:ind w:left="160"/>
              <w:spacing w:after="0"/>
              <w:rPr>
                <w:sz w:val="20"/>
                <w:szCs w:val="20"/>
                <w:color w:val="auto"/>
              </w:rPr>
            </w:pPr>
            <w:r>
              <w:rPr>
                <w:rFonts w:ascii="Verdana" w:cs="Verdana" w:eastAsia="Verdana" w:hAnsi="Verdana"/>
                <w:sz w:val="16"/>
                <w:szCs w:val="16"/>
                <w:color w:val="auto"/>
              </w:rPr>
              <w:t>Net income</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Verdana" w:cs="Verdana" w:eastAsia="Verdana" w:hAnsi="Verdana"/>
                <w:sz w:val="16"/>
                <w:szCs w:val="16"/>
                <w:color w:val="214E93"/>
              </w:rPr>
              <w:t>860,769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Verdana" w:cs="Verdana" w:eastAsia="Verdana" w:hAnsi="Verdana"/>
                <w:sz w:val="16"/>
                <w:szCs w:val="16"/>
                <w:color w:val="auto"/>
              </w:rPr>
              <w:t>971,343</w:t>
            </w:r>
          </w:p>
        </w:tc>
      </w:tr>
      <w:tr>
        <w:trPr>
          <w:trHeight w:val="236"/>
        </w:trPr>
        <w:tc>
          <w:tcPr>
            <w:tcW w:w="6800" w:type="dxa"/>
            <w:vAlign w:val="bottom"/>
          </w:tcPr>
          <w:p>
            <w:pPr>
              <w:ind w:left="40"/>
              <w:spacing w:after="0"/>
              <w:rPr>
                <w:sz w:val="20"/>
                <w:szCs w:val="20"/>
                <w:color w:val="auto"/>
              </w:rPr>
            </w:pPr>
            <w:r>
              <w:rPr>
                <w:rFonts w:ascii="Verdana" w:cs="Verdana" w:eastAsia="Verdana" w:hAnsi="Verdana"/>
                <w:sz w:val="16"/>
                <w:szCs w:val="16"/>
                <w:color w:val="auto"/>
              </w:rPr>
              <w:t>Interest expense</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Verdana" w:cs="Verdana" w:eastAsia="Verdana" w:hAnsi="Verdana"/>
                <w:sz w:val="16"/>
                <w:szCs w:val="16"/>
                <w:color w:val="214E93"/>
              </w:rPr>
              <w:t>208,520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Verdana" w:cs="Verdana" w:eastAsia="Verdana" w:hAnsi="Verdana"/>
                <w:sz w:val="16"/>
                <w:szCs w:val="16"/>
                <w:color w:val="auto"/>
              </w:rPr>
              <w:t>171,687</w:t>
            </w:r>
          </w:p>
        </w:tc>
      </w:tr>
      <w:tr>
        <w:trPr>
          <w:trHeight w:val="236"/>
        </w:trPr>
        <w:tc>
          <w:tcPr>
            <w:tcW w:w="6800" w:type="dxa"/>
            <w:vAlign w:val="bottom"/>
          </w:tcPr>
          <w:p>
            <w:pPr>
              <w:ind w:left="40"/>
              <w:spacing w:after="0"/>
              <w:rPr>
                <w:sz w:val="20"/>
                <w:szCs w:val="20"/>
                <w:color w:val="auto"/>
              </w:rPr>
            </w:pPr>
            <w:r>
              <w:rPr>
                <w:rFonts w:ascii="Verdana" w:cs="Verdana" w:eastAsia="Verdana" w:hAnsi="Verdana"/>
                <w:sz w:val="16"/>
                <w:szCs w:val="16"/>
                <w:color w:val="auto"/>
              </w:rPr>
              <w:t>Total income tax provision</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Verdana" w:cs="Verdana" w:eastAsia="Verdana" w:hAnsi="Verdana"/>
                <w:sz w:val="16"/>
                <w:szCs w:val="16"/>
                <w:color w:val="214E93"/>
              </w:rPr>
              <w:t>172,675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Verdana" w:cs="Verdana" w:eastAsia="Verdana" w:hAnsi="Verdana"/>
                <w:sz w:val="16"/>
                <w:szCs w:val="16"/>
                <w:color w:val="auto"/>
              </w:rPr>
              <w:t>292,364</w:t>
            </w:r>
          </w:p>
        </w:tc>
      </w:tr>
      <w:tr>
        <w:trPr>
          <w:trHeight w:val="236"/>
        </w:trPr>
        <w:tc>
          <w:tcPr>
            <w:tcW w:w="6800" w:type="dxa"/>
            <w:vAlign w:val="bottom"/>
          </w:tcPr>
          <w:p>
            <w:pPr>
              <w:ind w:left="40"/>
              <w:spacing w:after="0"/>
              <w:rPr>
                <w:sz w:val="20"/>
                <w:szCs w:val="20"/>
                <w:color w:val="auto"/>
              </w:rPr>
            </w:pPr>
            <w:r>
              <w:rPr>
                <w:rFonts w:ascii="Verdana" w:cs="Verdana" w:eastAsia="Verdana" w:hAnsi="Verdana"/>
                <w:sz w:val="16"/>
                <w:szCs w:val="16"/>
                <w:color w:val="auto"/>
              </w:rPr>
              <w:t>Depletion, depreciation and amortization</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Verdana" w:cs="Verdana" w:eastAsia="Verdana" w:hAnsi="Verdana"/>
                <w:sz w:val="16"/>
                <w:szCs w:val="16"/>
                <w:color w:val="214E93"/>
              </w:rPr>
              <w:t>1,195,358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Verdana" w:cs="Verdana" w:eastAsia="Verdana" w:hAnsi="Verdana"/>
                <w:sz w:val="16"/>
                <w:szCs w:val="16"/>
                <w:color w:val="auto"/>
              </w:rPr>
              <w:t>974,300</w:t>
            </w:r>
          </w:p>
        </w:tc>
      </w:tr>
      <w:tr>
        <w:trPr>
          <w:trHeight w:val="236"/>
        </w:trPr>
        <w:tc>
          <w:tcPr>
            <w:tcW w:w="6800" w:type="dxa"/>
            <w:vAlign w:val="bottom"/>
          </w:tcPr>
          <w:p>
            <w:pPr>
              <w:ind w:left="40"/>
              <w:spacing w:after="0"/>
              <w:rPr>
                <w:sz w:val="20"/>
                <w:szCs w:val="20"/>
                <w:color w:val="auto"/>
              </w:rPr>
            </w:pPr>
            <w:r>
              <w:rPr>
                <w:rFonts w:ascii="Verdana" w:cs="Verdana" w:eastAsia="Verdana" w:hAnsi="Verdana"/>
                <w:sz w:val="16"/>
                <w:szCs w:val="16"/>
                <w:color w:val="auto"/>
              </w:rPr>
              <w:t>Accretion of asset retirement obligations</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Verdana" w:cs="Verdana" w:eastAsia="Verdana" w:hAnsi="Verdana"/>
                <w:sz w:val="16"/>
                <w:szCs w:val="16"/>
                <w:color w:val="214E93"/>
              </w:rPr>
              <w:t>7,846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Verdana" w:cs="Verdana" w:eastAsia="Verdana" w:hAnsi="Verdana"/>
                <w:sz w:val="16"/>
                <w:szCs w:val="16"/>
                <w:color w:val="auto"/>
              </w:rPr>
              <w:t>6,027</w:t>
            </w:r>
          </w:p>
        </w:tc>
      </w:tr>
      <w:tr>
        <w:trPr>
          <w:trHeight w:val="236"/>
        </w:trPr>
        <w:tc>
          <w:tcPr>
            <w:tcW w:w="6800" w:type="dxa"/>
            <w:vAlign w:val="bottom"/>
          </w:tcPr>
          <w:p>
            <w:pPr>
              <w:ind w:left="40"/>
              <w:spacing w:after="0"/>
              <w:rPr>
                <w:sz w:val="20"/>
                <w:szCs w:val="20"/>
                <w:color w:val="auto"/>
              </w:rPr>
            </w:pPr>
            <w:r>
              <w:rPr>
                <w:rFonts w:ascii="Verdana" w:cs="Verdana" w:eastAsia="Verdana" w:hAnsi="Verdana"/>
                <w:sz w:val="16"/>
                <w:szCs w:val="16"/>
                <w:color w:val="auto"/>
              </w:rPr>
              <w:t>Unrealized gain on derivatives</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Verdana" w:cs="Verdana" w:eastAsia="Verdana" w:hAnsi="Verdana"/>
                <w:sz w:val="16"/>
                <w:szCs w:val="16"/>
                <w:color w:val="214E93"/>
              </w:rPr>
              <w:t>(18,084)</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Verdana" w:cs="Verdana" w:eastAsia="Verdana" w:hAnsi="Verdana"/>
                <w:sz w:val="16"/>
                <w:szCs w:val="16"/>
                <w:color w:val="auto"/>
              </w:rPr>
              <w:t>(13,299)</w:t>
            </w:r>
          </w:p>
        </w:tc>
      </w:tr>
      <w:tr>
        <w:trPr>
          <w:trHeight w:val="236"/>
        </w:trPr>
        <w:tc>
          <w:tcPr>
            <w:tcW w:w="6800" w:type="dxa"/>
            <w:vAlign w:val="bottom"/>
          </w:tcPr>
          <w:p>
            <w:pPr>
              <w:ind w:left="40"/>
              <w:spacing w:after="0"/>
              <w:rPr>
                <w:sz w:val="20"/>
                <w:szCs w:val="20"/>
                <w:color w:val="auto"/>
              </w:rPr>
            </w:pPr>
            <w:r>
              <w:rPr>
                <w:rFonts w:ascii="Verdana" w:cs="Verdana" w:eastAsia="Verdana" w:hAnsi="Verdana"/>
                <w:sz w:val="16"/>
                <w:szCs w:val="16"/>
                <w:color w:val="auto"/>
              </w:rPr>
              <w:t>Non-cash stock-based compensation expense</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Verdana" w:cs="Verdana" w:eastAsia="Verdana" w:hAnsi="Verdana"/>
                <w:sz w:val="16"/>
                <w:szCs w:val="16"/>
                <w:color w:val="214E93"/>
              </w:rPr>
              <w:t>18,327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Verdana" w:cs="Verdana" w:eastAsia="Verdana" w:hAnsi="Verdana"/>
                <w:sz w:val="16"/>
                <w:szCs w:val="16"/>
                <w:color w:val="auto"/>
              </w:rPr>
              <w:t>14,982</w:t>
            </w:r>
          </w:p>
        </w:tc>
      </w:tr>
      <w:tr>
        <w:trPr>
          <w:trHeight w:val="236"/>
        </w:trPr>
        <w:tc>
          <w:tcPr>
            <w:tcW w:w="6800" w:type="dxa"/>
            <w:vAlign w:val="bottom"/>
          </w:tcPr>
          <w:p>
            <w:pPr>
              <w:ind w:left="40"/>
              <w:spacing w:after="0"/>
              <w:rPr>
                <w:sz w:val="20"/>
                <w:szCs w:val="20"/>
                <w:color w:val="auto"/>
              </w:rPr>
            </w:pPr>
            <w:r>
              <w:rPr>
                <w:rFonts w:ascii="Verdana" w:cs="Verdana" w:eastAsia="Verdana" w:hAnsi="Verdana"/>
                <w:sz w:val="16"/>
                <w:szCs w:val="16"/>
                <w:color w:val="auto"/>
              </w:rPr>
              <w:t>Net loss on impairment</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Verdana" w:cs="Verdana" w:eastAsia="Verdana" w:hAnsi="Verdana"/>
                <w:sz w:val="16"/>
                <w:szCs w:val="16"/>
                <w:color w:val="214E93"/>
              </w:rPr>
              <w:t>589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Verdana" w:cs="Verdana" w:eastAsia="Verdana" w:hAnsi="Verdana"/>
                <w:sz w:val="16"/>
                <w:szCs w:val="16"/>
                <w:color w:val="auto"/>
              </w:rPr>
              <w:t>—</w:t>
            </w:r>
          </w:p>
        </w:tc>
      </w:tr>
      <w:tr>
        <w:trPr>
          <w:trHeight w:val="242"/>
        </w:trPr>
        <w:tc>
          <w:tcPr>
            <w:tcW w:w="680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Non-recurring (income) expense</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214E93"/>
              </w:rPr>
              <w:t>(7,338)</w:t>
            </w: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5,420</w:t>
            </w:r>
          </w:p>
        </w:tc>
      </w:tr>
      <w:tr>
        <w:trPr>
          <w:trHeight w:val="211"/>
        </w:trPr>
        <w:tc>
          <w:tcPr>
            <w:tcW w:w="6800" w:type="dxa"/>
            <w:vAlign w:val="bottom"/>
          </w:tcPr>
          <w:p>
            <w:pPr>
              <w:ind w:left="160"/>
              <w:spacing w:after="0"/>
              <w:rPr>
                <w:sz w:val="20"/>
                <w:szCs w:val="20"/>
                <w:color w:val="auto"/>
              </w:rPr>
            </w:pPr>
            <w:r>
              <w:rPr>
                <w:rFonts w:ascii="Verdana" w:cs="Verdana" w:eastAsia="Verdana" w:hAnsi="Verdana"/>
                <w:sz w:val="16"/>
                <w:szCs w:val="16"/>
                <w:color w:val="auto"/>
              </w:rPr>
              <w:t>Consolidated Adjusted EBITDA</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Verdana" w:cs="Verdana" w:eastAsia="Verdana" w:hAnsi="Verdana"/>
                <w:sz w:val="16"/>
                <w:szCs w:val="16"/>
                <w:color w:val="214E93"/>
              </w:rPr>
              <w:t>2,438,662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Verdana" w:cs="Verdana" w:eastAsia="Verdana" w:hAnsi="Verdana"/>
                <w:sz w:val="16"/>
                <w:szCs w:val="16"/>
                <w:color w:val="auto"/>
              </w:rPr>
              <w:t>2,422,824</w:t>
            </w:r>
          </w:p>
        </w:tc>
      </w:tr>
      <w:tr>
        <w:trPr>
          <w:trHeight w:val="242"/>
        </w:trPr>
        <w:tc>
          <w:tcPr>
            <w:tcW w:w="680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Adjusted EBITDA attributable to non-controlling interest in subsidiaries</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214E93"/>
              </w:rPr>
              <w:t>(144,111)</w:t>
            </w: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(124,047)</w:t>
            </w:r>
          </w:p>
        </w:tc>
      </w:tr>
      <w:tr>
        <w:trPr>
          <w:trHeight w:val="217"/>
        </w:trPr>
        <w:tc>
          <w:tcPr>
            <w:tcW w:w="6800" w:type="dxa"/>
            <w:vAlign w:val="bottom"/>
            <w:tcBorders>
              <w:bottom w:val="single" w:sz="8" w:color="214E93"/>
            </w:tcBorders>
          </w:tcPr>
          <w:p>
            <w:pPr>
              <w:ind w:left="160"/>
              <w:spacing w:after="0"/>
              <w:rPr>
                <w:sz w:val="20"/>
                <w:szCs w:val="20"/>
                <w:color w:val="auto"/>
              </w:rPr>
            </w:pPr>
            <w:r>
              <w:rPr>
                <w:rFonts w:ascii="Verdana" w:cs="Verdana" w:eastAsia="Verdana" w:hAnsi="Verdana"/>
                <w:sz w:val="16"/>
                <w:szCs w:val="16"/>
                <w:color w:val="auto"/>
              </w:rPr>
              <w:t>Adjusted EBITDA attributable to Matador Resources Company shareholders</w:t>
            </w:r>
          </w:p>
        </w:tc>
        <w:tc>
          <w:tcPr>
            <w:tcW w:w="240" w:type="dxa"/>
            <w:vAlign w:val="bottom"/>
            <w:tcBorders>
              <w:bottom w:val="single" w:sz="8" w:color="214E93"/>
            </w:tcBorders>
          </w:tcPr>
          <w:p>
            <w:pPr>
              <w:jc w:val="right"/>
              <w:ind w:right="3"/>
              <w:spacing w:after="0"/>
              <w:rPr>
                <w:sz w:val="20"/>
                <w:szCs w:val="20"/>
                <w:color w:val="auto"/>
              </w:rPr>
            </w:pPr>
            <w:r>
              <w:rPr>
                <w:rFonts w:ascii="Verdana" w:cs="Verdana" w:eastAsia="Verdana" w:hAnsi="Verdana"/>
                <w:sz w:val="16"/>
                <w:szCs w:val="16"/>
                <w:color w:val="214E93"/>
              </w:rPr>
              <w:t>$</w:t>
            </w:r>
          </w:p>
        </w:tc>
        <w:tc>
          <w:tcPr>
            <w:tcW w:w="980" w:type="dxa"/>
            <w:vAlign w:val="bottom"/>
            <w:tcBorders>
              <w:bottom w:val="single" w:sz="8" w:color="214E93"/>
            </w:tcBorders>
          </w:tcPr>
          <w:p>
            <w:pPr>
              <w:jc w:val="right"/>
              <w:ind w:right="2"/>
              <w:spacing w:after="0"/>
              <w:rPr>
                <w:sz w:val="20"/>
                <w:szCs w:val="20"/>
                <w:color w:val="auto"/>
              </w:rPr>
            </w:pPr>
            <w:r>
              <w:rPr>
                <w:rFonts w:ascii="Verdana" w:cs="Verdana" w:eastAsia="Verdana" w:hAnsi="Verdana"/>
                <w:sz w:val="16"/>
                <w:szCs w:val="16"/>
                <w:color w:val="214E93"/>
              </w:rPr>
              <w:t>2,294,551</w:t>
            </w:r>
          </w:p>
        </w:tc>
        <w:tc>
          <w:tcPr>
            <w:tcW w:w="300" w:type="dxa"/>
            <w:vAlign w:val="bottom"/>
            <w:tcBorders>
              <w:bottom w:val="single" w:sz="8" w:color="214E93"/>
            </w:tcBorders>
            <w:gridSpan w:val="2"/>
          </w:tcPr>
          <w:p>
            <w:pPr>
              <w:jc w:val="right"/>
              <w:ind w:right="6"/>
              <w:spacing w:after="0"/>
              <w:rPr>
                <w:sz w:val="20"/>
                <w:szCs w:val="20"/>
                <w:color w:val="auto"/>
              </w:rPr>
            </w:pPr>
            <w:r>
              <w:rPr>
                <w:rFonts w:ascii="Verdana" w:cs="Verdana" w:eastAsia="Verdana" w:hAnsi="Verdana"/>
                <w:sz w:val="16"/>
                <w:szCs w:val="16"/>
                <w:color w:val="auto"/>
              </w:rPr>
              <w:t>$</w:t>
            </w:r>
          </w:p>
        </w:tc>
        <w:tc>
          <w:tcPr>
            <w:tcW w:w="1000" w:type="dxa"/>
            <w:vAlign w:val="bottom"/>
            <w:tcBorders>
              <w:bottom w:val="single" w:sz="8" w:color="214E93"/>
            </w:tcBorders>
          </w:tcPr>
          <w:p>
            <w:pPr>
              <w:jc w:val="right"/>
              <w:ind w:right="22"/>
              <w:spacing w:after="0"/>
              <w:rPr>
                <w:sz w:val="20"/>
                <w:szCs w:val="20"/>
                <w:color w:val="auto"/>
              </w:rPr>
            </w:pPr>
            <w:r>
              <w:rPr>
                <w:rFonts w:ascii="Verdana" w:cs="Verdana" w:eastAsia="Verdana" w:hAnsi="Verdana"/>
                <w:sz w:val="16"/>
                <w:szCs w:val="16"/>
                <w:color w:val="auto"/>
              </w:rPr>
              <w:t>2,298,777</w:t>
            </w:r>
          </w:p>
        </w:tc>
      </w:tr>
      <w:tr>
        <w:trPr>
          <w:trHeight w:val="511"/>
        </w:trPr>
        <w:tc>
          <w:tcPr>
            <w:tcW w:w="6800" w:type="dxa"/>
            <w:vAlign w:val="bottom"/>
          </w:tcPr>
          <w:p>
            <w:pPr>
              <w:spacing w:after="0"/>
              <w:rPr>
                <w:sz w:val="24"/>
                <w:szCs w:val="24"/>
                <w:color w:val="auto"/>
              </w:rPr>
            </w:pPr>
          </w:p>
        </w:tc>
        <w:tc>
          <w:tcPr>
            <w:tcW w:w="240" w:type="dxa"/>
            <w:vAlign w:val="bottom"/>
            <w:tcBorders>
              <w:bottom w:val="single" w:sz="8" w:color="214E93"/>
            </w:tcBorders>
          </w:tcPr>
          <w:p>
            <w:pPr>
              <w:spacing w:after="0"/>
              <w:rPr>
                <w:sz w:val="24"/>
                <w:szCs w:val="24"/>
                <w:color w:val="auto"/>
              </w:rPr>
            </w:pPr>
          </w:p>
        </w:tc>
        <w:tc>
          <w:tcPr>
            <w:tcW w:w="2280" w:type="dxa"/>
            <w:vAlign w:val="bottom"/>
            <w:tcBorders>
              <w:bottom w:val="single" w:sz="8" w:color="214E93"/>
            </w:tcBorders>
            <w:gridSpan w:val="4"/>
          </w:tcPr>
          <w:p>
            <w:pPr>
              <w:jc w:val="right"/>
              <w:ind w:right="782"/>
              <w:spacing w:after="0"/>
              <w:rPr>
                <w:sz w:val="20"/>
                <w:szCs w:val="20"/>
                <w:color w:val="auto"/>
              </w:rPr>
            </w:pPr>
            <w:r>
              <w:rPr>
                <w:rFonts w:ascii="Verdana" w:cs="Verdana" w:eastAsia="Verdana" w:hAnsi="Verdana"/>
                <w:sz w:val="14"/>
                <w:szCs w:val="14"/>
                <w:color w:val="auto"/>
              </w:rPr>
              <w:t>Year Ended</w:t>
            </w:r>
          </w:p>
        </w:tc>
      </w:tr>
      <w:tr>
        <w:trPr>
          <w:trHeight w:val="194"/>
        </w:trPr>
        <w:tc>
          <w:tcPr>
            <w:tcW w:w="6800" w:type="dxa"/>
            <w:vAlign w:val="bottom"/>
          </w:tcPr>
          <w:p>
            <w:pPr>
              <w:spacing w:after="0"/>
              <w:rPr>
                <w:sz w:val="16"/>
                <w:szCs w:val="16"/>
                <w:color w:val="auto"/>
              </w:rPr>
            </w:pPr>
          </w:p>
        </w:tc>
        <w:tc>
          <w:tcPr>
            <w:tcW w:w="1220" w:type="dxa"/>
            <w:vAlign w:val="bottom"/>
            <w:gridSpan w:val="2"/>
          </w:tcPr>
          <w:p>
            <w:pPr>
              <w:jc w:val="right"/>
              <w:ind w:right="42"/>
              <w:spacing w:after="0"/>
              <w:rPr>
                <w:sz w:val="20"/>
                <w:szCs w:val="20"/>
                <w:color w:val="auto"/>
              </w:rPr>
            </w:pPr>
            <w:r>
              <w:rPr>
                <w:rFonts w:ascii="Verdana" w:cs="Verdana" w:eastAsia="Verdana" w:hAnsi="Verdana"/>
                <w:sz w:val="14"/>
                <w:szCs w:val="14"/>
                <w:color w:val="214E93"/>
              </w:rPr>
              <w:t>December 31,</w:t>
            </w:r>
          </w:p>
        </w:tc>
        <w:tc>
          <w:tcPr>
            <w:tcW w:w="60" w:type="dxa"/>
            <w:vAlign w:val="bottom"/>
          </w:tcPr>
          <w:p>
            <w:pPr>
              <w:spacing w:after="0"/>
              <w:rPr>
                <w:sz w:val="16"/>
                <w:szCs w:val="16"/>
                <w:color w:val="auto"/>
              </w:rPr>
            </w:pPr>
          </w:p>
        </w:tc>
        <w:tc>
          <w:tcPr>
            <w:tcW w:w="1240" w:type="dxa"/>
            <w:vAlign w:val="bottom"/>
            <w:gridSpan w:val="2"/>
          </w:tcPr>
          <w:p>
            <w:pPr>
              <w:jc w:val="right"/>
              <w:ind w:right="62"/>
              <w:spacing w:after="0"/>
              <w:rPr>
                <w:sz w:val="20"/>
                <w:szCs w:val="20"/>
                <w:color w:val="auto"/>
              </w:rPr>
            </w:pPr>
            <w:r>
              <w:rPr>
                <w:rFonts w:ascii="Verdana" w:cs="Verdana" w:eastAsia="Verdana" w:hAnsi="Verdana"/>
                <w:sz w:val="14"/>
                <w:szCs w:val="14"/>
                <w:color w:val="auto"/>
              </w:rPr>
              <w:t>December 31,</w:t>
            </w:r>
          </w:p>
        </w:tc>
      </w:tr>
      <w:tr>
        <w:trPr>
          <w:trHeight w:val="229"/>
        </w:trPr>
        <w:tc>
          <w:tcPr>
            <w:tcW w:w="6800" w:type="dxa"/>
            <w:vAlign w:val="bottom"/>
            <w:tcBorders>
              <w:bottom w:val="single" w:sz="8" w:color="214E93"/>
            </w:tcBorders>
          </w:tcPr>
          <w:p>
            <w:pPr>
              <w:spacing w:after="0"/>
              <w:rPr>
                <w:sz w:val="19"/>
                <w:szCs w:val="19"/>
                <w:color w:val="auto"/>
              </w:rPr>
            </w:pPr>
          </w:p>
        </w:tc>
        <w:tc>
          <w:tcPr>
            <w:tcW w:w="240" w:type="dxa"/>
            <w:vAlign w:val="bottom"/>
            <w:tcBorders>
              <w:bottom w:val="single" w:sz="8" w:color="214E93"/>
            </w:tcBorders>
          </w:tcPr>
          <w:p>
            <w:pPr>
              <w:spacing w:after="0"/>
              <w:rPr>
                <w:sz w:val="19"/>
                <w:szCs w:val="19"/>
                <w:color w:val="auto"/>
              </w:rPr>
            </w:pPr>
          </w:p>
        </w:tc>
        <w:tc>
          <w:tcPr>
            <w:tcW w:w="980" w:type="dxa"/>
            <w:vAlign w:val="bottom"/>
            <w:tcBorders>
              <w:bottom w:val="single" w:sz="8" w:color="214E93"/>
            </w:tcBorders>
          </w:tcPr>
          <w:p>
            <w:pPr>
              <w:jc w:val="right"/>
              <w:ind w:right="342"/>
              <w:spacing w:after="0"/>
              <w:rPr>
                <w:sz w:val="20"/>
                <w:szCs w:val="20"/>
                <w:color w:val="auto"/>
              </w:rPr>
            </w:pPr>
            <w:r>
              <w:rPr>
                <w:rFonts w:ascii="Verdana" w:cs="Verdana" w:eastAsia="Verdana" w:hAnsi="Verdana"/>
                <w:sz w:val="14"/>
                <w:szCs w:val="14"/>
                <w:color w:val="214E93"/>
              </w:rPr>
              <w:t>2025</w:t>
            </w:r>
          </w:p>
        </w:tc>
        <w:tc>
          <w:tcPr>
            <w:tcW w:w="60" w:type="dxa"/>
            <w:vAlign w:val="bottom"/>
            <w:tcBorders>
              <w:bottom w:val="single" w:sz="8" w:color="214E93"/>
            </w:tcBorders>
          </w:tcPr>
          <w:p>
            <w:pPr>
              <w:spacing w:after="0"/>
              <w:rPr>
                <w:sz w:val="19"/>
                <w:szCs w:val="19"/>
                <w:color w:val="auto"/>
              </w:rPr>
            </w:pPr>
          </w:p>
        </w:tc>
        <w:tc>
          <w:tcPr>
            <w:tcW w:w="240" w:type="dxa"/>
            <w:vAlign w:val="bottom"/>
            <w:tcBorders>
              <w:bottom w:val="single" w:sz="8" w:color="214E93"/>
            </w:tcBorders>
          </w:tcPr>
          <w:p>
            <w:pPr>
              <w:spacing w:after="0"/>
              <w:rPr>
                <w:sz w:val="19"/>
                <w:szCs w:val="19"/>
                <w:color w:val="auto"/>
              </w:rPr>
            </w:pPr>
          </w:p>
        </w:tc>
        <w:tc>
          <w:tcPr>
            <w:tcW w:w="1000" w:type="dxa"/>
            <w:vAlign w:val="bottom"/>
            <w:tcBorders>
              <w:bottom w:val="single" w:sz="8" w:color="214E93"/>
            </w:tcBorders>
          </w:tcPr>
          <w:p>
            <w:pPr>
              <w:jc w:val="right"/>
              <w:ind w:right="362"/>
              <w:spacing w:after="0"/>
              <w:rPr>
                <w:sz w:val="20"/>
                <w:szCs w:val="20"/>
                <w:color w:val="auto"/>
              </w:rPr>
            </w:pPr>
            <w:r>
              <w:rPr>
                <w:rFonts w:ascii="Verdana" w:cs="Verdana" w:eastAsia="Verdana" w:hAnsi="Verdana"/>
                <w:sz w:val="14"/>
                <w:szCs w:val="14"/>
                <w:color w:val="auto"/>
              </w:rPr>
              <w:t>2024</w:t>
            </w:r>
          </w:p>
        </w:tc>
      </w:tr>
      <w:tr>
        <w:trPr>
          <w:trHeight w:val="194"/>
        </w:trPr>
        <w:tc>
          <w:tcPr>
            <w:tcW w:w="6800" w:type="dxa"/>
            <w:vAlign w:val="bottom"/>
          </w:tcPr>
          <w:p>
            <w:pPr>
              <w:ind w:left="40"/>
              <w:spacing w:after="0"/>
              <w:rPr>
                <w:sz w:val="20"/>
                <w:szCs w:val="20"/>
                <w:color w:val="auto"/>
              </w:rPr>
            </w:pPr>
            <w:r>
              <w:rPr>
                <w:rFonts w:ascii="Verdana" w:cs="Verdana" w:eastAsia="Verdana" w:hAnsi="Verdana"/>
                <w:sz w:val="14"/>
                <w:szCs w:val="14"/>
                <w:i w:val="1"/>
                <w:iCs w:val="1"/>
                <w:color w:val="auto"/>
              </w:rPr>
              <w:t>(In thousands)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70"/>
        </w:trPr>
        <w:tc>
          <w:tcPr>
            <w:tcW w:w="6800" w:type="dxa"/>
            <w:vAlign w:val="bottom"/>
          </w:tcPr>
          <w:p>
            <w:pPr>
              <w:ind w:left="40"/>
              <w:spacing w:after="0"/>
              <w:rPr>
                <w:sz w:val="20"/>
                <w:szCs w:val="20"/>
                <w:color w:val="auto"/>
              </w:rPr>
            </w:pPr>
            <w:r>
              <w:rPr>
                <w:rFonts w:ascii="Calibri" w:cs="Calibri" w:eastAsia="Calibri" w:hAnsi="Calibri"/>
                <w:sz w:val="19"/>
                <w:szCs w:val="19"/>
                <w:b w:val="1"/>
                <w:bCs w:val="1"/>
                <w:color w:val="auto"/>
              </w:rPr>
              <w:t>Unaudited Adjusted EBITDA reconciliation to Net Cash Provided by Operating</w:t>
            </w: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4"/>
        </w:trPr>
        <w:tc>
          <w:tcPr>
            <w:tcW w:w="6800" w:type="dxa"/>
            <w:vAlign w:val="bottom"/>
          </w:tcPr>
          <w:p>
            <w:pPr>
              <w:ind w:left="40"/>
              <w:spacing w:after="0" w:line="225" w:lineRule="exact"/>
              <w:rPr>
                <w:sz w:val="20"/>
                <w:szCs w:val="20"/>
                <w:color w:val="auto"/>
              </w:rPr>
            </w:pPr>
            <w:r>
              <w:rPr>
                <w:rFonts w:ascii="Calibri" w:cs="Calibri" w:eastAsia="Calibri" w:hAnsi="Calibri"/>
                <w:sz w:val="19"/>
                <w:szCs w:val="19"/>
                <w:b w:val="1"/>
                <w:bCs w:val="1"/>
                <w:color w:val="auto"/>
              </w:rPr>
              <w:t>Activities: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60"/>
        </w:trPr>
        <w:tc>
          <w:tcPr>
            <w:tcW w:w="6800" w:type="dxa"/>
            <w:vAlign w:val="bottom"/>
          </w:tcPr>
          <w:p>
            <w:pPr>
              <w:ind w:left="40"/>
              <w:spacing w:after="0"/>
              <w:rPr>
                <w:sz w:val="20"/>
                <w:szCs w:val="20"/>
                <w:color w:val="auto"/>
              </w:rPr>
            </w:pPr>
            <w:r>
              <w:rPr>
                <w:rFonts w:ascii="Verdana" w:cs="Verdana" w:eastAsia="Verdana" w:hAnsi="Verdana"/>
                <w:sz w:val="16"/>
                <w:szCs w:val="16"/>
                <w:color w:val="auto"/>
              </w:rPr>
              <w:t>Net cash provided by operating activities</w:t>
            </w:r>
          </w:p>
        </w:tc>
        <w:tc>
          <w:tcPr>
            <w:tcW w:w="240" w:type="dxa"/>
            <w:vAlign w:val="bottom"/>
          </w:tcPr>
          <w:p>
            <w:pPr>
              <w:jc w:val="right"/>
              <w:ind w:right="3"/>
              <w:spacing w:after="0"/>
              <w:rPr>
                <w:sz w:val="20"/>
                <w:szCs w:val="20"/>
                <w:color w:val="auto"/>
              </w:rPr>
            </w:pPr>
            <w:r>
              <w:rPr>
                <w:rFonts w:ascii="Verdana" w:cs="Verdana" w:eastAsia="Verdana" w:hAnsi="Verdana"/>
                <w:sz w:val="16"/>
                <w:szCs w:val="16"/>
                <w:color w:val="214E93"/>
              </w:rPr>
              <w:t>$</w:t>
            </w:r>
          </w:p>
        </w:tc>
        <w:tc>
          <w:tcPr>
            <w:tcW w:w="980" w:type="dxa"/>
            <w:vAlign w:val="bottom"/>
          </w:tcPr>
          <w:p>
            <w:pPr>
              <w:jc w:val="right"/>
              <w:ind w:right="2"/>
              <w:spacing w:after="0"/>
              <w:rPr>
                <w:sz w:val="20"/>
                <w:szCs w:val="20"/>
                <w:color w:val="auto"/>
              </w:rPr>
            </w:pPr>
            <w:r>
              <w:rPr>
                <w:rFonts w:ascii="Verdana" w:cs="Verdana" w:eastAsia="Verdana" w:hAnsi="Verdana"/>
                <w:sz w:val="16"/>
                <w:szCs w:val="16"/>
                <w:color w:val="214E93"/>
              </w:rPr>
              <w:t>2,425,015</w:t>
            </w:r>
          </w:p>
        </w:tc>
        <w:tc>
          <w:tcPr>
            <w:tcW w:w="300" w:type="dxa"/>
            <w:vAlign w:val="bottom"/>
            <w:gridSpan w:val="2"/>
          </w:tcPr>
          <w:p>
            <w:pPr>
              <w:jc w:val="right"/>
              <w:ind w:right="6"/>
              <w:spacing w:after="0"/>
              <w:rPr>
                <w:sz w:val="20"/>
                <w:szCs w:val="20"/>
                <w:color w:val="auto"/>
              </w:rPr>
            </w:pPr>
            <w:r>
              <w:rPr>
                <w:rFonts w:ascii="Verdana" w:cs="Verdana" w:eastAsia="Verdana" w:hAnsi="Verdana"/>
                <w:sz w:val="16"/>
                <w:szCs w:val="16"/>
                <w:color w:val="auto"/>
              </w:rPr>
              <w:t>$</w:t>
            </w:r>
          </w:p>
        </w:tc>
        <w:tc>
          <w:tcPr>
            <w:tcW w:w="1000" w:type="dxa"/>
            <w:vAlign w:val="bottom"/>
          </w:tcPr>
          <w:p>
            <w:pPr>
              <w:jc w:val="right"/>
              <w:ind w:right="22"/>
              <w:spacing w:after="0"/>
              <w:rPr>
                <w:sz w:val="20"/>
                <w:szCs w:val="20"/>
                <w:color w:val="auto"/>
              </w:rPr>
            </w:pPr>
            <w:r>
              <w:rPr>
                <w:rFonts w:ascii="Verdana" w:cs="Verdana" w:eastAsia="Verdana" w:hAnsi="Verdana"/>
                <w:sz w:val="16"/>
                <w:szCs w:val="16"/>
                <w:color w:val="auto"/>
              </w:rPr>
              <w:t>2,246,885</w:t>
            </w:r>
          </w:p>
        </w:tc>
      </w:tr>
      <w:tr>
        <w:trPr>
          <w:trHeight w:val="236"/>
        </w:trPr>
        <w:tc>
          <w:tcPr>
            <w:tcW w:w="6800" w:type="dxa"/>
            <w:vAlign w:val="bottom"/>
          </w:tcPr>
          <w:p>
            <w:pPr>
              <w:ind w:left="40"/>
              <w:spacing w:after="0"/>
              <w:rPr>
                <w:sz w:val="20"/>
                <w:szCs w:val="20"/>
                <w:color w:val="auto"/>
              </w:rPr>
            </w:pPr>
            <w:r>
              <w:rPr>
                <w:rFonts w:ascii="Verdana" w:cs="Verdana" w:eastAsia="Verdana" w:hAnsi="Verdana"/>
                <w:sz w:val="16"/>
                <w:szCs w:val="16"/>
                <w:color w:val="auto"/>
              </w:rPr>
              <w:t>Net change in operating assets and liabilities</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Verdana" w:cs="Verdana" w:eastAsia="Verdana" w:hAnsi="Verdana"/>
                <w:sz w:val="16"/>
                <w:szCs w:val="16"/>
                <w:color w:val="214E93"/>
              </w:rPr>
              <w:t>(176,189)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Verdana" w:cs="Verdana" w:eastAsia="Verdana" w:hAnsi="Verdana"/>
                <w:sz w:val="16"/>
                <w:szCs w:val="16"/>
                <w:color w:val="auto"/>
              </w:rPr>
              <w:t>(13,080)</w:t>
            </w:r>
          </w:p>
        </w:tc>
      </w:tr>
      <w:tr>
        <w:trPr>
          <w:trHeight w:val="236"/>
        </w:trPr>
        <w:tc>
          <w:tcPr>
            <w:tcW w:w="6800" w:type="dxa"/>
            <w:vAlign w:val="bottom"/>
          </w:tcPr>
          <w:p>
            <w:pPr>
              <w:ind w:left="40"/>
              <w:spacing w:after="0"/>
              <w:rPr>
                <w:sz w:val="20"/>
                <w:szCs w:val="20"/>
                <w:color w:val="auto"/>
              </w:rPr>
            </w:pPr>
            <w:r>
              <w:rPr>
                <w:rFonts w:ascii="Verdana" w:cs="Verdana" w:eastAsia="Verdana" w:hAnsi="Verdana"/>
                <w:sz w:val="16"/>
                <w:szCs w:val="16"/>
                <w:color w:val="auto"/>
              </w:rPr>
              <w:t>Interest expense, net of non-cash portion</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Verdana" w:cs="Verdana" w:eastAsia="Verdana" w:hAnsi="Verdana"/>
                <w:sz w:val="16"/>
                <w:szCs w:val="16"/>
                <w:color w:val="214E93"/>
              </w:rPr>
              <w:t>193,756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Verdana" w:cs="Verdana" w:eastAsia="Verdana" w:hAnsi="Verdana"/>
                <w:sz w:val="16"/>
                <w:szCs w:val="16"/>
                <w:color w:val="auto"/>
              </w:rPr>
              <w:t>155,154</w:t>
            </w:r>
          </w:p>
        </w:tc>
      </w:tr>
      <w:tr>
        <w:trPr>
          <w:trHeight w:val="236"/>
        </w:trPr>
        <w:tc>
          <w:tcPr>
            <w:tcW w:w="6800" w:type="dxa"/>
            <w:vAlign w:val="bottom"/>
          </w:tcPr>
          <w:p>
            <w:pPr>
              <w:ind w:left="40"/>
              <w:spacing w:after="0"/>
              <w:rPr>
                <w:sz w:val="20"/>
                <w:szCs w:val="20"/>
                <w:color w:val="auto"/>
              </w:rPr>
            </w:pPr>
            <w:r>
              <w:rPr>
                <w:rFonts w:ascii="Verdana" w:cs="Verdana" w:eastAsia="Verdana" w:hAnsi="Verdana"/>
                <w:sz w:val="16"/>
                <w:szCs w:val="16"/>
                <w:color w:val="auto"/>
              </w:rPr>
              <w:t>Current income tax provision</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Verdana" w:cs="Verdana" w:eastAsia="Verdana" w:hAnsi="Verdana"/>
                <w:sz w:val="16"/>
                <w:szCs w:val="16"/>
                <w:color w:val="214E93"/>
              </w:rPr>
              <w:t>7,088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Verdana" w:cs="Verdana" w:eastAsia="Verdana" w:hAnsi="Verdana"/>
                <w:sz w:val="16"/>
                <w:szCs w:val="16"/>
                <w:color w:val="auto"/>
              </w:rPr>
              <w:t>27,059</w:t>
            </w:r>
          </w:p>
        </w:tc>
      </w:tr>
      <w:tr>
        <w:trPr>
          <w:trHeight w:val="236"/>
        </w:trPr>
        <w:tc>
          <w:tcPr>
            <w:tcW w:w="6800" w:type="dxa"/>
            <w:vAlign w:val="bottom"/>
          </w:tcPr>
          <w:p>
            <w:pPr>
              <w:ind w:left="40"/>
              <w:spacing w:after="0"/>
              <w:rPr>
                <w:sz w:val="20"/>
                <w:szCs w:val="20"/>
                <w:color w:val="auto"/>
              </w:rPr>
            </w:pPr>
            <w:r>
              <w:rPr>
                <w:rFonts w:ascii="Verdana" w:cs="Verdana" w:eastAsia="Verdana" w:hAnsi="Verdana"/>
                <w:sz w:val="16"/>
                <w:szCs w:val="16"/>
                <w:color w:val="auto"/>
              </w:rPr>
              <w:t>Net loss on asset sales and impairment</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Verdana" w:cs="Verdana" w:eastAsia="Verdana" w:hAnsi="Verdana"/>
                <w:sz w:val="16"/>
                <w:szCs w:val="16"/>
                <w:color w:val="214E93"/>
              </w:rPr>
              <w:t>589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Verdana" w:cs="Verdana" w:eastAsia="Verdana" w:hAnsi="Verdana"/>
                <w:sz w:val="16"/>
                <w:szCs w:val="16"/>
                <w:color w:val="auto"/>
              </w:rPr>
              <w:t>—</w:t>
            </w:r>
          </w:p>
        </w:tc>
      </w:tr>
      <w:tr>
        <w:trPr>
          <w:trHeight w:val="236"/>
        </w:trPr>
        <w:tc>
          <w:tcPr>
            <w:tcW w:w="6800" w:type="dxa"/>
            <w:vAlign w:val="bottom"/>
          </w:tcPr>
          <w:p>
            <w:pPr>
              <w:ind w:left="40"/>
              <w:spacing w:after="0"/>
              <w:rPr>
                <w:sz w:val="20"/>
                <w:szCs w:val="20"/>
                <w:color w:val="auto"/>
              </w:rPr>
            </w:pPr>
            <w:r>
              <w:rPr>
                <w:rFonts w:ascii="Verdana" w:cs="Verdana" w:eastAsia="Verdana" w:hAnsi="Verdana"/>
                <w:sz w:val="16"/>
                <w:szCs w:val="16"/>
                <w:color w:val="auto"/>
              </w:rPr>
              <w:t>Other non-cash and non-recurring (income) expense</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Verdana" w:cs="Verdana" w:eastAsia="Verdana" w:hAnsi="Verdana"/>
                <w:sz w:val="16"/>
                <w:szCs w:val="16"/>
                <w:color w:val="214E93"/>
              </w:rPr>
              <w:t>(11,597)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Verdana" w:cs="Verdana" w:eastAsia="Verdana" w:hAnsi="Verdana"/>
                <w:sz w:val="16"/>
                <w:szCs w:val="16"/>
                <w:color w:val="auto"/>
              </w:rPr>
              <w:t>6,806</w:t>
            </w:r>
          </w:p>
        </w:tc>
      </w:tr>
      <w:tr>
        <w:trPr>
          <w:trHeight w:val="242"/>
        </w:trPr>
        <w:tc>
          <w:tcPr>
            <w:tcW w:w="680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Adjusted EBITDA attributable to non-controlling interest in subsidiaries</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214E93"/>
              </w:rPr>
              <w:t>(144,111)</w:t>
            </w: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(124,047)</w:t>
            </w:r>
          </w:p>
        </w:tc>
      </w:tr>
      <w:tr>
        <w:trPr>
          <w:trHeight w:val="211"/>
        </w:trPr>
        <w:tc>
          <w:tcPr>
            <w:tcW w:w="6800" w:type="dxa"/>
            <w:vAlign w:val="bottom"/>
          </w:tcPr>
          <w:p>
            <w:pPr>
              <w:ind w:left="160"/>
              <w:spacing w:after="0"/>
              <w:rPr>
                <w:sz w:val="20"/>
                <w:szCs w:val="20"/>
                <w:color w:val="auto"/>
              </w:rPr>
            </w:pPr>
            <w:r>
              <w:rPr>
                <w:rFonts w:ascii="Verdana" w:cs="Verdana" w:eastAsia="Verdana" w:hAnsi="Verdana"/>
                <w:sz w:val="16"/>
                <w:szCs w:val="16"/>
                <w:color w:val="auto"/>
              </w:rPr>
              <w:t>Adjusted EBITDA attributable to Matador Resources Company shareholders</w:t>
            </w:r>
          </w:p>
        </w:tc>
        <w:tc>
          <w:tcPr>
            <w:tcW w:w="240" w:type="dxa"/>
            <w:vAlign w:val="bottom"/>
          </w:tcPr>
          <w:p>
            <w:pPr>
              <w:jc w:val="right"/>
              <w:ind w:right="3"/>
              <w:spacing w:after="0"/>
              <w:rPr>
                <w:sz w:val="20"/>
                <w:szCs w:val="20"/>
                <w:color w:val="auto"/>
              </w:rPr>
            </w:pPr>
            <w:r>
              <w:rPr>
                <w:rFonts w:ascii="Verdana" w:cs="Verdana" w:eastAsia="Verdana" w:hAnsi="Verdana"/>
                <w:sz w:val="16"/>
                <w:szCs w:val="16"/>
                <w:color w:val="214E93"/>
              </w:rPr>
              <w:t>$</w:t>
            </w:r>
          </w:p>
        </w:tc>
        <w:tc>
          <w:tcPr>
            <w:tcW w:w="980" w:type="dxa"/>
            <w:vAlign w:val="bottom"/>
          </w:tcPr>
          <w:p>
            <w:pPr>
              <w:jc w:val="right"/>
              <w:ind w:right="2"/>
              <w:spacing w:after="0"/>
              <w:rPr>
                <w:sz w:val="20"/>
                <w:szCs w:val="20"/>
                <w:color w:val="auto"/>
              </w:rPr>
            </w:pPr>
            <w:r>
              <w:rPr>
                <w:rFonts w:ascii="Verdana" w:cs="Verdana" w:eastAsia="Verdana" w:hAnsi="Verdana"/>
                <w:sz w:val="16"/>
                <w:szCs w:val="16"/>
                <w:color w:val="214E93"/>
              </w:rPr>
              <w:t>2,294,551</w:t>
            </w:r>
          </w:p>
        </w:tc>
        <w:tc>
          <w:tcPr>
            <w:tcW w:w="60" w:type="dxa"/>
            <w:vAlign w:val="bottom"/>
          </w:tcPr>
          <w:p>
            <w:pPr>
              <w:spacing w:after="0"/>
              <w:rPr>
                <w:sz w:val="18"/>
                <w:szCs w:val="18"/>
                <w:color w:val="auto"/>
              </w:rPr>
            </w:pPr>
          </w:p>
        </w:tc>
        <w:tc>
          <w:tcPr>
            <w:tcW w:w="240" w:type="dxa"/>
            <w:vAlign w:val="bottom"/>
          </w:tcPr>
          <w:p>
            <w:pPr>
              <w:jc w:val="right"/>
              <w:ind w:right="6"/>
              <w:spacing w:after="0"/>
              <w:rPr>
                <w:sz w:val="20"/>
                <w:szCs w:val="20"/>
                <w:color w:val="auto"/>
              </w:rPr>
            </w:pPr>
            <w:r>
              <w:rPr>
                <w:rFonts w:ascii="Verdana" w:cs="Verdana" w:eastAsia="Verdana" w:hAnsi="Verdana"/>
                <w:sz w:val="16"/>
                <w:szCs w:val="16"/>
                <w:color w:val="auto"/>
              </w:rPr>
              <w:t>$</w:t>
            </w:r>
          </w:p>
        </w:tc>
        <w:tc>
          <w:tcPr>
            <w:tcW w:w="1000" w:type="dxa"/>
            <w:vAlign w:val="bottom"/>
          </w:tcPr>
          <w:p>
            <w:pPr>
              <w:jc w:val="right"/>
              <w:ind w:right="22"/>
              <w:spacing w:after="0"/>
              <w:rPr>
                <w:sz w:val="20"/>
                <w:szCs w:val="20"/>
                <w:color w:val="auto"/>
              </w:rPr>
            </w:pPr>
            <w:r>
              <w:rPr>
                <w:rFonts w:ascii="Verdana" w:cs="Verdana" w:eastAsia="Verdana" w:hAnsi="Verdana"/>
                <w:sz w:val="16"/>
                <w:szCs w:val="16"/>
                <w:color w:val="auto"/>
              </w:rPr>
              <w:t>2,298,777</w:t>
            </w:r>
          </w:p>
        </w:tc>
      </w:tr>
    </w:tbl>
    <w:p>
      <w:pPr>
        <w:spacing w:after="0" w:line="20" w:lineRule="exact"/>
        <w:rPr>
          <w:sz w:val="20"/>
          <w:szCs w:val="20"/>
          <w:color w:val="auto"/>
        </w:rPr>
      </w:pPr>
    </w:p>
    <w:p>
      <w:pPr>
        <w:sectPr>
          <w:pgSz w:w="11880" w:h="15480" w:orient="portrait"/>
          <w:cols w:equalWidth="0" w:num="1">
            <w:col w:w="10240"/>
          </w:cols>
          <w:pgMar w:left="1160" w:top="498"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920"/>
        <w:spacing w:after="0"/>
        <w:rPr>
          <w:sz w:val="20"/>
          <w:szCs w:val="20"/>
          <w:color w:val="auto"/>
        </w:rPr>
      </w:pPr>
      <w:r>
        <w:rPr>
          <w:rFonts w:ascii="Calibri" w:cs="Calibri" w:eastAsia="Calibri" w:hAnsi="Calibri"/>
          <w:sz w:val="17"/>
          <w:szCs w:val="17"/>
          <w:color w:val="auto"/>
        </w:rPr>
        <w:t>Additional Financial Information</w:t>
      </w:r>
    </w:p>
    <w:p>
      <w:pPr>
        <w:sectPr>
          <w:pgSz w:w="11880" w:h="15480" w:orient="portrait"/>
          <w:cols w:equalWidth="0" w:num="1">
            <w:col w:w="10240"/>
          </w:cols>
          <w:pgMar w:left="1160" w:top="498" w:right="480" w:bottom="0" w:gutter="0" w:footer="0" w:header="0"/>
          <w:type w:val="continuous"/>
        </w:sectPr>
      </w:pPr>
    </w:p>
    <w:bookmarkStart w:id="185" w:name="page186"/>
    <w:bookmarkEnd w:id="185"/>
    <w:p>
      <w:pPr>
        <w:ind w:left="720"/>
        <w:spacing w:after="0"/>
        <w:rPr>
          <w:sz w:val="20"/>
          <w:szCs w:val="20"/>
          <w:color w:val="auto"/>
        </w:rPr>
      </w:pP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426720</wp:posOffset>
                </wp:positionH>
                <wp:positionV relativeFrom="paragraph">
                  <wp:posOffset>320675</wp:posOffset>
                </wp:positionV>
                <wp:extent cx="6812280" cy="0"/>
                <wp:wrapNone/>
                <wp:docPr id="370" name="Shape 3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70" o:spid="_x0000_s13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6pt,25.25pt" to="570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426720</wp:posOffset>
                </wp:positionH>
                <wp:positionV relativeFrom="paragraph">
                  <wp:posOffset>320675</wp:posOffset>
                </wp:positionV>
                <wp:extent cx="6812280" cy="0"/>
                <wp:wrapNone/>
                <wp:docPr id="371" name="Shape 3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71" o:spid="_x0000_s13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6pt,25.25pt" to="570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80"/>
        <w:spacing w:after="0"/>
        <w:rPr>
          <w:sz w:val="20"/>
          <w:szCs w:val="20"/>
          <w:color w:val="auto"/>
        </w:rPr>
      </w:pPr>
      <w:r>
        <w:rPr>
          <w:rFonts w:ascii="Verdana" w:cs="Verdana" w:eastAsia="Verdana" w:hAnsi="Verdana"/>
          <w:sz w:val="20"/>
          <w:szCs w:val="20"/>
          <w:color w:val="214E93"/>
        </w:rPr>
        <w:t>ADJUSTED EBITDA RECONCILIATION - Continued</w:t>
      </w:r>
    </w:p>
    <w:p>
      <w:pPr>
        <w:spacing w:after="0" w:line="196" w:lineRule="exact"/>
        <w:rPr>
          <w:sz w:val="20"/>
          <w:szCs w:val="20"/>
          <w:color w:val="auto"/>
        </w:rPr>
      </w:pPr>
    </w:p>
    <w:p>
      <w:pPr>
        <w:ind w:left="680"/>
        <w:spacing w:after="0"/>
        <w:rPr>
          <w:sz w:val="20"/>
          <w:szCs w:val="20"/>
          <w:color w:val="auto"/>
        </w:rPr>
      </w:pPr>
      <w:r>
        <w:rPr>
          <w:rFonts w:ascii="Calibri" w:cs="Calibri" w:eastAsia="Calibri" w:hAnsi="Calibri"/>
          <w:sz w:val="19"/>
          <w:szCs w:val="19"/>
          <w:b w:val="1"/>
          <w:bCs w:val="1"/>
          <w:color w:val="214E93"/>
        </w:rPr>
        <w:t>Adjusted EBITDA – San Mateo (100%)</w:t>
      </w:r>
    </w:p>
    <w:p>
      <w:pPr>
        <w:spacing w:after="0" w:line="67" w:lineRule="exact"/>
        <w:rPr>
          <w:sz w:val="20"/>
          <w:szCs w:val="20"/>
          <w:color w:val="auto"/>
        </w:rPr>
      </w:pPr>
    </w:p>
    <w:tbl>
      <w:tblPr>
        <w:tblLayout w:type="fixed"/>
        <w:tblInd w:w="680" w:type="dxa"/>
        <w:tblCellMar>
          <w:top w:w="0" w:type="dxa"/>
          <w:left w:w="0" w:type="dxa"/>
          <w:bottom w:w="0" w:type="dxa"/>
          <w:right w:w="0" w:type="dxa"/>
        </w:tblCellMar>
      </w:tblPr>
      <w:tr>
        <w:trPr>
          <w:trHeight w:val="193"/>
        </w:trPr>
        <w:tc>
          <w:tcPr>
            <w:tcW w:w="7280" w:type="dxa"/>
            <w:vAlign w:val="bottom"/>
          </w:tcPr>
          <w:p>
            <w:pPr>
              <w:spacing w:after="0"/>
              <w:rPr>
                <w:sz w:val="16"/>
                <w:szCs w:val="16"/>
                <w:color w:val="auto"/>
              </w:rPr>
            </w:pPr>
          </w:p>
        </w:tc>
        <w:tc>
          <w:tcPr>
            <w:tcW w:w="260" w:type="dxa"/>
            <w:vAlign w:val="bottom"/>
            <w:tcBorders>
              <w:bottom w:val="single" w:sz="8" w:color="214E93"/>
            </w:tcBorders>
          </w:tcPr>
          <w:p>
            <w:pPr>
              <w:spacing w:after="0"/>
              <w:rPr>
                <w:sz w:val="16"/>
                <w:szCs w:val="16"/>
                <w:color w:val="auto"/>
              </w:rPr>
            </w:pPr>
          </w:p>
        </w:tc>
        <w:tc>
          <w:tcPr>
            <w:tcW w:w="1280" w:type="dxa"/>
            <w:vAlign w:val="bottom"/>
            <w:tcBorders>
              <w:bottom w:val="single" w:sz="8" w:color="214E93"/>
            </w:tcBorders>
            <w:gridSpan w:val="2"/>
          </w:tcPr>
          <w:p>
            <w:pPr>
              <w:ind w:left="500"/>
              <w:spacing w:after="0"/>
              <w:rPr>
                <w:sz w:val="20"/>
                <w:szCs w:val="20"/>
                <w:color w:val="auto"/>
              </w:rPr>
            </w:pPr>
            <w:r>
              <w:rPr>
                <w:rFonts w:ascii="Verdana" w:cs="Verdana" w:eastAsia="Verdana" w:hAnsi="Verdana"/>
                <w:sz w:val="14"/>
                <w:szCs w:val="14"/>
                <w:color w:val="auto"/>
                <w:w w:val="95"/>
              </w:rPr>
              <w:t>Year Ended</w:t>
            </w:r>
          </w:p>
        </w:tc>
        <w:tc>
          <w:tcPr>
            <w:tcW w:w="740" w:type="dxa"/>
            <w:vAlign w:val="bottom"/>
            <w:tcBorders>
              <w:bottom w:val="single" w:sz="8" w:color="214E93"/>
            </w:tcBorders>
          </w:tcPr>
          <w:p>
            <w:pPr>
              <w:spacing w:after="0"/>
              <w:rPr>
                <w:sz w:val="16"/>
                <w:szCs w:val="16"/>
                <w:color w:val="auto"/>
              </w:rPr>
            </w:pPr>
          </w:p>
        </w:tc>
      </w:tr>
      <w:tr>
        <w:trPr>
          <w:trHeight w:val="194"/>
        </w:trPr>
        <w:tc>
          <w:tcPr>
            <w:tcW w:w="728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Verdana" w:cs="Verdana" w:eastAsia="Verdana" w:hAnsi="Verdana"/>
                <w:sz w:val="14"/>
                <w:szCs w:val="14"/>
                <w:color w:val="214E93"/>
              </w:rPr>
              <w:t>December 31,</w:t>
            </w:r>
          </w:p>
        </w:tc>
        <w:tc>
          <w:tcPr>
            <w:tcW w:w="1140" w:type="dxa"/>
            <w:vAlign w:val="bottom"/>
            <w:gridSpan w:val="2"/>
          </w:tcPr>
          <w:p>
            <w:pPr>
              <w:ind w:left="100"/>
              <w:spacing w:after="0"/>
              <w:rPr>
                <w:sz w:val="20"/>
                <w:szCs w:val="20"/>
                <w:color w:val="auto"/>
              </w:rPr>
            </w:pPr>
            <w:r>
              <w:rPr>
                <w:rFonts w:ascii="Verdana" w:cs="Verdana" w:eastAsia="Verdana" w:hAnsi="Verdana"/>
                <w:sz w:val="14"/>
                <w:szCs w:val="14"/>
                <w:color w:val="auto"/>
              </w:rPr>
              <w:t>December 31,</w:t>
            </w:r>
          </w:p>
        </w:tc>
      </w:tr>
      <w:tr>
        <w:trPr>
          <w:trHeight w:val="229"/>
        </w:trPr>
        <w:tc>
          <w:tcPr>
            <w:tcW w:w="7280" w:type="dxa"/>
            <w:vAlign w:val="bottom"/>
            <w:tcBorders>
              <w:bottom w:val="single" w:sz="8" w:color="214E93"/>
            </w:tcBorders>
          </w:tcPr>
          <w:p>
            <w:pPr>
              <w:spacing w:after="0"/>
              <w:rPr>
                <w:sz w:val="19"/>
                <w:szCs w:val="19"/>
                <w:color w:val="auto"/>
              </w:rPr>
            </w:pPr>
          </w:p>
        </w:tc>
        <w:tc>
          <w:tcPr>
            <w:tcW w:w="260" w:type="dxa"/>
            <w:vAlign w:val="bottom"/>
            <w:tcBorders>
              <w:bottom w:val="single" w:sz="8" w:color="214E93"/>
            </w:tcBorders>
          </w:tcPr>
          <w:p>
            <w:pPr>
              <w:spacing w:after="0"/>
              <w:rPr>
                <w:sz w:val="19"/>
                <w:szCs w:val="19"/>
                <w:color w:val="auto"/>
              </w:rPr>
            </w:pPr>
          </w:p>
        </w:tc>
        <w:tc>
          <w:tcPr>
            <w:tcW w:w="880" w:type="dxa"/>
            <w:vAlign w:val="bottom"/>
            <w:tcBorders>
              <w:bottom w:val="single" w:sz="8" w:color="214E93"/>
            </w:tcBorders>
          </w:tcPr>
          <w:p>
            <w:pPr>
              <w:ind w:left="120"/>
              <w:spacing w:after="0"/>
              <w:rPr>
                <w:sz w:val="20"/>
                <w:szCs w:val="20"/>
                <w:color w:val="auto"/>
              </w:rPr>
            </w:pPr>
            <w:r>
              <w:rPr>
                <w:rFonts w:ascii="Verdana" w:cs="Verdana" w:eastAsia="Verdana" w:hAnsi="Verdana"/>
                <w:sz w:val="14"/>
                <w:szCs w:val="14"/>
                <w:color w:val="214E93"/>
              </w:rPr>
              <w:t>2025</w:t>
            </w:r>
          </w:p>
        </w:tc>
        <w:tc>
          <w:tcPr>
            <w:tcW w:w="400" w:type="dxa"/>
            <w:vAlign w:val="bottom"/>
            <w:tcBorders>
              <w:bottom w:val="single" w:sz="8" w:color="214E93"/>
            </w:tcBorders>
          </w:tcPr>
          <w:p>
            <w:pPr>
              <w:spacing w:after="0"/>
              <w:rPr>
                <w:sz w:val="19"/>
                <w:szCs w:val="19"/>
                <w:color w:val="auto"/>
              </w:rPr>
            </w:pPr>
          </w:p>
        </w:tc>
        <w:tc>
          <w:tcPr>
            <w:tcW w:w="740" w:type="dxa"/>
            <w:vAlign w:val="bottom"/>
            <w:tcBorders>
              <w:bottom w:val="single" w:sz="8" w:color="214E93"/>
            </w:tcBorders>
          </w:tcPr>
          <w:p>
            <w:pPr>
              <w:ind w:left="20"/>
              <w:spacing w:after="0"/>
              <w:rPr>
                <w:sz w:val="20"/>
                <w:szCs w:val="20"/>
                <w:color w:val="auto"/>
              </w:rPr>
            </w:pPr>
            <w:r>
              <w:rPr>
                <w:rFonts w:ascii="Verdana" w:cs="Verdana" w:eastAsia="Verdana" w:hAnsi="Verdana"/>
                <w:sz w:val="14"/>
                <w:szCs w:val="14"/>
                <w:color w:val="auto"/>
              </w:rPr>
              <w:t>2024</w:t>
            </w:r>
          </w:p>
        </w:tc>
      </w:tr>
      <w:tr>
        <w:trPr>
          <w:trHeight w:val="194"/>
        </w:trPr>
        <w:tc>
          <w:tcPr>
            <w:tcW w:w="7280" w:type="dxa"/>
            <w:vAlign w:val="bottom"/>
          </w:tcPr>
          <w:p>
            <w:pPr>
              <w:ind w:left="40"/>
              <w:spacing w:after="0"/>
              <w:rPr>
                <w:sz w:val="20"/>
                <w:szCs w:val="20"/>
                <w:color w:val="auto"/>
              </w:rPr>
            </w:pPr>
            <w:r>
              <w:rPr>
                <w:rFonts w:ascii="Verdana" w:cs="Verdana" w:eastAsia="Verdana" w:hAnsi="Verdana"/>
                <w:sz w:val="14"/>
                <w:szCs w:val="14"/>
                <w:i w:val="1"/>
                <w:iCs w:val="1"/>
                <w:color w:val="auto"/>
              </w:rPr>
              <w:t>(In thousands)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58"/>
        </w:trPr>
        <w:tc>
          <w:tcPr>
            <w:tcW w:w="7280" w:type="dxa"/>
            <w:vAlign w:val="bottom"/>
          </w:tcPr>
          <w:p>
            <w:pPr>
              <w:ind w:left="40"/>
              <w:spacing w:after="0"/>
              <w:rPr>
                <w:sz w:val="20"/>
                <w:szCs w:val="20"/>
                <w:color w:val="auto"/>
              </w:rPr>
            </w:pPr>
            <w:r>
              <w:rPr>
                <w:rFonts w:ascii="Calibri" w:cs="Calibri" w:eastAsia="Calibri" w:hAnsi="Calibri"/>
                <w:sz w:val="19"/>
                <w:szCs w:val="19"/>
                <w:b w:val="1"/>
                <w:bCs w:val="1"/>
                <w:color w:val="auto"/>
              </w:rPr>
              <w:t>Unaudited Adjusted EBITDA reconciliation to Net Income:</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60"/>
        </w:trPr>
        <w:tc>
          <w:tcPr>
            <w:tcW w:w="7280" w:type="dxa"/>
            <w:vAlign w:val="bottom"/>
          </w:tcPr>
          <w:p>
            <w:pPr>
              <w:ind w:left="40"/>
              <w:spacing w:after="0"/>
              <w:rPr>
                <w:sz w:val="20"/>
                <w:szCs w:val="20"/>
                <w:color w:val="auto"/>
              </w:rPr>
            </w:pPr>
            <w:r>
              <w:rPr>
                <w:rFonts w:ascii="Verdana" w:cs="Verdana" w:eastAsia="Verdana" w:hAnsi="Verdana"/>
                <w:sz w:val="16"/>
                <w:szCs w:val="16"/>
                <w:color w:val="auto"/>
              </w:rPr>
              <w:t>Net income</w:t>
            </w:r>
          </w:p>
        </w:tc>
        <w:tc>
          <w:tcPr>
            <w:tcW w:w="260" w:type="dxa"/>
            <w:vAlign w:val="bottom"/>
          </w:tcPr>
          <w:p>
            <w:pPr>
              <w:ind w:left="60"/>
              <w:spacing w:after="0"/>
              <w:rPr>
                <w:sz w:val="20"/>
                <w:szCs w:val="20"/>
                <w:color w:val="auto"/>
              </w:rPr>
            </w:pPr>
            <w:r>
              <w:rPr>
                <w:rFonts w:ascii="Verdana" w:cs="Verdana" w:eastAsia="Verdana" w:hAnsi="Verdana"/>
                <w:sz w:val="16"/>
                <w:szCs w:val="16"/>
                <w:color w:val="214E93"/>
              </w:rPr>
              <w:t>$</w:t>
            </w:r>
          </w:p>
        </w:tc>
        <w:tc>
          <w:tcPr>
            <w:tcW w:w="880" w:type="dxa"/>
            <w:vAlign w:val="bottom"/>
          </w:tcPr>
          <w:p>
            <w:pPr>
              <w:ind w:left="120"/>
              <w:spacing w:after="0"/>
              <w:rPr>
                <w:sz w:val="20"/>
                <w:szCs w:val="20"/>
                <w:color w:val="auto"/>
              </w:rPr>
            </w:pPr>
            <w:r>
              <w:rPr>
                <w:rFonts w:ascii="Verdana" w:cs="Verdana" w:eastAsia="Verdana" w:hAnsi="Verdana"/>
                <w:sz w:val="16"/>
                <w:szCs w:val="16"/>
                <w:color w:val="214E93"/>
              </w:rPr>
              <w:t>207,242</w:t>
            </w:r>
          </w:p>
        </w:tc>
        <w:tc>
          <w:tcPr>
            <w:tcW w:w="400" w:type="dxa"/>
            <w:vAlign w:val="bottom"/>
          </w:tcPr>
          <w:p>
            <w:pPr>
              <w:ind w:left="80"/>
              <w:spacing w:after="0"/>
              <w:rPr>
                <w:sz w:val="20"/>
                <w:szCs w:val="20"/>
                <w:color w:val="auto"/>
              </w:rPr>
            </w:pPr>
            <w:r>
              <w:rPr>
                <w:rFonts w:ascii="Verdana" w:cs="Verdana" w:eastAsia="Verdana" w:hAnsi="Verdana"/>
                <w:sz w:val="16"/>
                <w:szCs w:val="16"/>
                <w:color w:val="auto"/>
              </w:rPr>
              <w:t>$</w:t>
            </w:r>
          </w:p>
        </w:tc>
        <w:tc>
          <w:tcPr>
            <w:tcW w:w="740" w:type="dxa"/>
            <w:vAlign w:val="bottom"/>
          </w:tcPr>
          <w:p>
            <w:pPr>
              <w:spacing w:after="0"/>
              <w:rPr>
                <w:sz w:val="20"/>
                <w:szCs w:val="20"/>
                <w:color w:val="auto"/>
              </w:rPr>
            </w:pPr>
            <w:r>
              <w:rPr>
                <w:rFonts w:ascii="Verdana" w:cs="Verdana" w:eastAsia="Verdana" w:hAnsi="Verdana"/>
                <w:sz w:val="16"/>
                <w:szCs w:val="16"/>
                <w:color w:val="auto"/>
              </w:rPr>
              <w:t>175,557</w:t>
            </w:r>
          </w:p>
        </w:tc>
      </w:tr>
      <w:tr>
        <w:trPr>
          <w:trHeight w:val="236"/>
        </w:trPr>
        <w:tc>
          <w:tcPr>
            <w:tcW w:w="7280" w:type="dxa"/>
            <w:vAlign w:val="bottom"/>
          </w:tcPr>
          <w:p>
            <w:pPr>
              <w:ind w:left="40"/>
              <w:spacing w:after="0"/>
              <w:rPr>
                <w:sz w:val="20"/>
                <w:szCs w:val="20"/>
                <w:color w:val="auto"/>
              </w:rPr>
            </w:pPr>
            <w:r>
              <w:rPr>
                <w:rFonts w:ascii="Verdana" w:cs="Verdana" w:eastAsia="Verdana" w:hAnsi="Verdana"/>
                <w:sz w:val="16"/>
                <w:szCs w:val="16"/>
                <w:color w:val="auto"/>
              </w:rPr>
              <w:t>Depletion, depreciation and amortization</w:t>
            </w:r>
          </w:p>
        </w:tc>
        <w:tc>
          <w:tcPr>
            <w:tcW w:w="26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Verdana" w:cs="Verdana" w:eastAsia="Verdana" w:hAnsi="Verdana"/>
                <w:sz w:val="16"/>
                <w:szCs w:val="16"/>
                <w:color w:val="214E93"/>
              </w:rPr>
              <w:t>50,751</w:t>
            </w: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Verdana" w:cs="Verdana" w:eastAsia="Verdana" w:hAnsi="Verdana"/>
                <w:sz w:val="16"/>
                <w:szCs w:val="16"/>
                <w:color w:val="auto"/>
              </w:rPr>
              <w:t>37,667</w:t>
            </w:r>
          </w:p>
        </w:tc>
      </w:tr>
      <w:tr>
        <w:trPr>
          <w:trHeight w:val="236"/>
        </w:trPr>
        <w:tc>
          <w:tcPr>
            <w:tcW w:w="7280" w:type="dxa"/>
            <w:vAlign w:val="bottom"/>
          </w:tcPr>
          <w:p>
            <w:pPr>
              <w:ind w:left="40"/>
              <w:spacing w:after="0"/>
              <w:rPr>
                <w:sz w:val="20"/>
                <w:szCs w:val="20"/>
                <w:color w:val="auto"/>
              </w:rPr>
            </w:pPr>
            <w:r>
              <w:rPr>
                <w:rFonts w:ascii="Verdana" w:cs="Verdana" w:eastAsia="Verdana" w:hAnsi="Verdana"/>
                <w:sz w:val="16"/>
                <w:szCs w:val="16"/>
                <w:color w:val="auto"/>
              </w:rPr>
              <w:t>Interest expense</w:t>
            </w:r>
          </w:p>
        </w:tc>
        <w:tc>
          <w:tcPr>
            <w:tcW w:w="26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Verdana" w:cs="Verdana" w:eastAsia="Verdana" w:hAnsi="Verdana"/>
                <w:sz w:val="16"/>
                <w:szCs w:val="16"/>
                <w:color w:val="214E93"/>
              </w:rPr>
              <w:t>37,890</w:t>
            </w: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Verdana" w:cs="Verdana" w:eastAsia="Verdana" w:hAnsi="Verdana"/>
                <w:sz w:val="16"/>
                <w:szCs w:val="16"/>
                <w:color w:val="auto"/>
              </w:rPr>
              <w:t>37,368</w:t>
            </w:r>
          </w:p>
        </w:tc>
      </w:tr>
      <w:tr>
        <w:trPr>
          <w:trHeight w:val="236"/>
        </w:trPr>
        <w:tc>
          <w:tcPr>
            <w:tcW w:w="7280" w:type="dxa"/>
            <w:vAlign w:val="bottom"/>
          </w:tcPr>
          <w:p>
            <w:pPr>
              <w:ind w:left="40"/>
              <w:spacing w:after="0"/>
              <w:rPr>
                <w:sz w:val="20"/>
                <w:szCs w:val="20"/>
                <w:color w:val="auto"/>
              </w:rPr>
            </w:pPr>
            <w:r>
              <w:rPr>
                <w:rFonts w:ascii="Verdana" w:cs="Verdana" w:eastAsia="Verdana" w:hAnsi="Verdana"/>
                <w:sz w:val="16"/>
                <w:szCs w:val="16"/>
                <w:color w:val="auto"/>
              </w:rPr>
              <w:t>Accretion of asset retirement obligations</w:t>
            </w:r>
          </w:p>
        </w:tc>
        <w:tc>
          <w:tcPr>
            <w:tcW w:w="26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Verdana" w:cs="Verdana" w:eastAsia="Verdana" w:hAnsi="Verdana"/>
                <w:sz w:val="16"/>
                <w:szCs w:val="16"/>
                <w:color w:val="214E93"/>
              </w:rPr>
              <w:t>484</w:t>
            </w: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Verdana" w:cs="Verdana" w:eastAsia="Verdana" w:hAnsi="Verdana"/>
                <w:sz w:val="16"/>
                <w:szCs w:val="16"/>
                <w:color w:val="auto"/>
              </w:rPr>
              <w:t>405</w:t>
            </w:r>
          </w:p>
        </w:tc>
      </w:tr>
      <w:tr>
        <w:trPr>
          <w:trHeight w:val="236"/>
        </w:trPr>
        <w:tc>
          <w:tcPr>
            <w:tcW w:w="7280" w:type="dxa"/>
            <w:vAlign w:val="bottom"/>
          </w:tcPr>
          <w:p>
            <w:pPr>
              <w:ind w:left="40"/>
              <w:spacing w:after="0"/>
              <w:rPr>
                <w:sz w:val="20"/>
                <w:szCs w:val="20"/>
                <w:color w:val="auto"/>
              </w:rPr>
            </w:pPr>
            <w:r>
              <w:rPr>
                <w:rFonts w:ascii="Verdana" w:cs="Verdana" w:eastAsia="Verdana" w:hAnsi="Verdana"/>
                <w:sz w:val="16"/>
                <w:szCs w:val="16"/>
                <w:color w:val="auto"/>
              </w:rPr>
              <w:t>Net loss on impairment</w:t>
            </w:r>
          </w:p>
        </w:tc>
        <w:tc>
          <w:tcPr>
            <w:tcW w:w="26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Verdana" w:cs="Verdana" w:eastAsia="Verdana" w:hAnsi="Verdana"/>
                <w:sz w:val="16"/>
                <w:szCs w:val="16"/>
                <w:color w:val="214E93"/>
              </w:rPr>
              <w:t>372</w:t>
            </w: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Verdana" w:cs="Verdana" w:eastAsia="Verdana" w:hAnsi="Verdana"/>
                <w:sz w:val="16"/>
                <w:szCs w:val="16"/>
                <w:color w:val="auto"/>
              </w:rPr>
              <w:t>—</w:t>
            </w:r>
          </w:p>
        </w:tc>
      </w:tr>
      <w:tr>
        <w:trPr>
          <w:trHeight w:val="242"/>
        </w:trPr>
        <w:tc>
          <w:tcPr>
            <w:tcW w:w="728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Non-recurring (income) expense</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
              <w:spacing w:after="0"/>
              <w:rPr>
                <w:sz w:val="20"/>
                <w:szCs w:val="20"/>
                <w:color w:val="auto"/>
              </w:rPr>
            </w:pPr>
            <w:r>
              <w:rPr>
                <w:rFonts w:ascii="Verdana" w:cs="Verdana" w:eastAsia="Verdana" w:hAnsi="Verdana"/>
                <w:sz w:val="16"/>
                <w:szCs w:val="16"/>
                <w:color w:val="214E93"/>
              </w:rPr>
              <w:t>(2,635)</w:t>
            </w: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2,160</w:t>
            </w:r>
          </w:p>
        </w:tc>
      </w:tr>
      <w:tr>
        <w:trPr>
          <w:trHeight w:val="217"/>
        </w:trPr>
        <w:tc>
          <w:tcPr>
            <w:tcW w:w="7280" w:type="dxa"/>
            <w:vAlign w:val="bottom"/>
            <w:tcBorders>
              <w:bottom w:val="single" w:sz="8" w:color="214E93"/>
            </w:tcBorders>
          </w:tcPr>
          <w:p>
            <w:pPr>
              <w:ind w:left="160"/>
              <w:spacing w:after="0"/>
              <w:rPr>
                <w:sz w:val="20"/>
                <w:szCs w:val="20"/>
                <w:color w:val="auto"/>
              </w:rPr>
            </w:pPr>
            <w:r>
              <w:rPr>
                <w:rFonts w:ascii="Verdana" w:cs="Verdana" w:eastAsia="Verdana" w:hAnsi="Verdana"/>
                <w:sz w:val="16"/>
                <w:szCs w:val="16"/>
                <w:color w:val="auto"/>
              </w:rPr>
              <w:t>Adjusted EBITDA (Non-GAAP)</w:t>
            </w:r>
          </w:p>
        </w:tc>
        <w:tc>
          <w:tcPr>
            <w:tcW w:w="260" w:type="dxa"/>
            <w:vAlign w:val="bottom"/>
            <w:tcBorders>
              <w:bottom w:val="single" w:sz="8" w:color="214E93"/>
            </w:tcBorders>
          </w:tcPr>
          <w:p>
            <w:pPr>
              <w:ind w:left="60"/>
              <w:spacing w:after="0"/>
              <w:rPr>
                <w:sz w:val="20"/>
                <w:szCs w:val="20"/>
                <w:color w:val="auto"/>
              </w:rPr>
            </w:pPr>
            <w:r>
              <w:rPr>
                <w:rFonts w:ascii="Verdana" w:cs="Verdana" w:eastAsia="Verdana" w:hAnsi="Verdana"/>
                <w:sz w:val="16"/>
                <w:szCs w:val="16"/>
                <w:color w:val="214E93"/>
              </w:rPr>
              <w:t>$</w:t>
            </w:r>
          </w:p>
        </w:tc>
        <w:tc>
          <w:tcPr>
            <w:tcW w:w="880" w:type="dxa"/>
            <w:vAlign w:val="bottom"/>
            <w:tcBorders>
              <w:bottom w:val="single" w:sz="8" w:color="214E93"/>
            </w:tcBorders>
          </w:tcPr>
          <w:p>
            <w:pPr>
              <w:ind w:left="120"/>
              <w:spacing w:after="0"/>
              <w:rPr>
                <w:sz w:val="20"/>
                <w:szCs w:val="20"/>
                <w:color w:val="auto"/>
              </w:rPr>
            </w:pPr>
            <w:r>
              <w:rPr>
                <w:rFonts w:ascii="Verdana" w:cs="Verdana" w:eastAsia="Verdana" w:hAnsi="Verdana"/>
                <w:sz w:val="16"/>
                <w:szCs w:val="16"/>
                <w:color w:val="214E93"/>
              </w:rPr>
              <w:t>294,104</w:t>
            </w:r>
          </w:p>
        </w:tc>
        <w:tc>
          <w:tcPr>
            <w:tcW w:w="400" w:type="dxa"/>
            <w:vAlign w:val="bottom"/>
            <w:tcBorders>
              <w:bottom w:val="single" w:sz="8" w:color="214E93"/>
            </w:tcBorders>
          </w:tcPr>
          <w:p>
            <w:pPr>
              <w:ind w:left="80"/>
              <w:spacing w:after="0"/>
              <w:rPr>
                <w:sz w:val="20"/>
                <w:szCs w:val="20"/>
                <w:color w:val="auto"/>
              </w:rPr>
            </w:pPr>
            <w:r>
              <w:rPr>
                <w:rFonts w:ascii="Verdana" w:cs="Verdana" w:eastAsia="Verdana" w:hAnsi="Verdana"/>
                <w:sz w:val="16"/>
                <w:szCs w:val="16"/>
                <w:color w:val="auto"/>
              </w:rPr>
              <w:t>$</w:t>
            </w:r>
          </w:p>
        </w:tc>
        <w:tc>
          <w:tcPr>
            <w:tcW w:w="740" w:type="dxa"/>
            <w:vAlign w:val="bottom"/>
            <w:tcBorders>
              <w:bottom w:val="single" w:sz="8" w:color="214E93"/>
            </w:tcBorders>
          </w:tcPr>
          <w:p>
            <w:pPr>
              <w:spacing w:after="0"/>
              <w:rPr>
                <w:sz w:val="20"/>
                <w:szCs w:val="20"/>
                <w:color w:val="auto"/>
              </w:rPr>
            </w:pPr>
            <w:r>
              <w:rPr>
                <w:rFonts w:ascii="Verdana" w:cs="Verdana" w:eastAsia="Verdana" w:hAnsi="Verdana"/>
                <w:sz w:val="16"/>
                <w:szCs w:val="16"/>
                <w:color w:val="auto"/>
              </w:rPr>
              <w:t>253,157</w:t>
            </w:r>
          </w:p>
        </w:tc>
      </w:tr>
      <w:tr>
        <w:trPr>
          <w:trHeight w:val="511"/>
        </w:trPr>
        <w:tc>
          <w:tcPr>
            <w:tcW w:w="7280" w:type="dxa"/>
            <w:vAlign w:val="bottom"/>
          </w:tcPr>
          <w:p>
            <w:pPr>
              <w:spacing w:after="0"/>
              <w:rPr>
                <w:sz w:val="24"/>
                <w:szCs w:val="24"/>
                <w:color w:val="auto"/>
              </w:rPr>
            </w:pPr>
          </w:p>
        </w:tc>
        <w:tc>
          <w:tcPr>
            <w:tcW w:w="260" w:type="dxa"/>
            <w:vAlign w:val="bottom"/>
            <w:tcBorders>
              <w:bottom w:val="single" w:sz="8" w:color="214E93"/>
            </w:tcBorders>
          </w:tcPr>
          <w:p>
            <w:pPr>
              <w:spacing w:after="0"/>
              <w:rPr>
                <w:sz w:val="24"/>
                <w:szCs w:val="24"/>
                <w:color w:val="auto"/>
              </w:rPr>
            </w:pPr>
          </w:p>
        </w:tc>
        <w:tc>
          <w:tcPr>
            <w:tcW w:w="1280" w:type="dxa"/>
            <w:vAlign w:val="bottom"/>
            <w:tcBorders>
              <w:bottom w:val="single" w:sz="8" w:color="214E93"/>
            </w:tcBorders>
            <w:gridSpan w:val="2"/>
          </w:tcPr>
          <w:p>
            <w:pPr>
              <w:ind w:left="500"/>
              <w:spacing w:after="0"/>
              <w:rPr>
                <w:sz w:val="20"/>
                <w:szCs w:val="20"/>
                <w:color w:val="auto"/>
              </w:rPr>
            </w:pPr>
            <w:r>
              <w:rPr>
                <w:rFonts w:ascii="Verdana" w:cs="Verdana" w:eastAsia="Verdana" w:hAnsi="Verdana"/>
                <w:sz w:val="14"/>
                <w:szCs w:val="14"/>
                <w:color w:val="auto"/>
                <w:w w:val="95"/>
              </w:rPr>
              <w:t>Year Ended</w:t>
            </w:r>
          </w:p>
        </w:tc>
        <w:tc>
          <w:tcPr>
            <w:tcW w:w="740" w:type="dxa"/>
            <w:vAlign w:val="bottom"/>
            <w:tcBorders>
              <w:bottom w:val="single" w:sz="8" w:color="214E93"/>
            </w:tcBorders>
          </w:tcPr>
          <w:p>
            <w:pPr>
              <w:spacing w:after="0"/>
              <w:rPr>
                <w:sz w:val="24"/>
                <w:szCs w:val="24"/>
                <w:color w:val="auto"/>
              </w:rPr>
            </w:pPr>
          </w:p>
        </w:tc>
      </w:tr>
      <w:tr>
        <w:trPr>
          <w:trHeight w:val="194"/>
        </w:trPr>
        <w:tc>
          <w:tcPr>
            <w:tcW w:w="728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Verdana" w:cs="Verdana" w:eastAsia="Verdana" w:hAnsi="Verdana"/>
                <w:sz w:val="14"/>
                <w:szCs w:val="14"/>
                <w:color w:val="214E93"/>
              </w:rPr>
              <w:t>December 31,</w:t>
            </w:r>
          </w:p>
        </w:tc>
        <w:tc>
          <w:tcPr>
            <w:tcW w:w="1140" w:type="dxa"/>
            <w:vAlign w:val="bottom"/>
            <w:gridSpan w:val="2"/>
          </w:tcPr>
          <w:p>
            <w:pPr>
              <w:ind w:left="100"/>
              <w:spacing w:after="0"/>
              <w:rPr>
                <w:sz w:val="20"/>
                <w:szCs w:val="20"/>
                <w:color w:val="auto"/>
              </w:rPr>
            </w:pPr>
            <w:r>
              <w:rPr>
                <w:rFonts w:ascii="Verdana" w:cs="Verdana" w:eastAsia="Verdana" w:hAnsi="Verdana"/>
                <w:sz w:val="14"/>
                <w:szCs w:val="14"/>
                <w:color w:val="auto"/>
              </w:rPr>
              <w:t>December 31,</w:t>
            </w:r>
          </w:p>
        </w:tc>
      </w:tr>
      <w:tr>
        <w:trPr>
          <w:trHeight w:val="229"/>
        </w:trPr>
        <w:tc>
          <w:tcPr>
            <w:tcW w:w="7280" w:type="dxa"/>
            <w:vAlign w:val="bottom"/>
            <w:tcBorders>
              <w:bottom w:val="single" w:sz="8" w:color="214E93"/>
            </w:tcBorders>
          </w:tcPr>
          <w:p>
            <w:pPr>
              <w:spacing w:after="0"/>
              <w:rPr>
                <w:sz w:val="19"/>
                <w:szCs w:val="19"/>
                <w:color w:val="auto"/>
              </w:rPr>
            </w:pPr>
          </w:p>
        </w:tc>
        <w:tc>
          <w:tcPr>
            <w:tcW w:w="260" w:type="dxa"/>
            <w:vAlign w:val="bottom"/>
            <w:tcBorders>
              <w:bottom w:val="single" w:sz="8" w:color="214E93"/>
            </w:tcBorders>
          </w:tcPr>
          <w:p>
            <w:pPr>
              <w:spacing w:after="0"/>
              <w:rPr>
                <w:sz w:val="19"/>
                <w:szCs w:val="19"/>
                <w:color w:val="auto"/>
              </w:rPr>
            </w:pPr>
          </w:p>
        </w:tc>
        <w:tc>
          <w:tcPr>
            <w:tcW w:w="880" w:type="dxa"/>
            <w:vAlign w:val="bottom"/>
            <w:tcBorders>
              <w:bottom w:val="single" w:sz="8" w:color="214E93"/>
            </w:tcBorders>
          </w:tcPr>
          <w:p>
            <w:pPr>
              <w:ind w:left="120"/>
              <w:spacing w:after="0"/>
              <w:rPr>
                <w:sz w:val="20"/>
                <w:szCs w:val="20"/>
                <w:color w:val="auto"/>
              </w:rPr>
            </w:pPr>
            <w:r>
              <w:rPr>
                <w:rFonts w:ascii="Verdana" w:cs="Verdana" w:eastAsia="Verdana" w:hAnsi="Verdana"/>
                <w:sz w:val="14"/>
                <w:szCs w:val="14"/>
                <w:color w:val="214E93"/>
              </w:rPr>
              <w:t>2025</w:t>
            </w:r>
          </w:p>
        </w:tc>
        <w:tc>
          <w:tcPr>
            <w:tcW w:w="400" w:type="dxa"/>
            <w:vAlign w:val="bottom"/>
            <w:tcBorders>
              <w:bottom w:val="single" w:sz="8" w:color="214E93"/>
            </w:tcBorders>
          </w:tcPr>
          <w:p>
            <w:pPr>
              <w:spacing w:after="0"/>
              <w:rPr>
                <w:sz w:val="19"/>
                <w:szCs w:val="19"/>
                <w:color w:val="auto"/>
              </w:rPr>
            </w:pPr>
          </w:p>
        </w:tc>
        <w:tc>
          <w:tcPr>
            <w:tcW w:w="740" w:type="dxa"/>
            <w:vAlign w:val="bottom"/>
            <w:tcBorders>
              <w:bottom w:val="single" w:sz="8" w:color="214E93"/>
            </w:tcBorders>
          </w:tcPr>
          <w:p>
            <w:pPr>
              <w:ind w:left="20"/>
              <w:spacing w:after="0"/>
              <w:rPr>
                <w:sz w:val="20"/>
                <w:szCs w:val="20"/>
                <w:color w:val="auto"/>
              </w:rPr>
            </w:pPr>
            <w:r>
              <w:rPr>
                <w:rFonts w:ascii="Verdana" w:cs="Verdana" w:eastAsia="Verdana" w:hAnsi="Verdana"/>
                <w:sz w:val="14"/>
                <w:szCs w:val="14"/>
                <w:color w:val="auto"/>
              </w:rPr>
              <w:t>2024</w:t>
            </w:r>
          </w:p>
        </w:tc>
      </w:tr>
      <w:tr>
        <w:trPr>
          <w:trHeight w:val="194"/>
        </w:trPr>
        <w:tc>
          <w:tcPr>
            <w:tcW w:w="7280" w:type="dxa"/>
            <w:vAlign w:val="bottom"/>
          </w:tcPr>
          <w:p>
            <w:pPr>
              <w:ind w:left="40"/>
              <w:spacing w:after="0"/>
              <w:rPr>
                <w:sz w:val="20"/>
                <w:szCs w:val="20"/>
                <w:color w:val="auto"/>
              </w:rPr>
            </w:pPr>
            <w:r>
              <w:rPr>
                <w:rFonts w:ascii="Verdana" w:cs="Verdana" w:eastAsia="Verdana" w:hAnsi="Verdana"/>
                <w:sz w:val="14"/>
                <w:szCs w:val="14"/>
                <w:i w:val="1"/>
                <w:iCs w:val="1"/>
                <w:color w:val="auto"/>
              </w:rPr>
              <w:t>(In thousands)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17"/>
        </w:trPr>
        <w:tc>
          <w:tcPr>
            <w:tcW w:w="7280" w:type="dxa"/>
            <w:vAlign w:val="bottom"/>
          </w:tcPr>
          <w:p>
            <w:pPr>
              <w:ind w:left="40"/>
              <w:spacing w:after="0"/>
              <w:rPr>
                <w:sz w:val="20"/>
                <w:szCs w:val="20"/>
                <w:color w:val="auto"/>
              </w:rPr>
            </w:pPr>
            <w:r>
              <w:rPr>
                <w:rFonts w:ascii="Calibri" w:cs="Calibri" w:eastAsia="Calibri" w:hAnsi="Calibri"/>
                <w:sz w:val="19"/>
                <w:szCs w:val="19"/>
                <w:b w:val="1"/>
                <w:bCs w:val="1"/>
                <w:color w:val="auto"/>
              </w:rPr>
              <w:t>Unaudited Adjusted EBITDA reconciliation to Net Cash Provided by Operating Activities: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60"/>
        </w:trPr>
        <w:tc>
          <w:tcPr>
            <w:tcW w:w="7280" w:type="dxa"/>
            <w:vAlign w:val="bottom"/>
          </w:tcPr>
          <w:p>
            <w:pPr>
              <w:ind w:left="40"/>
              <w:spacing w:after="0"/>
              <w:rPr>
                <w:sz w:val="20"/>
                <w:szCs w:val="20"/>
                <w:color w:val="auto"/>
              </w:rPr>
            </w:pPr>
            <w:r>
              <w:rPr>
                <w:rFonts w:ascii="Verdana" w:cs="Verdana" w:eastAsia="Verdana" w:hAnsi="Verdana"/>
                <w:sz w:val="16"/>
                <w:szCs w:val="16"/>
                <w:color w:val="auto"/>
              </w:rPr>
              <w:t>Net cash provided by operating activities</w:t>
            </w:r>
          </w:p>
        </w:tc>
        <w:tc>
          <w:tcPr>
            <w:tcW w:w="260" w:type="dxa"/>
            <w:vAlign w:val="bottom"/>
          </w:tcPr>
          <w:p>
            <w:pPr>
              <w:ind w:left="60"/>
              <w:spacing w:after="0"/>
              <w:rPr>
                <w:sz w:val="20"/>
                <w:szCs w:val="20"/>
                <w:color w:val="auto"/>
              </w:rPr>
            </w:pPr>
            <w:r>
              <w:rPr>
                <w:rFonts w:ascii="Verdana" w:cs="Verdana" w:eastAsia="Verdana" w:hAnsi="Verdana"/>
                <w:sz w:val="16"/>
                <w:szCs w:val="16"/>
                <w:color w:val="214E93"/>
              </w:rPr>
              <w:t>$</w:t>
            </w:r>
          </w:p>
        </w:tc>
        <w:tc>
          <w:tcPr>
            <w:tcW w:w="880" w:type="dxa"/>
            <w:vAlign w:val="bottom"/>
          </w:tcPr>
          <w:p>
            <w:pPr>
              <w:ind w:left="120"/>
              <w:spacing w:after="0"/>
              <w:rPr>
                <w:sz w:val="20"/>
                <w:szCs w:val="20"/>
                <w:color w:val="auto"/>
              </w:rPr>
            </w:pPr>
            <w:r>
              <w:rPr>
                <w:rFonts w:ascii="Verdana" w:cs="Verdana" w:eastAsia="Verdana" w:hAnsi="Verdana"/>
                <w:sz w:val="16"/>
                <w:szCs w:val="16"/>
                <w:color w:val="214E93"/>
              </w:rPr>
              <w:t>248,193</w:t>
            </w:r>
          </w:p>
        </w:tc>
        <w:tc>
          <w:tcPr>
            <w:tcW w:w="400" w:type="dxa"/>
            <w:vAlign w:val="bottom"/>
          </w:tcPr>
          <w:p>
            <w:pPr>
              <w:ind w:left="80"/>
              <w:spacing w:after="0"/>
              <w:rPr>
                <w:sz w:val="20"/>
                <w:szCs w:val="20"/>
                <w:color w:val="auto"/>
              </w:rPr>
            </w:pPr>
            <w:r>
              <w:rPr>
                <w:rFonts w:ascii="Verdana" w:cs="Verdana" w:eastAsia="Verdana" w:hAnsi="Verdana"/>
                <w:sz w:val="16"/>
                <w:szCs w:val="16"/>
                <w:color w:val="auto"/>
              </w:rPr>
              <w:t>$</w:t>
            </w:r>
          </w:p>
        </w:tc>
        <w:tc>
          <w:tcPr>
            <w:tcW w:w="740" w:type="dxa"/>
            <w:vAlign w:val="bottom"/>
          </w:tcPr>
          <w:p>
            <w:pPr>
              <w:spacing w:after="0"/>
              <w:rPr>
                <w:sz w:val="20"/>
                <w:szCs w:val="20"/>
                <w:color w:val="auto"/>
              </w:rPr>
            </w:pPr>
            <w:r>
              <w:rPr>
                <w:rFonts w:ascii="Verdana" w:cs="Verdana" w:eastAsia="Verdana" w:hAnsi="Verdana"/>
                <w:sz w:val="16"/>
                <w:szCs w:val="16"/>
                <w:color w:val="auto"/>
              </w:rPr>
              <w:t>193,030</w:t>
            </w:r>
          </w:p>
        </w:tc>
      </w:tr>
      <w:tr>
        <w:trPr>
          <w:trHeight w:val="236"/>
        </w:trPr>
        <w:tc>
          <w:tcPr>
            <w:tcW w:w="7280" w:type="dxa"/>
            <w:vAlign w:val="bottom"/>
          </w:tcPr>
          <w:p>
            <w:pPr>
              <w:ind w:left="40"/>
              <w:spacing w:after="0"/>
              <w:rPr>
                <w:sz w:val="20"/>
                <w:szCs w:val="20"/>
                <w:color w:val="auto"/>
              </w:rPr>
            </w:pPr>
            <w:r>
              <w:rPr>
                <w:rFonts w:ascii="Verdana" w:cs="Verdana" w:eastAsia="Verdana" w:hAnsi="Verdana"/>
                <w:sz w:val="16"/>
                <w:szCs w:val="16"/>
                <w:color w:val="auto"/>
              </w:rPr>
              <w:t>Net change in operating assets and liabilities</w:t>
            </w:r>
          </w:p>
        </w:tc>
        <w:tc>
          <w:tcPr>
            <w:tcW w:w="26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Verdana" w:cs="Verdana" w:eastAsia="Verdana" w:hAnsi="Verdana"/>
                <w:sz w:val="16"/>
                <w:szCs w:val="16"/>
                <w:color w:val="214E93"/>
              </w:rPr>
              <w:t>10,821</w:t>
            </w: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Verdana" w:cs="Verdana" w:eastAsia="Verdana" w:hAnsi="Verdana"/>
                <w:sz w:val="16"/>
                <w:szCs w:val="16"/>
                <w:color w:val="auto"/>
              </w:rPr>
              <w:t>21,825</w:t>
            </w:r>
          </w:p>
        </w:tc>
      </w:tr>
      <w:tr>
        <w:trPr>
          <w:trHeight w:val="236"/>
        </w:trPr>
        <w:tc>
          <w:tcPr>
            <w:tcW w:w="7280" w:type="dxa"/>
            <w:vAlign w:val="bottom"/>
          </w:tcPr>
          <w:p>
            <w:pPr>
              <w:ind w:left="40"/>
              <w:spacing w:after="0"/>
              <w:rPr>
                <w:sz w:val="20"/>
                <w:szCs w:val="20"/>
                <w:color w:val="auto"/>
              </w:rPr>
            </w:pPr>
            <w:r>
              <w:rPr>
                <w:rFonts w:ascii="Verdana" w:cs="Verdana" w:eastAsia="Verdana" w:hAnsi="Verdana"/>
                <w:sz w:val="16"/>
                <w:szCs w:val="16"/>
                <w:color w:val="auto"/>
              </w:rPr>
              <w:t>Interest expense, net of non-cash portion</w:t>
            </w:r>
          </w:p>
        </w:tc>
        <w:tc>
          <w:tcPr>
            <w:tcW w:w="26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Verdana" w:cs="Verdana" w:eastAsia="Verdana" w:hAnsi="Verdana"/>
                <w:sz w:val="16"/>
                <w:szCs w:val="16"/>
                <w:color w:val="214E93"/>
              </w:rPr>
              <w:t>35,948</w:t>
            </w: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Verdana" w:cs="Verdana" w:eastAsia="Verdana" w:hAnsi="Verdana"/>
                <w:sz w:val="16"/>
                <w:szCs w:val="16"/>
                <w:color w:val="auto"/>
              </w:rPr>
              <w:t>36,142</w:t>
            </w:r>
          </w:p>
        </w:tc>
      </w:tr>
      <w:tr>
        <w:trPr>
          <w:trHeight w:val="242"/>
        </w:trPr>
        <w:tc>
          <w:tcPr>
            <w:tcW w:w="728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Other non-cash and non-recurring (income) expense</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
              <w:spacing w:after="0"/>
              <w:rPr>
                <w:sz w:val="20"/>
                <w:szCs w:val="20"/>
                <w:color w:val="auto"/>
              </w:rPr>
            </w:pPr>
            <w:r>
              <w:rPr>
                <w:rFonts w:ascii="Verdana" w:cs="Verdana" w:eastAsia="Verdana" w:hAnsi="Verdana"/>
                <w:sz w:val="16"/>
                <w:szCs w:val="16"/>
                <w:color w:val="214E93"/>
              </w:rPr>
              <w:t>(858)</w:t>
            </w: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2,160</w:t>
            </w:r>
          </w:p>
        </w:tc>
      </w:tr>
      <w:tr>
        <w:trPr>
          <w:trHeight w:val="217"/>
        </w:trPr>
        <w:tc>
          <w:tcPr>
            <w:tcW w:w="7280" w:type="dxa"/>
            <w:vAlign w:val="bottom"/>
            <w:tcBorders>
              <w:bottom w:val="single" w:sz="8" w:color="214E93"/>
            </w:tcBorders>
          </w:tcPr>
          <w:p>
            <w:pPr>
              <w:ind w:left="160"/>
              <w:spacing w:after="0"/>
              <w:rPr>
                <w:sz w:val="20"/>
                <w:szCs w:val="20"/>
                <w:color w:val="auto"/>
              </w:rPr>
            </w:pPr>
            <w:r>
              <w:rPr>
                <w:rFonts w:ascii="Verdana" w:cs="Verdana" w:eastAsia="Verdana" w:hAnsi="Verdana"/>
                <w:sz w:val="16"/>
                <w:szCs w:val="16"/>
                <w:color w:val="auto"/>
              </w:rPr>
              <w:t>Adjusted EBITDA (Non-GAAP)</w:t>
            </w:r>
          </w:p>
        </w:tc>
        <w:tc>
          <w:tcPr>
            <w:tcW w:w="260" w:type="dxa"/>
            <w:vAlign w:val="bottom"/>
            <w:tcBorders>
              <w:bottom w:val="single" w:sz="8" w:color="214E93"/>
            </w:tcBorders>
          </w:tcPr>
          <w:p>
            <w:pPr>
              <w:ind w:left="60"/>
              <w:spacing w:after="0"/>
              <w:rPr>
                <w:sz w:val="20"/>
                <w:szCs w:val="20"/>
                <w:color w:val="auto"/>
              </w:rPr>
            </w:pPr>
            <w:r>
              <w:rPr>
                <w:rFonts w:ascii="Verdana" w:cs="Verdana" w:eastAsia="Verdana" w:hAnsi="Verdana"/>
                <w:sz w:val="16"/>
                <w:szCs w:val="16"/>
                <w:color w:val="214E93"/>
              </w:rPr>
              <w:t>$</w:t>
            </w:r>
          </w:p>
        </w:tc>
        <w:tc>
          <w:tcPr>
            <w:tcW w:w="880" w:type="dxa"/>
            <w:vAlign w:val="bottom"/>
            <w:tcBorders>
              <w:bottom w:val="single" w:sz="8" w:color="214E93"/>
            </w:tcBorders>
          </w:tcPr>
          <w:p>
            <w:pPr>
              <w:ind w:left="120"/>
              <w:spacing w:after="0"/>
              <w:rPr>
                <w:sz w:val="20"/>
                <w:szCs w:val="20"/>
                <w:color w:val="auto"/>
              </w:rPr>
            </w:pPr>
            <w:r>
              <w:rPr>
                <w:rFonts w:ascii="Verdana" w:cs="Verdana" w:eastAsia="Verdana" w:hAnsi="Verdana"/>
                <w:sz w:val="16"/>
                <w:szCs w:val="16"/>
                <w:color w:val="214E93"/>
              </w:rPr>
              <w:t>294,104</w:t>
            </w:r>
          </w:p>
        </w:tc>
        <w:tc>
          <w:tcPr>
            <w:tcW w:w="400" w:type="dxa"/>
            <w:vAlign w:val="bottom"/>
            <w:tcBorders>
              <w:bottom w:val="single" w:sz="8" w:color="214E93"/>
            </w:tcBorders>
          </w:tcPr>
          <w:p>
            <w:pPr>
              <w:ind w:left="80"/>
              <w:spacing w:after="0"/>
              <w:rPr>
                <w:sz w:val="20"/>
                <w:szCs w:val="20"/>
                <w:color w:val="auto"/>
              </w:rPr>
            </w:pPr>
            <w:r>
              <w:rPr>
                <w:rFonts w:ascii="Verdana" w:cs="Verdana" w:eastAsia="Verdana" w:hAnsi="Verdana"/>
                <w:sz w:val="16"/>
                <w:szCs w:val="16"/>
                <w:color w:val="auto"/>
              </w:rPr>
              <w:t>$</w:t>
            </w:r>
          </w:p>
        </w:tc>
        <w:tc>
          <w:tcPr>
            <w:tcW w:w="740" w:type="dxa"/>
            <w:vAlign w:val="bottom"/>
            <w:tcBorders>
              <w:bottom w:val="single" w:sz="8" w:color="214E93"/>
            </w:tcBorders>
          </w:tcPr>
          <w:p>
            <w:pPr>
              <w:spacing w:after="0"/>
              <w:rPr>
                <w:sz w:val="20"/>
                <w:szCs w:val="20"/>
                <w:color w:val="auto"/>
              </w:rPr>
            </w:pPr>
            <w:r>
              <w:rPr>
                <w:rFonts w:ascii="Verdana" w:cs="Verdana" w:eastAsia="Verdana" w:hAnsi="Verdana"/>
                <w:sz w:val="16"/>
                <w:szCs w:val="16"/>
                <w:color w:val="auto"/>
              </w:rPr>
              <w:t>253,157</w:t>
            </w:r>
          </w:p>
        </w:tc>
      </w:tr>
    </w:tbl>
    <w:p>
      <w:pPr>
        <w:spacing w:after="0" w:line="2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80"/>
        <w:spacing w:after="0"/>
        <w:rPr>
          <w:sz w:val="20"/>
          <w:szCs w:val="20"/>
          <w:color w:val="auto"/>
        </w:rPr>
      </w:pPr>
      <w:r>
        <w:rPr>
          <w:rFonts w:ascii="Calibri" w:cs="Calibri" w:eastAsia="Calibri" w:hAnsi="Calibri"/>
          <w:sz w:val="19"/>
          <w:szCs w:val="19"/>
          <w:b w:val="1"/>
          <w:bCs w:val="1"/>
          <w:color w:val="214E93"/>
        </w:rPr>
        <w:t>Adjusted EBITDA – Matador Midstream</w:t>
      </w:r>
    </w:p>
    <w:p>
      <w:pPr>
        <w:spacing w:after="0" w:line="67" w:lineRule="exact"/>
        <w:rPr>
          <w:sz w:val="20"/>
          <w:szCs w:val="20"/>
          <w:color w:val="auto"/>
        </w:rPr>
      </w:pPr>
    </w:p>
    <w:p>
      <w:pPr>
        <w:ind w:left="8720"/>
        <w:spacing w:after="0"/>
        <w:rPr>
          <w:sz w:val="20"/>
          <w:szCs w:val="20"/>
          <w:color w:val="auto"/>
        </w:rPr>
      </w:pPr>
      <w:r>
        <w:rPr>
          <w:rFonts w:ascii="Verdana" w:cs="Verdana" w:eastAsia="Verdana" w:hAnsi="Verdana"/>
          <w:sz w:val="14"/>
          <w:szCs w:val="14"/>
          <w:color w:val="auto"/>
        </w:rPr>
        <w:t>Year Ended</w:t>
      </w:r>
    </w:p>
    <w:p>
      <w:pPr>
        <w:spacing w:after="0" w:line="15" w:lineRule="exact"/>
        <w:rPr>
          <w:sz w:val="20"/>
          <w:szCs w:val="20"/>
          <w:color w:val="auto"/>
        </w:rPr>
      </w:pPr>
    </w:p>
    <w:tbl>
      <w:tblPr>
        <w:tblLayout w:type="fixed"/>
        <w:tblInd w:w="680" w:type="dxa"/>
        <w:tblCellMar>
          <w:top w:w="0" w:type="dxa"/>
          <w:left w:w="0" w:type="dxa"/>
          <w:bottom w:w="0" w:type="dxa"/>
          <w:right w:w="0" w:type="dxa"/>
        </w:tblCellMar>
      </w:tblPr>
      <w:tr>
        <w:trPr>
          <w:trHeight w:val="201"/>
        </w:trPr>
        <w:tc>
          <w:tcPr>
            <w:tcW w:w="7280" w:type="dxa"/>
            <w:vAlign w:val="bottom"/>
          </w:tcPr>
          <w:p>
            <w:pPr>
              <w:spacing w:after="0"/>
              <w:rPr>
                <w:sz w:val="17"/>
                <w:szCs w:val="17"/>
                <w:color w:val="auto"/>
              </w:rPr>
            </w:pPr>
          </w:p>
        </w:tc>
        <w:tc>
          <w:tcPr>
            <w:tcW w:w="1140" w:type="dxa"/>
            <w:vAlign w:val="bottom"/>
            <w:tcBorders>
              <w:top w:val="single" w:sz="8" w:color="214E93"/>
            </w:tcBorders>
            <w:gridSpan w:val="2"/>
          </w:tcPr>
          <w:p>
            <w:pPr>
              <w:ind w:left="80"/>
              <w:spacing w:after="0"/>
              <w:rPr>
                <w:sz w:val="20"/>
                <w:szCs w:val="20"/>
                <w:color w:val="auto"/>
              </w:rPr>
            </w:pPr>
            <w:r>
              <w:rPr>
                <w:rFonts w:ascii="Verdana" w:cs="Verdana" w:eastAsia="Verdana" w:hAnsi="Verdana"/>
                <w:sz w:val="14"/>
                <w:szCs w:val="14"/>
                <w:color w:val="214E93"/>
              </w:rPr>
              <w:t>December 31,</w:t>
            </w:r>
          </w:p>
        </w:tc>
        <w:tc>
          <w:tcPr>
            <w:tcW w:w="1140" w:type="dxa"/>
            <w:vAlign w:val="bottom"/>
            <w:tcBorders>
              <w:top w:val="single" w:sz="8" w:color="214E93"/>
            </w:tcBorders>
            <w:gridSpan w:val="2"/>
          </w:tcPr>
          <w:p>
            <w:pPr>
              <w:ind w:left="100"/>
              <w:spacing w:after="0"/>
              <w:rPr>
                <w:sz w:val="20"/>
                <w:szCs w:val="20"/>
                <w:color w:val="auto"/>
              </w:rPr>
            </w:pPr>
            <w:r>
              <w:rPr>
                <w:rFonts w:ascii="Verdana" w:cs="Verdana" w:eastAsia="Verdana" w:hAnsi="Verdana"/>
                <w:sz w:val="14"/>
                <w:szCs w:val="14"/>
                <w:color w:val="auto"/>
              </w:rPr>
              <w:t>December 31,</w:t>
            </w:r>
          </w:p>
        </w:tc>
      </w:tr>
      <w:tr>
        <w:trPr>
          <w:trHeight w:val="229"/>
        </w:trPr>
        <w:tc>
          <w:tcPr>
            <w:tcW w:w="7280" w:type="dxa"/>
            <w:vAlign w:val="bottom"/>
            <w:tcBorders>
              <w:bottom w:val="single" w:sz="8" w:color="214E93"/>
            </w:tcBorders>
          </w:tcPr>
          <w:p>
            <w:pPr>
              <w:spacing w:after="0"/>
              <w:rPr>
                <w:sz w:val="19"/>
                <w:szCs w:val="19"/>
                <w:color w:val="auto"/>
              </w:rPr>
            </w:pPr>
          </w:p>
        </w:tc>
        <w:tc>
          <w:tcPr>
            <w:tcW w:w="260" w:type="dxa"/>
            <w:vAlign w:val="bottom"/>
            <w:tcBorders>
              <w:bottom w:val="single" w:sz="8" w:color="214E93"/>
            </w:tcBorders>
          </w:tcPr>
          <w:p>
            <w:pPr>
              <w:spacing w:after="0"/>
              <w:rPr>
                <w:sz w:val="19"/>
                <w:szCs w:val="19"/>
                <w:color w:val="auto"/>
              </w:rPr>
            </w:pPr>
          </w:p>
        </w:tc>
        <w:tc>
          <w:tcPr>
            <w:tcW w:w="880" w:type="dxa"/>
            <w:vAlign w:val="bottom"/>
            <w:tcBorders>
              <w:bottom w:val="single" w:sz="8" w:color="214E93"/>
            </w:tcBorders>
          </w:tcPr>
          <w:p>
            <w:pPr>
              <w:jc w:val="right"/>
              <w:ind w:right="323"/>
              <w:spacing w:after="0"/>
              <w:rPr>
                <w:sz w:val="20"/>
                <w:szCs w:val="20"/>
                <w:color w:val="auto"/>
              </w:rPr>
            </w:pPr>
            <w:r>
              <w:rPr>
                <w:rFonts w:ascii="Verdana" w:cs="Verdana" w:eastAsia="Verdana" w:hAnsi="Verdana"/>
                <w:sz w:val="14"/>
                <w:szCs w:val="14"/>
                <w:color w:val="214E93"/>
              </w:rPr>
              <w:t>2025</w:t>
            </w:r>
          </w:p>
        </w:tc>
        <w:tc>
          <w:tcPr>
            <w:tcW w:w="300" w:type="dxa"/>
            <w:vAlign w:val="bottom"/>
            <w:tcBorders>
              <w:bottom w:val="single" w:sz="8" w:color="214E93"/>
            </w:tcBorders>
          </w:tcPr>
          <w:p>
            <w:pPr>
              <w:spacing w:after="0"/>
              <w:rPr>
                <w:sz w:val="19"/>
                <w:szCs w:val="19"/>
                <w:color w:val="auto"/>
              </w:rPr>
            </w:pPr>
          </w:p>
        </w:tc>
        <w:tc>
          <w:tcPr>
            <w:tcW w:w="840" w:type="dxa"/>
            <w:vAlign w:val="bottom"/>
            <w:tcBorders>
              <w:bottom w:val="single" w:sz="8" w:color="214E93"/>
            </w:tcBorders>
          </w:tcPr>
          <w:p>
            <w:pPr>
              <w:jc w:val="right"/>
              <w:ind w:right="303"/>
              <w:spacing w:after="0"/>
              <w:rPr>
                <w:sz w:val="20"/>
                <w:szCs w:val="20"/>
                <w:color w:val="auto"/>
              </w:rPr>
            </w:pPr>
            <w:r>
              <w:rPr>
                <w:rFonts w:ascii="Verdana" w:cs="Verdana" w:eastAsia="Verdana" w:hAnsi="Verdana"/>
                <w:sz w:val="14"/>
                <w:szCs w:val="14"/>
                <w:color w:val="auto"/>
              </w:rPr>
              <w:t>2024</w:t>
            </w:r>
          </w:p>
        </w:tc>
      </w:tr>
      <w:tr>
        <w:trPr>
          <w:trHeight w:val="194"/>
        </w:trPr>
        <w:tc>
          <w:tcPr>
            <w:tcW w:w="7280" w:type="dxa"/>
            <w:vAlign w:val="bottom"/>
          </w:tcPr>
          <w:p>
            <w:pPr>
              <w:ind w:left="40"/>
              <w:spacing w:after="0"/>
              <w:rPr>
                <w:sz w:val="20"/>
                <w:szCs w:val="20"/>
                <w:color w:val="auto"/>
              </w:rPr>
            </w:pPr>
            <w:r>
              <w:rPr>
                <w:rFonts w:ascii="Verdana" w:cs="Verdana" w:eastAsia="Verdana" w:hAnsi="Verdana"/>
                <w:sz w:val="14"/>
                <w:szCs w:val="14"/>
                <w:i w:val="1"/>
                <w:iCs w:val="1"/>
                <w:color w:val="auto"/>
              </w:rPr>
              <w:t>(In thousands)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58"/>
        </w:trPr>
        <w:tc>
          <w:tcPr>
            <w:tcW w:w="7280" w:type="dxa"/>
            <w:vAlign w:val="bottom"/>
          </w:tcPr>
          <w:p>
            <w:pPr>
              <w:ind w:left="40"/>
              <w:spacing w:after="0"/>
              <w:rPr>
                <w:sz w:val="20"/>
                <w:szCs w:val="20"/>
                <w:color w:val="auto"/>
              </w:rPr>
            </w:pPr>
            <w:r>
              <w:rPr>
                <w:rFonts w:ascii="Calibri" w:cs="Calibri" w:eastAsia="Calibri" w:hAnsi="Calibri"/>
                <w:sz w:val="19"/>
                <w:szCs w:val="19"/>
                <w:b w:val="1"/>
                <w:bCs w:val="1"/>
                <w:color w:val="auto"/>
              </w:rPr>
              <w:t>Unaudited Adjusted EBITDA reconciliation to Net Income:</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60"/>
        </w:trPr>
        <w:tc>
          <w:tcPr>
            <w:tcW w:w="7280" w:type="dxa"/>
            <w:vAlign w:val="bottom"/>
          </w:tcPr>
          <w:p>
            <w:pPr>
              <w:ind w:left="40"/>
              <w:spacing w:after="0"/>
              <w:rPr>
                <w:sz w:val="20"/>
                <w:szCs w:val="20"/>
                <w:color w:val="auto"/>
              </w:rPr>
            </w:pPr>
            <w:r>
              <w:rPr>
                <w:rFonts w:ascii="Verdana" w:cs="Verdana" w:eastAsia="Verdana" w:hAnsi="Verdana"/>
                <w:sz w:val="16"/>
                <w:szCs w:val="16"/>
                <w:color w:val="auto"/>
              </w:rPr>
              <w:t>Net income</w:t>
            </w:r>
          </w:p>
        </w:tc>
        <w:tc>
          <w:tcPr>
            <w:tcW w:w="260" w:type="dxa"/>
            <w:vAlign w:val="bottom"/>
          </w:tcPr>
          <w:p>
            <w:pPr>
              <w:ind w:left="60"/>
              <w:spacing w:after="0"/>
              <w:rPr>
                <w:sz w:val="20"/>
                <w:szCs w:val="20"/>
                <w:color w:val="auto"/>
              </w:rPr>
            </w:pPr>
            <w:r>
              <w:rPr>
                <w:rFonts w:ascii="Verdana" w:cs="Verdana" w:eastAsia="Verdana" w:hAnsi="Verdana"/>
                <w:sz w:val="16"/>
                <w:szCs w:val="16"/>
                <w:color w:val="214E93"/>
              </w:rPr>
              <w:t>$</w:t>
            </w:r>
          </w:p>
        </w:tc>
        <w:tc>
          <w:tcPr>
            <w:tcW w:w="880" w:type="dxa"/>
            <w:vAlign w:val="bottom"/>
          </w:tcPr>
          <w:p>
            <w:pPr>
              <w:jc w:val="right"/>
              <w:ind w:right="23"/>
              <w:spacing w:after="0"/>
              <w:rPr>
                <w:sz w:val="20"/>
                <w:szCs w:val="20"/>
                <w:color w:val="auto"/>
              </w:rPr>
            </w:pPr>
            <w:r>
              <w:rPr>
                <w:rFonts w:ascii="Verdana" w:cs="Verdana" w:eastAsia="Verdana" w:hAnsi="Verdana"/>
                <w:sz w:val="16"/>
                <w:szCs w:val="16"/>
                <w:color w:val="214E93"/>
              </w:rPr>
              <w:t>32,170</w:t>
            </w:r>
          </w:p>
        </w:tc>
        <w:tc>
          <w:tcPr>
            <w:tcW w:w="300" w:type="dxa"/>
            <w:vAlign w:val="bottom"/>
          </w:tcPr>
          <w:p>
            <w:pPr>
              <w:ind w:left="80"/>
              <w:spacing w:after="0"/>
              <w:rPr>
                <w:sz w:val="20"/>
                <w:szCs w:val="20"/>
                <w:color w:val="auto"/>
              </w:rPr>
            </w:pPr>
            <w:r>
              <w:rPr>
                <w:rFonts w:ascii="Verdana" w:cs="Verdana" w:eastAsia="Verdana" w:hAnsi="Verdana"/>
                <w:sz w:val="16"/>
                <w:szCs w:val="16"/>
                <w:color w:val="auto"/>
              </w:rPr>
              <w:t>$</w:t>
            </w:r>
          </w:p>
        </w:tc>
        <w:tc>
          <w:tcPr>
            <w:tcW w:w="840" w:type="dxa"/>
            <w:vAlign w:val="bottom"/>
          </w:tcPr>
          <w:p>
            <w:pPr>
              <w:jc w:val="right"/>
              <w:ind w:right="3"/>
              <w:spacing w:after="0"/>
              <w:rPr>
                <w:sz w:val="20"/>
                <w:szCs w:val="20"/>
                <w:color w:val="auto"/>
              </w:rPr>
            </w:pPr>
            <w:r>
              <w:rPr>
                <w:rFonts w:ascii="Verdana" w:cs="Verdana" w:eastAsia="Verdana" w:hAnsi="Verdana"/>
                <w:sz w:val="16"/>
                <w:szCs w:val="16"/>
                <w:color w:val="auto"/>
              </w:rPr>
              <w:t>27,572</w:t>
            </w:r>
          </w:p>
        </w:tc>
      </w:tr>
      <w:tr>
        <w:trPr>
          <w:trHeight w:val="236"/>
        </w:trPr>
        <w:tc>
          <w:tcPr>
            <w:tcW w:w="7280" w:type="dxa"/>
            <w:vAlign w:val="bottom"/>
          </w:tcPr>
          <w:p>
            <w:pPr>
              <w:ind w:left="40"/>
              <w:spacing w:after="0"/>
              <w:rPr>
                <w:sz w:val="20"/>
                <w:szCs w:val="20"/>
                <w:color w:val="auto"/>
              </w:rPr>
            </w:pPr>
            <w:r>
              <w:rPr>
                <w:rFonts w:ascii="Verdana" w:cs="Verdana" w:eastAsia="Verdana" w:hAnsi="Verdana"/>
                <w:sz w:val="16"/>
                <w:szCs w:val="16"/>
                <w:color w:val="auto"/>
              </w:rPr>
              <w:t>Depletion, depreciation and amortization</w:t>
            </w:r>
          </w:p>
        </w:tc>
        <w:tc>
          <w:tcPr>
            <w:tcW w:w="260" w:type="dxa"/>
            <w:vAlign w:val="bottom"/>
          </w:tcPr>
          <w:p>
            <w:pPr>
              <w:spacing w:after="0"/>
              <w:rPr>
                <w:sz w:val="20"/>
                <w:szCs w:val="20"/>
                <w:color w:val="auto"/>
              </w:rPr>
            </w:pPr>
          </w:p>
        </w:tc>
        <w:tc>
          <w:tcPr>
            <w:tcW w:w="880" w:type="dxa"/>
            <w:vAlign w:val="bottom"/>
          </w:tcPr>
          <w:p>
            <w:pPr>
              <w:jc w:val="right"/>
              <w:ind w:right="3"/>
              <w:spacing w:after="0"/>
              <w:rPr>
                <w:sz w:val="20"/>
                <w:szCs w:val="20"/>
                <w:color w:val="auto"/>
              </w:rPr>
            </w:pPr>
            <w:r>
              <w:rPr>
                <w:rFonts w:ascii="Verdana" w:cs="Verdana" w:eastAsia="Verdana" w:hAnsi="Verdana"/>
                <w:sz w:val="16"/>
                <w:szCs w:val="16"/>
                <w:color w:val="214E93"/>
              </w:rPr>
              <w:t>5,585</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Verdana" w:cs="Verdana" w:eastAsia="Verdana" w:hAnsi="Verdana"/>
                <w:sz w:val="16"/>
                <w:szCs w:val="16"/>
                <w:color w:val="auto"/>
              </w:rPr>
              <w:t>5,451</w:t>
            </w:r>
          </w:p>
        </w:tc>
      </w:tr>
      <w:tr>
        <w:trPr>
          <w:trHeight w:val="242"/>
        </w:trPr>
        <w:tc>
          <w:tcPr>
            <w:tcW w:w="728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Accretion of asset retirement obligations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
              <w:spacing w:after="0"/>
              <w:rPr>
                <w:sz w:val="20"/>
                <w:szCs w:val="20"/>
                <w:color w:val="auto"/>
              </w:rPr>
            </w:pPr>
            <w:r>
              <w:rPr>
                <w:rFonts w:ascii="Verdana" w:cs="Verdana" w:eastAsia="Verdana" w:hAnsi="Verdana"/>
                <w:sz w:val="16"/>
                <w:szCs w:val="16"/>
                <w:color w:val="214E93"/>
              </w:rPr>
              <w:t>21</w:t>
            </w: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20</w:t>
            </w:r>
          </w:p>
        </w:tc>
      </w:tr>
      <w:tr>
        <w:trPr>
          <w:trHeight w:val="217"/>
        </w:trPr>
        <w:tc>
          <w:tcPr>
            <w:tcW w:w="7280" w:type="dxa"/>
            <w:vAlign w:val="bottom"/>
            <w:tcBorders>
              <w:bottom w:val="single" w:sz="8" w:color="214E93"/>
            </w:tcBorders>
          </w:tcPr>
          <w:p>
            <w:pPr>
              <w:ind w:left="160"/>
              <w:spacing w:after="0"/>
              <w:rPr>
                <w:sz w:val="20"/>
                <w:szCs w:val="20"/>
                <w:color w:val="auto"/>
              </w:rPr>
            </w:pPr>
            <w:r>
              <w:rPr>
                <w:rFonts w:ascii="Verdana" w:cs="Verdana" w:eastAsia="Verdana" w:hAnsi="Verdana"/>
                <w:sz w:val="16"/>
                <w:szCs w:val="16"/>
                <w:color w:val="auto"/>
              </w:rPr>
              <w:t>Adjusted EBITDA (Non-GAAP)</w:t>
            </w:r>
          </w:p>
        </w:tc>
        <w:tc>
          <w:tcPr>
            <w:tcW w:w="260" w:type="dxa"/>
            <w:vAlign w:val="bottom"/>
            <w:tcBorders>
              <w:bottom w:val="single" w:sz="8" w:color="214E93"/>
            </w:tcBorders>
          </w:tcPr>
          <w:p>
            <w:pPr>
              <w:ind w:left="60"/>
              <w:spacing w:after="0"/>
              <w:rPr>
                <w:sz w:val="20"/>
                <w:szCs w:val="20"/>
                <w:color w:val="auto"/>
              </w:rPr>
            </w:pPr>
            <w:r>
              <w:rPr>
                <w:rFonts w:ascii="Verdana" w:cs="Verdana" w:eastAsia="Verdana" w:hAnsi="Verdana"/>
                <w:sz w:val="16"/>
                <w:szCs w:val="16"/>
                <w:color w:val="214E93"/>
              </w:rPr>
              <w:t>$</w:t>
            </w:r>
          </w:p>
        </w:tc>
        <w:tc>
          <w:tcPr>
            <w:tcW w:w="880" w:type="dxa"/>
            <w:vAlign w:val="bottom"/>
            <w:tcBorders>
              <w:bottom w:val="single" w:sz="8" w:color="214E93"/>
            </w:tcBorders>
          </w:tcPr>
          <w:p>
            <w:pPr>
              <w:jc w:val="right"/>
              <w:ind w:right="23"/>
              <w:spacing w:after="0"/>
              <w:rPr>
                <w:sz w:val="20"/>
                <w:szCs w:val="20"/>
                <w:color w:val="auto"/>
              </w:rPr>
            </w:pPr>
            <w:r>
              <w:rPr>
                <w:rFonts w:ascii="Verdana" w:cs="Verdana" w:eastAsia="Verdana" w:hAnsi="Verdana"/>
                <w:sz w:val="16"/>
                <w:szCs w:val="16"/>
                <w:color w:val="214E93"/>
              </w:rPr>
              <w:t>37,776</w:t>
            </w:r>
          </w:p>
        </w:tc>
        <w:tc>
          <w:tcPr>
            <w:tcW w:w="300" w:type="dxa"/>
            <w:vAlign w:val="bottom"/>
            <w:tcBorders>
              <w:bottom w:val="single" w:sz="8" w:color="214E93"/>
            </w:tcBorders>
          </w:tcPr>
          <w:p>
            <w:pPr>
              <w:ind w:left="80"/>
              <w:spacing w:after="0"/>
              <w:rPr>
                <w:sz w:val="20"/>
                <w:szCs w:val="20"/>
                <w:color w:val="auto"/>
              </w:rPr>
            </w:pPr>
            <w:r>
              <w:rPr>
                <w:rFonts w:ascii="Verdana" w:cs="Verdana" w:eastAsia="Verdana" w:hAnsi="Verdana"/>
                <w:sz w:val="16"/>
                <w:szCs w:val="16"/>
                <w:color w:val="auto"/>
              </w:rPr>
              <w:t>$</w:t>
            </w:r>
          </w:p>
        </w:tc>
        <w:tc>
          <w:tcPr>
            <w:tcW w:w="840" w:type="dxa"/>
            <w:vAlign w:val="bottom"/>
            <w:tcBorders>
              <w:bottom w:val="single" w:sz="8" w:color="214E93"/>
            </w:tcBorders>
          </w:tcPr>
          <w:p>
            <w:pPr>
              <w:jc w:val="right"/>
              <w:ind w:right="3"/>
              <w:spacing w:after="0"/>
              <w:rPr>
                <w:sz w:val="20"/>
                <w:szCs w:val="20"/>
                <w:color w:val="auto"/>
              </w:rPr>
            </w:pPr>
            <w:r>
              <w:rPr>
                <w:rFonts w:ascii="Verdana" w:cs="Verdana" w:eastAsia="Verdana" w:hAnsi="Verdana"/>
                <w:sz w:val="16"/>
                <w:szCs w:val="16"/>
                <w:color w:val="auto"/>
              </w:rPr>
              <w:t>33,043</w:t>
            </w:r>
          </w:p>
        </w:tc>
      </w:tr>
      <w:tr>
        <w:trPr>
          <w:trHeight w:val="520"/>
        </w:trPr>
        <w:tc>
          <w:tcPr>
            <w:tcW w:w="7280" w:type="dxa"/>
            <w:vAlign w:val="bottom"/>
          </w:tcPr>
          <w:p>
            <w:pPr>
              <w:ind w:left="40"/>
              <w:spacing w:after="0"/>
              <w:rPr>
                <w:sz w:val="20"/>
                <w:szCs w:val="20"/>
                <w:color w:val="auto"/>
              </w:rPr>
            </w:pPr>
            <w:r>
              <w:rPr>
                <w:rFonts w:ascii="Verdana" w:cs="Verdana" w:eastAsia="Verdana" w:hAnsi="Verdana"/>
                <w:sz w:val="16"/>
                <w:szCs w:val="16"/>
                <w:color w:val="auto"/>
              </w:rPr>
              <w:t>Adjusted EBITDA attributable to San Mateo (Non-GAAP)</w:t>
            </w:r>
          </w:p>
        </w:tc>
        <w:tc>
          <w:tcPr>
            <w:tcW w:w="260" w:type="dxa"/>
            <w:vAlign w:val="bottom"/>
          </w:tcPr>
          <w:p>
            <w:pPr>
              <w:ind w:left="60"/>
              <w:spacing w:after="0"/>
              <w:rPr>
                <w:sz w:val="20"/>
                <w:szCs w:val="20"/>
                <w:color w:val="auto"/>
              </w:rPr>
            </w:pPr>
            <w:r>
              <w:rPr>
                <w:rFonts w:ascii="Verdana" w:cs="Verdana" w:eastAsia="Verdana" w:hAnsi="Verdana"/>
                <w:sz w:val="16"/>
                <w:szCs w:val="16"/>
                <w:color w:val="214E93"/>
              </w:rPr>
              <w:t>$</w:t>
            </w:r>
          </w:p>
        </w:tc>
        <w:tc>
          <w:tcPr>
            <w:tcW w:w="880" w:type="dxa"/>
            <w:vAlign w:val="bottom"/>
          </w:tcPr>
          <w:p>
            <w:pPr>
              <w:jc w:val="right"/>
              <w:ind w:right="23"/>
              <w:spacing w:after="0"/>
              <w:rPr>
                <w:sz w:val="20"/>
                <w:szCs w:val="20"/>
                <w:color w:val="auto"/>
              </w:rPr>
            </w:pPr>
            <w:r>
              <w:rPr>
                <w:rFonts w:ascii="Verdana" w:cs="Verdana" w:eastAsia="Verdana" w:hAnsi="Verdana"/>
                <w:sz w:val="16"/>
                <w:szCs w:val="16"/>
                <w:color w:val="214E93"/>
              </w:rPr>
              <w:t>294,104</w:t>
            </w:r>
          </w:p>
        </w:tc>
        <w:tc>
          <w:tcPr>
            <w:tcW w:w="300" w:type="dxa"/>
            <w:vAlign w:val="bottom"/>
          </w:tcPr>
          <w:p>
            <w:pPr>
              <w:ind w:left="80"/>
              <w:spacing w:after="0"/>
              <w:rPr>
                <w:sz w:val="20"/>
                <w:szCs w:val="20"/>
                <w:color w:val="auto"/>
              </w:rPr>
            </w:pPr>
            <w:r>
              <w:rPr>
                <w:rFonts w:ascii="Verdana" w:cs="Verdana" w:eastAsia="Verdana" w:hAnsi="Verdana"/>
                <w:sz w:val="16"/>
                <w:szCs w:val="16"/>
                <w:color w:val="auto"/>
              </w:rPr>
              <w:t>$</w:t>
            </w:r>
          </w:p>
        </w:tc>
        <w:tc>
          <w:tcPr>
            <w:tcW w:w="840" w:type="dxa"/>
            <w:vAlign w:val="bottom"/>
          </w:tcPr>
          <w:p>
            <w:pPr>
              <w:jc w:val="right"/>
              <w:ind w:right="3"/>
              <w:spacing w:after="0"/>
              <w:rPr>
                <w:sz w:val="20"/>
                <w:szCs w:val="20"/>
                <w:color w:val="auto"/>
              </w:rPr>
            </w:pPr>
            <w:r>
              <w:rPr>
                <w:rFonts w:ascii="Verdana" w:cs="Verdana" w:eastAsia="Verdana" w:hAnsi="Verdana"/>
                <w:sz w:val="16"/>
                <w:szCs w:val="16"/>
                <w:color w:val="auto"/>
              </w:rPr>
              <w:t>253,157</w:t>
            </w:r>
          </w:p>
        </w:tc>
      </w:tr>
      <w:tr>
        <w:trPr>
          <w:trHeight w:val="321"/>
        </w:trPr>
        <w:tc>
          <w:tcPr>
            <w:tcW w:w="7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11"/>
        </w:trPr>
        <w:tc>
          <w:tcPr>
            <w:tcW w:w="7280" w:type="dxa"/>
            <w:vAlign w:val="bottom"/>
            <w:tcBorders>
              <w:bottom w:val="single" w:sz="8" w:color="214E93"/>
            </w:tcBorders>
          </w:tcPr>
          <w:p>
            <w:pPr>
              <w:ind w:left="160"/>
              <w:spacing w:after="0"/>
              <w:rPr>
                <w:sz w:val="20"/>
                <w:szCs w:val="20"/>
                <w:color w:val="auto"/>
              </w:rPr>
            </w:pPr>
            <w:r>
              <w:rPr>
                <w:rFonts w:ascii="Verdana" w:cs="Verdana" w:eastAsia="Verdana" w:hAnsi="Verdana"/>
                <w:sz w:val="16"/>
                <w:szCs w:val="16"/>
                <w:color w:val="auto"/>
              </w:rPr>
              <w:t>Adjusted EBITDA - Combined Midstream (Non-GAAP)</w:t>
            </w:r>
          </w:p>
        </w:tc>
        <w:tc>
          <w:tcPr>
            <w:tcW w:w="260" w:type="dxa"/>
            <w:vAlign w:val="bottom"/>
            <w:tcBorders>
              <w:bottom w:val="single" w:sz="8" w:color="214E93"/>
            </w:tcBorders>
          </w:tcPr>
          <w:p>
            <w:pPr>
              <w:ind w:left="60"/>
              <w:spacing w:after="0"/>
              <w:rPr>
                <w:sz w:val="20"/>
                <w:szCs w:val="20"/>
                <w:color w:val="auto"/>
              </w:rPr>
            </w:pPr>
            <w:r>
              <w:rPr>
                <w:rFonts w:ascii="Verdana" w:cs="Verdana" w:eastAsia="Verdana" w:hAnsi="Verdana"/>
                <w:sz w:val="16"/>
                <w:szCs w:val="16"/>
                <w:color w:val="214E93"/>
              </w:rPr>
              <w:t>$</w:t>
            </w:r>
          </w:p>
        </w:tc>
        <w:tc>
          <w:tcPr>
            <w:tcW w:w="880" w:type="dxa"/>
            <w:vAlign w:val="bottom"/>
            <w:tcBorders>
              <w:bottom w:val="single" w:sz="8" w:color="214E93"/>
            </w:tcBorders>
          </w:tcPr>
          <w:p>
            <w:pPr>
              <w:jc w:val="right"/>
              <w:ind w:right="23"/>
              <w:spacing w:after="0"/>
              <w:rPr>
                <w:sz w:val="20"/>
                <w:szCs w:val="20"/>
                <w:color w:val="auto"/>
              </w:rPr>
            </w:pPr>
            <w:r>
              <w:rPr>
                <w:rFonts w:ascii="Verdana" w:cs="Verdana" w:eastAsia="Verdana" w:hAnsi="Verdana"/>
                <w:sz w:val="16"/>
                <w:szCs w:val="16"/>
                <w:color w:val="214E93"/>
              </w:rPr>
              <w:t>331,880</w:t>
            </w:r>
          </w:p>
        </w:tc>
        <w:tc>
          <w:tcPr>
            <w:tcW w:w="300" w:type="dxa"/>
            <w:vAlign w:val="bottom"/>
            <w:tcBorders>
              <w:bottom w:val="single" w:sz="8" w:color="214E93"/>
            </w:tcBorders>
          </w:tcPr>
          <w:p>
            <w:pPr>
              <w:ind w:left="80"/>
              <w:spacing w:after="0"/>
              <w:rPr>
                <w:sz w:val="20"/>
                <w:szCs w:val="20"/>
                <w:color w:val="auto"/>
              </w:rPr>
            </w:pPr>
            <w:r>
              <w:rPr>
                <w:rFonts w:ascii="Verdana" w:cs="Verdana" w:eastAsia="Verdana" w:hAnsi="Verdana"/>
                <w:sz w:val="16"/>
                <w:szCs w:val="16"/>
                <w:color w:val="auto"/>
              </w:rPr>
              <w:t>$</w:t>
            </w:r>
          </w:p>
        </w:tc>
        <w:tc>
          <w:tcPr>
            <w:tcW w:w="840" w:type="dxa"/>
            <w:vAlign w:val="bottom"/>
            <w:tcBorders>
              <w:bottom w:val="single" w:sz="8" w:color="214E93"/>
            </w:tcBorders>
          </w:tcPr>
          <w:p>
            <w:pPr>
              <w:jc w:val="right"/>
              <w:ind w:right="3"/>
              <w:spacing w:after="0"/>
              <w:rPr>
                <w:sz w:val="20"/>
                <w:szCs w:val="20"/>
                <w:color w:val="auto"/>
              </w:rPr>
            </w:pPr>
            <w:r>
              <w:rPr>
                <w:rFonts w:ascii="Verdana" w:cs="Verdana" w:eastAsia="Verdana" w:hAnsi="Verdana"/>
                <w:sz w:val="16"/>
                <w:szCs w:val="16"/>
                <w:color w:val="auto"/>
              </w:rPr>
              <w:t>286,200</w:t>
            </w:r>
          </w:p>
        </w:tc>
      </w:tr>
    </w:tbl>
    <w:p>
      <w:pPr>
        <w:spacing w:after="0" w:line="20" w:lineRule="exact"/>
        <w:rPr>
          <w:sz w:val="20"/>
          <w:szCs w:val="20"/>
          <w:color w:val="auto"/>
        </w:rPr>
      </w:pPr>
    </w:p>
    <w:p>
      <w:pPr>
        <w:sectPr>
          <w:pgSz w:w="11880" w:h="15480" w:orient="portrait"/>
          <w:cols w:equalWidth="0" w:num="1">
            <w:col w:w="10240"/>
          </w:cols>
          <w:pgMar w:left="48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alibri" w:cs="Calibri" w:eastAsia="Calibri" w:hAnsi="Calibri"/>
          <w:sz w:val="17"/>
          <w:szCs w:val="17"/>
          <w:color w:val="auto"/>
        </w:rPr>
        <w:t>Additional Financial Information</w:t>
      </w:r>
    </w:p>
    <w:p>
      <w:pPr>
        <w:sectPr>
          <w:pgSz w:w="11880" w:h="15480" w:orient="portrait"/>
          <w:cols w:equalWidth="0" w:num="1">
            <w:col w:w="10240"/>
          </w:cols>
          <w:pgMar w:left="480" w:top="498" w:right="1160" w:bottom="0" w:gutter="0" w:footer="0" w:header="0"/>
          <w:type w:val="continuous"/>
        </w:sectPr>
      </w:pPr>
    </w:p>
    <w:bookmarkStart w:id="186" w:name="page187"/>
    <w:bookmarkEnd w:id="186"/>
    <w:p>
      <w:pPr>
        <w:ind w:left="7880"/>
        <w:spacing w:after="0"/>
        <w:rPr>
          <w:sz w:val="20"/>
          <w:szCs w:val="20"/>
          <w:color w:val="auto"/>
        </w:rPr>
      </w:pPr>
      <w:r>
        <w:rPr>
          <w:rFonts w:ascii="Calibri" w:cs="Calibri" w:eastAsia="Calibri" w:hAnsi="Calibri"/>
          <w:sz w:val="18"/>
          <w:szCs w:val="18"/>
          <w:color w:val="auto"/>
        </w:rPr>
        <w:t>2025 ANNUAL REPORT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372" name="Shape 3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72" o:spid="_x0000_s13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320675</wp:posOffset>
                </wp:positionV>
                <wp:extent cx="6811645" cy="0"/>
                <wp:wrapNone/>
                <wp:docPr id="373" name="Shape 3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73" o:spid="_x0000_s13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25.25pt" to="478.35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Verdana" w:cs="Verdana" w:eastAsia="Verdana" w:hAnsi="Verdana"/>
          <w:sz w:val="20"/>
          <w:szCs w:val="20"/>
          <w:color w:val="214E93"/>
        </w:rPr>
        <w:t>ADJUSTED FREE CASH FLOW</w:t>
      </w:r>
    </w:p>
    <w:p>
      <w:pPr>
        <w:spacing w:after="0" w:line="209" w:lineRule="exact"/>
        <w:rPr>
          <w:sz w:val="20"/>
          <w:szCs w:val="20"/>
          <w:color w:val="auto"/>
        </w:rPr>
      </w:pPr>
    </w:p>
    <w:p>
      <w:pPr>
        <w:ind w:right="680" w:firstLine="241"/>
        <w:spacing w:after="0" w:line="269" w:lineRule="auto"/>
        <w:rPr>
          <w:sz w:val="20"/>
          <w:szCs w:val="20"/>
          <w:color w:val="auto"/>
        </w:rPr>
      </w:pPr>
      <w:r>
        <w:rPr>
          <w:rFonts w:ascii="Calibri" w:cs="Calibri" w:eastAsia="Calibri" w:hAnsi="Calibri"/>
          <w:sz w:val="18"/>
          <w:szCs w:val="18"/>
          <w:color w:val="auto"/>
        </w:rPr>
        <w:t>This Annual Report includes the non-GAAP financial measure of adjusted free cash flow. This non-GAAP item is measured, on a consolidated basis for the Company and for San Mateo, as net cash provided by operating activities, adjusted for changes in working capital and cash performance incentives that are not included as operating cash flows, less cash flows used for capital expenditures, adjusted for changes in capital accruals. On a consolidated basis, these numbers are also adjusted for the cash flows related to non-controlling interest in subsidiaries that represent cash flows not attributable to Matador shareholders. Adjusted free cash flow should not be considered an alternative to, or more meaningful than, net cash provided by operating activities as determined in accordance with GAAP or an indicator of the Company’s liquidity. Adjusted free cash flow is used by the Company, securities analysts and investors as an indicator of the Company’s ability to manage its operating cash flow, internally fund its D/C/E capital expenditures, pay dividends and service or incur additional debt, without regard to the timing of settlement of either operating assets and liabilities or accounts payable related to capital expenditures. Additionally, this non-GAAP financial measure may be different than similar measures used by other companies. The Company believes the presentation of adjusted free cash flow provides useful information to investors, as it provides them an additional relevant comparison of the Company’s performance, sources and uses of capital associated with its operations across periods and to the performance of the Company’s peers. In addition, this non-GAAP financial measure reflects adjustments for items of cash flows that are often excluded by securities analysts and other users of the Company’s financial statements in evaluating the Company’s cash spend.</w:t>
      </w:r>
    </w:p>
    <w:p>
      <w:pPr>
        <w:spacing w:after="0" w:line="221" w:lineRule="exact"/>
        <w:rPr>
          <w:sz w:val="20"/>
          <w:szCs w:val="20"/>
          <w:color w:val="auto"/>
        </w:rPr>
      </w:pPr>
    </w:p>
    <w:p>
      <w:pPr>
        <w:ind w:right="780" w:firstLine="241"/>
        <w:spacing w:after="0" w:line="261" w:lineRule="auto"/>
        <w:rPr>
          <w:sz w:val="20"/>
          <w:szCs w:val="20"/>
          <w:color w:val="auto"/>
        </w:rPr>
      </w:pPr>
      <w:r>
        <w:rPr>
          <w:rFonts w:ascii="Calibri" w:cs="Calibri" w:eastAsia="Calibri" w:hAnsi="Calibri"/>
          <w:sz w:val="18"/>
          <w:szCs w:val="18"/>
          <w:color w:val="auto"/>
        </w:rPr>
        <w:t>The table below reconciles adjusted free cash flow to its most directly comparable GAAP measure of net cash provided by operating activities. All references to Matador’s adjusted free cash flow are those values attributable to Matador shareholders after giving effect to adjusted free cash flow attributable to third-party non-controlling interests, including in San Mateo.</w:t>
      </w:r>
    </w:p>
    <w:p>
      <w:pPr>
        <w:spacing w:after="0" w:line="20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214E93"/>
        </w:rPr>
        <w:t>Adjusted Free Cash Flow – Matador Resources Company</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060" w:type="dxa"/>
            <w:vAlign w:val="bottom"/>
          </w:tcPr>
          <w:p>
            <w:pPr>
              <w:spacing w:after="0"/>
              <w:rPr>
                <w:sz w:val="16"/>
                <w:szCs w:val="16"/>
                <w:color w:val="auto"/>
              </w:rPr>
            </w:pPr>
          </w:p>
        </w:tc>
        <w:tc>
          <w:tcPr>
            <w:tcW w:w="240" w:type="dxa"/>
            <w:vAlign w:val="bottom"/>
            <w:tcBorders>
              <w:bottom w:val="single" w:sz="8" w:color="214E93"/>
            </w:tcBorders>
          </w:tcPr>
          <w:p>
            <w:pPr>
              <w:spacing w:after="0"/>
              <w:rPr>
                <w:sz w:val="16"/>
                <w:szCs w:val="16"/>
                <w:color w:val="auto"/>
              </w:rPr>
            </w:pPr>
          </w:p>
        </w:tc>
        <w:tc>
          <w:tcPr>
            <w:tcW w:w="2260" w:type="dxa"/>
            <w:vAlign w:val="bottom"/>
            <w:tcBorders>
              <w:bottom w:val="single" w:sz="8" w:color="214E93"/>
            </w:tcBorders>
            <w:gridSpan w:val="3"/>
          </w:tcPr>
          <w:p>
            <w:pPr>
              <w:jc w:val="right"/>
              <w:ind w:right="782"/>
              <w:spacing w:after="0"/>
              <w:rPr>
                <w:sz w:val="20"/>
                <w:szCs w:val="20"/>
                <w:color w:val="auto"/>
              </w:rPr>
            </w:pPr>
            <w:r>
              <w:rPr>
                <w:rFonts w:ascii="Verdana" w:cs="Verdana" w:eastAsia="Verdana" w:hAnsi="Verdana"/>
                <w:sz w:val="14"/>
                <w:szCs w:val="14"/>
                <w:color w:val="auto"/>
              </w:rPr>
              <w:t>Year Ended</w:t>
            </w:r>
          </w:p>
        </w:tc>
      </w:tr>
      <w:tr>
        <w:trPr>
          <w:trHeight w:val="194"/>
        </w:trPr>
        <w:tc>
          <w:tcPr>
            <w:tcW w:w="7060" w:type="dxa"/>
            <w:vAlign w:val="bottom"/>
          </w:tcPr>
          <w:p>
            <w:pPr>
              <w:spacing w:after="0"/>
              <w:rPr>
                <w:sz w:val="16"/>
                <w:szCs w:val="16"/>
                <w:color w:val="auto"/>
              </w:rPr>
            </w:pPr>
          </w:p>
        </w:tc>
        <w:tc>
          <w:tcPr>
            <w:tcW w:w="1240" w:type="dxa"/>
            <w:vAlign w:val="bottom"/>
            <w:gridSpan w:val="2"/>
          </w:tcPr>
          <w:p>
            <w:pPr>
              <w:jc w:val="right"/>
              <w:ind w:right="63"/>
              <w:spacing w:after="0"/>
              <w:rPr>
                <w:sz w:val="20"/>
                <w:szCs w:val="20"/>
                <w:color w:val="auto"/>
              </w:rPr>
            </w:pPr>
            <w:r>
              <w:rPr>
                <w:rFonts w:ascii="Verdana" w:cs="Verdana" w:eastAsia="Verdana" w:hAnsi="Verdana"/>
                <w:sz w:val="14"/>
                <w:szCs w:val="14"/>
                <w:color w:val="214E93"/>
              </w:rPr>
              <w:t>December 31,</w:t>
            </w:r>
          </w:p>
        </w:tc>
        <w:tc>
          <w:tcPr>
            <w:tcW w:w="1260" w:type="dxa"/>
            <w:vAlign w:val="bottom"/>
            <w:gridSpan w:val="2"/>
          </w:tcPr>
          <w:p>
            <w:pPr>
              <w:jc w:val="right"/>
              <w:ind w:right="42"/>
              <w:spacing w:after="0"/>
              <w:rPr>
                <w:sz w:val="20"/>
                <w:szCs w:val="20"/>
                <w:color w:val="auto"/>
              </w:rPr>
            </w:pPr>
            <w:r>
              <w:rPr>
                <w:rFonts w:ascii="Verdana" w:cs="Verdana" w:eastAsia="Verdana" w:hAnsi="Verdana"/>
                <w:sz w:val="14"/>
                <w:szCs w:val="14"/>
                <w:color w:val="auto"/>
              </w:rPr>
              <w:t>December 31,</w:t>
            </w:r>
          </w:p>
        </w:tc>
      </w:tr>
      <w:tr>
        <w:trPr>
          <w:trHeight w:val="229"/>
        </w:trPr>
        <w:tc>
          <w:tcPr>
            <w:tcW w:w="7060" w:type="dxa"/>
            <w:vAlign w:val="bottom"/>
            <w:tcBorders>
              <w:bottom w:val="single" w:sz="8" w:color="214E93"/>
            </w:tcBorders>
          </w:tcPr>
          <w:p>
            <w:pPr>
              <w:spacing w:after="0"/>
              <w:rPr>
                <w:sz w:val="19"/>
                <w:szCs w:val="19"/>
                <w:color w:val="auto"/>
              </w:rPr>
            </w:pPr>
          </w:p>
        </w:tc>
        <w:tc>
          <w:tcPr>
            <w:tcW w:w="240" w:type="dxa"/>
            <w:vAlign w:val="bottom"/>
            <w:tcBorders>
              <w:bottom w:val="single" w:sz="8" w:color="214E93"/>
            </w:tcBorders>
          </w:tcPr>
          <w:p>
            <w:pPr>
              <w:spacing w:after="0"/>
              <w:rPr>
                <w:sz w:val="19"/>
                <w:szCs w:val="19"/>
                <w:color w:val="auto"/>
              </w:rPr>
            </w:pPr>
          </w:p>
        </w:tc>
        <w:tc>
          <w:tcPr>
            <w:tcW w:w="1000" w:type="dxa"/>
            <w:vAlign w:val="bottom"/>
            <w:tcBorders>
              <w:bottom w:val="single" w:sz="8" w:color="214E93"/>
            </w:tcBorders>
          </w:tcPr>
          <w:p>
            <w:pPr>
              <w:jc w:val="right"/>
              <w:ind w:right="383"/>
              <w:spacing w:after="0"/>
              <w:rPr>
                <w:sz w:val="20"/>
                <w:szCs w:val="20"/>
                <w:color w:val="auto"/>
              </w:rPr>
            </w:pPr>
            <w:r>
              <w:rPr>
                <w:rFonts w:ascii="Verdana" w:cs="Verdana" w:eastAsia="Verdana" w:hAnsi="Verdana"/>
                <w:sz w:val="14"/>
                <w:szCs w:val="14"/>
                <w:color w:val="214E93"/>
              </w:rPr>
              <w:t>2025</w:t>
            </w:r>
          </w:p>
        </w:tc>
        <w:tc>
          <w:tcPr>
            <w:tcW w:w="280" w:type="dxa"/>
            <w:vAlign w:val="bottom"/>
            <w:tcBorders>
              <w:bottom w:val="single" w:sz="8" w:color="214E93"/>
            </w:tcBorders>
          </w:tcPr>
          <w:p>
            <w:pPr>
              <w:spacing w:after="0"/>
              <w:rPr>
                <w:sz w:val="19"/>
                <w:szCs w:val="19"/>
                <w:color w:val="auto"/>
              </w:rPr>
            </w:pPr>
          </w:p>
        </w:tc>
        <w:tc>
          <w:tcPr>
            <w:tcW w:w="980" w:type="dxa"/>
            <w:vAlign w:val="bottom"/>
            <w:tcBorders>
              <w:bottom w:val="single" w:sz="8" w:color="214E93"/>
            </w:tcBorders>
          </w:tcPr>
          <w:p>
            <w:pPr>
              <w:jc w:val="right"/>
              <w:ind w:right="362"/>
              <w:spacing w:after="0"/>
              <w:rPr>
                <w:sz w:val="20"/>
                <w:szCs w:val="20"/>
                <w:color w:val="auto"/>
              </w:rPr>
            </w:pPr>
            <w:r>
              <w:rPr>
                <w:rFonts w:ascii="Verdana" w:cs="Verdana" w:eastAsia="Verdana" w:hAnsi="Verdana"/>
                <w:sz w:val="14"/>
                <w:szCs w:val="14"/>
                <w:color w:val="auto"/>
              </w:rPr>
              <w:t>2024</w:t>
            </w:r>
          </w:p>
        </w:tc>
      </w:tr>
      <w:tr>
        <w:trPr>
          <w:trHeight w:val="194"/>
        </w:trPr>
        <w:tc>
          <w:tcPr>
            <w:tcW w:w="7060" w:type="dxa"/>
            <w:vAlign w:val="bottom"/>
          </w:tcPr>
          <w:p>
            <w:pPr>
              <w:ind w:left="40"/>
              <w:spacing w:after="0"/>
              <w:rPr>
                <w:sz w:val="20"/>
                <w:szCs w:val="20"/>
                <w:color w:val="auto"/>
              </w:rPr>
            </w:pPr>
            <w:r>
              <w:rPr>
                <w:rFonts w:ascii="Verdana" w:cs="Verdana" w:eastAsia="Verdana" w:hAnsi="Verdana"/>
                <w:sz w:val="14"/>
                <w:szCs w:val="14"/>
                <w:i w:val="1"/>
                <w:iCs w:val="1"/>
                <w:color w:val="auto"/>
              </w:rPr>
              <w:t>(In thousands)</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8"/>
        </w:trPr>
        <w:tc>
          <w:tcPr>
            <w:tcW w:w="7060" w:type="dxa"/>
            <w:vAlign w:val="bottom"/>
          </w:tcPr>
          <w:p>
            <w:pPr>
              <w:ind w:left="40"/>
              <w:spacing w:after="0"/>
              <w:rPr>
                <w:sz w:val="20"/>
                <w:szCs w:val="20"/>
                <w:color w:val="auto"/>
              </w:rPr>
            </w:pPr>
            <w:r>
              <w:rPr>
                <w:rFonts w:ascii="Verdana" w:cs="Verdana" w:eastAsia="Verdana" w:hAnsi="Verdana"/>
                <w:sz w:val="16"/>
                <w:szCs w:val="16"/>
                <w:color w:val="auto"/>
              </w:rPr>
              <w:t>Net cash provided by operating activities</w:t>
            </w:r>
          </w:p>
        </w:tc>
        <w:tc>
          <w:tcPr>
            <w:tcW w:w="240" w:type="dxa"/>
            <w:vAlign w:val="bottom"/>
          </w:tcPr>
          <w:p>
            <w:pPr>
              <w:jc w:val="right"/>
              <w:ind w:right="25"/>
              <w:spacing w:after="0"/>
              <w:rPr>
                <w:sz w:val="20"/>
                <w:szCs w:val="20"/>
                <w:color w:val="auto"/>
              </w:rPr>
            </w:pPr>
            <w:r>
              <w:rPr>
                <w:rFonts w:ascii="Verdana" w:cs="Verdana" w:eastAsia="Verdana" w:hAnsi="Verdana"/>
                <w:sz w:val="16"/>
                <w:szCs w:val="16"/>
                <w:color w:val="214E93"/>
              </w:rPr>
              <w:t>$</w:t>
            </w:r>
          </w:p>
        </w:tc>
        <w:tc>
          <w:tcPr>
            <w:tcW w:w="1000" w:type="dxa"/>
            <w:vAlign w:val="bottom"/>
          </w:tcPr>
          <w:p>
            <w:pPr>
              <w:jc w:val="right"/>
              <w:ind w:right="23"/>
              <w:spacing w:after="0"/>
              <w:rPr>
                <w:sz w:val="20"/>
                <w:szCs w:val="20"/>
                <w:color w:val="auto"/>
              </w:rPr>
            </w:pPr>
            <w:r>
              <w:rPr>
                <w:rFonts w:ascii="Verdana" w:cs="Verdana" w:eastAsia="Verdana" w:hAnsi="Verdana"/>
                <w:sz w:val="16"/>
                <w:szCs w:val="16"/>
                <w:color w:val="214E93"/>
              </w:rPr>
              <w:t>2,425,015</w:t>
            </w:r>
          </w:p>
        </w:tc>
        <w:tc>
          <w:tcPr>
            <w:tcW w:w="280" w:type="dxa"/>
            <w:vAlign w:val="bottom"/>
          </w:tcPr>
          <w:p>
            <w:pPr>
              <w:jc w:val="right"/>
              <w:ind w:right="25"/>
              <w:spacing w:after="0"/>
              <w:rPr>
                <w:sz w:val="20"/>
                <w:szCs w:val="20"/>
                <w:color w:val="auto"/>
              </w:rPr>
            </w:pPr>
            <w:r>
              <w:rPr>
                <w:rFonts w:ascii="Verdana" w:cs="Verdana" w:eastAsia="Verdana" w:hAnsi="Verdana"/>
                <w:sz w:val="16"/>
                <w:szCs w:val="16"/>
                <w:color w:val="auto"/>
              </w:rPr>
              <w:t>$</w:t>
            </w:r>
          </w:p>
        </w:tc>
        <w:tc>
          <w:tcPr>
            <w:tcW w:w="980" w:type="dxa"/>
            <w:vAlign w:val="bottom"/>
          </w:tcPr>
          <w:p>
            <w:pPr>
              <w:jc w:val="right"/>
              <w:ind w:right="2"/>
              <w:spacing w:after="0"/>
              <w:rPr>
                <w:sz w:val="20"/>
                <w:szCs w:val="20"/>
                <w:color w:val="auto"/>
              </w:rPr>
            </w:pPr>
            <w:r>
              <w:rPr>
                <w:rFonts w:ascii="Verdana" w:cs="Verdana" w:eastAsia="Verdana" w:hAnsi="Verdana"/>
                <w:sz w:val="16"/>
                <w:szCs w:val="16"/>
                <w:color w:val="auto"/>
              </w:rPr>
              <w:t>2,246,885</w:t>
            </w:r>
          </w:p>
        </w:tc>
      </w:tr>
      <w:tr>
        <w:trPr>
          <w:trHeight w:val="236"/>
        </w:trPr>
        <w:tc>
          <w:tcPr>
            <w:tcW w:w="7060" w:type="dxa"/>
            <w:vAlign w:val="bottom"/>
          </w:tcPr>
          <w:p>
            <w:pPr>
              <w:ind w:left="280"/>
              <w:spacing w:after="0"/>
              <w:rPr>
                <w:sz w:val="20"/>
                <w:szCs w:val="20"/>
                <w:color w:val="auto"/>
              </w:rPr>
            </w:pPr>
            <w:r>
              <w:rPr>
                <w:rFonts w:ascii="Verdana" w:cs="Verdana" w:eastAsia="Verdana" w:hAnsi="Verdana"/>
                <w:sz w:val="16"/>
                <w:szCs w:val="16"/>
                <w:color w:val="auto"/>
              </w:rPr>
              <w:t>Net change in operating assets and liabilities</w:t>
            </w:r>
          </w:p>
        </w:tc>
        <w:tc>
          <w:tcPr>
            <w:tcW w:w="240" w:type="dxa"/>
            <w:vAlign w:val="bottom"/>
          </w:tcPr>
          <w:p>
            <w:pPr>
              <w:spacing w:after="0"/>
              <w:rPr>
                <w:sz w:val="20"/>
                <w:szCs w:val="20"/>
                <w:color w:val="auto"/>
              </w:rPr>
            </w:pPr>
          </w:p>
        </w:tc>
        <w:tc>
          <w:tcPr>
            <w:tcW w:w="1000" w:type="dxa"/>
            <w:vAlign w:val="bottom"/>
          </w:tcPr>
          <w:p>
            <w:pPr>
              <w:jc w:val="right"/>
              <w:ind w:right="3"/>
              <w:spacing w:after="0"/>
              <w:rPr>
                <w:sz w:val="20"/>
                <w:szCs w:val="20"/>
                <w:color w:val="auto"/>
              </w:rPr>
            </w:pPr>
            <w:r>
              <w:rPr>
                <w:rFonts w:ascii="Verdana" w:cs="Verdana" w:eastAsia="Verdana" w:hAnsi="Verdana"/>
                <w:sz w:val="16"/>
                <w:szCs w:val="16"/>
                <w:color w:val="214E93"/>
              </w:rPr>
              <w:t>(176,189)</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Verdana" w:cs="Verdana" w:eastAsia="Verdana" w:hAnsi="Verdana"/>
                <w:sz w:val="16"/>
                <w:szCs w:val="16"/>
                <w:color w:val="auto"/>
              </w:rPr>
              <w:t>(13,080)</w:t>
            </w:r>
          </w:p>
        </w:tc>
      </w:tr>
      <w:tr>
        <w:trPr>
          <w:trHeight w:val="217"/>
        </w:trPr>
        <w:tc>
          <w:tcPr>
            <w:tcW w:w="7060" w:type="dxa"/>
            <w:vAlign w:val="bottom"/>
          </w:tcPr>
          <w:p>
            <w:pPr>
              <w:ind w:left="280"/>
              <w:spacing w:after="0"/>
              <w:rPr>
                <w:sz w:val="20"/>
                <w:szCs w:val="20"/>
                <w:color w:val="auto"/>
              </w:rPr>
            </w:pPr>
            <w:r>
              <w:rPr>
                <w:rFonts w:ascii="Verdana" w:cs="Verdana" w:eastAsia="Verdana" w:hAnsi="Verdana"/>
                <w:sz w:val="16"/>
                <w:szCs w:val="16"/>
                <w:color w:val="auto"/>
              </w:rPr>
              <w:t>San Mateo discretionary cash flow attributable to non-controlling interest in</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6"/>
        </w:trPr>
        <w:tc>
          <w:tcPr>
            <w:tcW w:w="7060" w:type="dxa"/>
            <w:vAlign w:val="bottom"/>
          </w:tcPr>
          <w:p>
            <w:pPr>
              <w:ind w:left="280"/>
              <w:spacing w:after="0" w:line="236" w:lineRule="exact"/>
              <w:rPr>
                <w:sz w:val="20"/>
                <w:szCs w:val="20"/>
                <w:color w:val="auto"/>
              </w:rPr>
            </w:pPr>
            <w:r>
              <w:rPr>
                <w:rFonts w:ascii="Verdana" w:cs="Verdana" w:eastAsia="Verdana" w:hAnsi="Verdana"/>
                <w:sz w:val="16"/>
                <w:szCs w:val="16"/>
                <w:color w:val="auto"/>
              </w:rPr>
              <w:t>subsidiaries</w:t>
            </w:r>
            <w:r>
              <w:rPr>
                <w:rFonts w:ascii="Verdana" w:cs="Verdana" w:eastAsia="Verdana" w:hAnsi="Verdana"/>
                <w:sz w:val="20"/>
                <w:szCs w:val="20"/>
                <w:color w:val="auto"/>
                <w:vertAlign w:val="superscript"/>
              </w:rPr>
              <w:t>(1)</w:t>
            </w:r>
          </w:p>
        </w:tc>
        <w:tc>
          <w:tcPr>
            <w:tcW w:w="240" w:type="dxa"/>
            <w:vAlign w:val="bottom"/>
          </w:tcPr>
          <w:p>
            <w:pPr>
              <w:spacing w:after="0"/>
              <w:rPr>
                <w:sz w:val="20"/>
                <w:szCs w:val="20"/>
                <w:color w:val="auto"/>
              </w:rPr>
            </w:pPr>
          </w:p>
        </w:tc>
        <w:tc>
          <w:tcPr>
            <w:tcW w:w="1000" w:type="dxa"/>
            <w:vAlign w:val="bottom"/>
          </w:tcPr>
          <w:p>
            <w:pPr>
              <w:jc w:val="right"/>
              <w:ind w:right="3"/>
              <w:spacing w:after="0"/>
              <w:rPr>
                <w:sz w:val="20"/>
                <w:szCs w:val="20"/>
                <w:color w:val="auto"/>
              </w:rPr>
            </w:pPr>
            <w:r>
              <w:rPr>
                <w:rFonts w:ascii="Verdana" w:cs="Verdana" w:eastAsia="Verdana" w:hAnsi="Verdana"/>
                <w:sz w:val="16"/>
                <w:szCs w:val="16"/>
                <w:color w:val="214E93"/>
              </w:rPr>
              <w:t>(126,916)</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Verdana" w:cs="Verdana" w:eastAsia="Verdana" w:hAnsi="Verdana"/>
                <w:sz w:val="16"/>
                <w:szCs w:val="16"/>
                <w:color w:val="auto"/>
              </w:rPr>
              <w:t>(105,279)</w:t>
            </w:r>
          </w:p>
        </w:tc>
      </w:tr>
      <w:tr>
        <w:trPr>
          <w:trHeight w:val="211"/>
        </w:trPr>
        <w:tc>
          <w:tcPr>
            <w:tcW w:w="7060" w:type="dxa"/>
            <w:vAlign w:val="bottom"/>
          </w:tcPr>
          <w:p>
            <w:pPr>
              <w:ind w:left="280"/>
              <w:spacing w:after="0"/>
              <w:rPr>
                <w:sz w:val="20"/>
                <w:szCs w:val="20"/>
                <w:color w:val="auto"/>
              </w:rPr>
            </w:pPr>
            <w:r>
              <w:rPr>
                <w:rFonts w:ascii="Verdana" w:cs="Verdana" w:eastAsia="Verdana" w:hAnsi="Verdana"/>
                <w:sz w:val="16"/>
                <w:szCs w:val="16"/>
                <w:color w:val="auto"/>
              </w:rPr>
              <w:t>Proceeds from contribution of Pronto to San Mateo</w:t>
            </w:r>
          </w:p>
        </w:tc>
        <w:tc>
          <w:tcPr>
            <w:tcW w:w="24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Verdana" w:cs="Verdana" w:eastAsia="Verdana" w:hAnsi="Verdana"/>
                <w:sz w:val="16"/>
                <w:szCs w:val="16"/>
                <w:color w:val="214E93"/>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Verdana" w:cs="Verdana" w:eastAsia="Verdana" w:hAnsi="Verdana"/>
                <w:sz w:val="16"/>
                <w:szCs w:val="16"/>
                <w:color w:val="auto"/>
              </w:rPr>
              <w:t>219,760</w:t>
            </w:r>
          </w:p>
        </w:tc>
      </w:tr>
      <w:tr>
        <w:trPr>
          <w:trHeight w:val="242"/>
        </w:trPr>
        <w:tc>
          <w:tcPr>
            <w:tcW w:w="7060" w:type="dxa"/>
            <w:vAlign w:val="bottom"/>
            <w:tcBorders>
              <w:bottom w:val="single" w:sz="8" w:color="auto"/>
            </w:tcBorders>
          </w:tcPr>
          <w:p>
            <w:pPr>
              <w:ind w:left="280"/>
              <w:spacing w:after="0"/>
              <w:rPr>
                <w:sz w:val="20"/>
                <w:szCs w:val="20"/>
                <w:color w:val="auto"/>
              </w:rPr>
            </w:pPr>
            <w:r>
              <w:rPr>
                <w:rFonts w:ascii="Verdana" w:cs="Verdana" w:eastAsia="Verdana" w:hAnsi="Verdana"/>
                <w:sz w:val="16"/>
                <w:szCs w:val="16"/>
                <w:color w:val="auto"/>
              </w:rPr>
              <w:t>Performance incentives received from Five Point</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
              <w:spacing w:after="0"/>
              <w:rPr>
                <w:sz w:val="20"/>
                <w:szCs w:val="20"/>
                <w:color w:val="auto"/>
              </w:rPr>
            </w:pPr>
            <w:r>
              <w:rPr>
                <w:rFonts w:ascii="Verdana" w:cs="Verdana" w:eastAsia="Verdana" w:hAnsi="Verdana"/>
                <w:sz w:val="16"/>
                <w:szCs w:val="16"/>
                <w:color w:val="214E93"/>
              </w:rPr>
              <w:t>13,000</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23,800</w:t>
            </w:r>
          </w:p>
        </w:tc>
      </w:tr>
      <w:tr>
        <w:trPr>
          <w:trHeight w:val="211"/>
        </w:trPr>
        <w:tc>
          <w:tcPr>
            <w:tcW w:w="7060" w:type="dxa"/>
            <w:vAlign w:val="bottom"/>
          </w:tcPr>
          <w:p>
            <w:pPr>
              <w:ind w:left="40"/>
              <w:spacing w:after="0"/>
              <w:rPr>
                <w:sz w:val="20"/>
                <w:szCs w:val="20"/>
                <w:color w:val="auto"/>
              </w:rPr>
            </w:pPr>
            <w:r>
              <w:rPr>
                <w:rFonts w:ascii="Verdana" w:cs="Verdana" w:eastAsia="Verdana" w:hAnsi="Verdana"/>
                <w:sz w:val="16"/>
                <w:szCs w:val="16"/>
                <w:color w:val="auto"/>
              </w:rPr>
              <w:t>Total discretionary cash flow</w:t>
            </w:r>
          </w:p>
        </w:tc>
        <w:tc>
          <w:tcPr>
            <w:tcW w:w="24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Verdana" w:cs="Verdana" w:eastAsia="Verdana" w:hAnsi="Verdana"/>
                <w:sz w:val="16"/>
                <w:szCs w:val="16"/>
                <w:color w:val="214E93"/>
              </w:rPr>
              <w:t>2,134,910</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Verdana" w:cs="Verdana" w:eastAsia="Verdana" w:hAnsi="Verdana"/>
                <w:sz w:val="16"/>
                <w:szCs w:val="16"/>
                <w:color w:val="auto"/>
              </w:rPr>
              <w:t>2,372,086</w:t>
            </w:r>
          </w:p>
        </w:tc>
      </w:tr>
      <w:tr>
        <w:trPr>
          <w:trHeight w:val="546"/>
        </w:trPr>
        <w:tc>
          <w:tcPr>
            <w:tcW w:w="7060" w:type="dxa"/>
            <w:vAlign w:val="bottom"/>
          </w:tcPr>
          <w:p>
            <w:pPr>
              <w:ind w:left="40"/>
              <w:spacing w:after="0"/>
              <w:rPr>
                <w:sz w:val="20"/>
                <w:szCs w:val="20"/>
                <w:color w:val="auto"/>
              </w:rPr>
            </w:pPr>
            <w:r>
              <w:rPr>
                <w:rFonts w:ascii="Verdana" w:cs="Verdana" w:eastAsia="Verdana" w:hAnsi="Verdana"/>
                <w:sz w:val="16"/>
                <w:szCs w:val="16"/>
                <w:color w:val="auto"/>
              </w:rPr>
              <w:t>Drilling, completion and equipping capital expenditures</w:t>
            </w:r>
          </w:p>
        </w:tc>
        <w:tc>
          <w:tcPr>
            <w:tcW w:w="24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Verdana" w:cs="Verdana" w:eastAsia="Verdana" w:hAnsi="Verdana"/>
                <w:sz w:val="16"/>
                <w:szCs w:val="16"/>
                <w:color w:val="214E93"/>
              </w:rPr>
              <w:t>1,542,253</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Verdana" w:cs="Verdana" w:eastAsia="Verdana" w:hAnsi="Verdana"/>
                <w:sz w:val="16"/>
                <w:szCs w:val="16"/>
                <w:color w:val="auto"/>
              </w:rPr>
              <w:t>1,222,831</w:t>
            </w:r>
          </w:p>
        </w:tc>
      </w:tr>
      <w:tr>
        <w:trPr>
          <w:trHeight w:val="236"/>
        </w:trPr>
        <w:tc>
          <w:tcPr>
            <w:tcW w:w="7060" w:type="dxa"/>
            <w:vAlign w:val="bottom"/>
          </w:tcPr>
          <w:p>
            <w:pPr>
              <w:ind w:left="40"/>
              <w:spacing w:after="0"/>
              <w:rPr>
                <w:sz w:val="20"/>
                <w:szCs w:val="20"/>
                <w:color w:val="auto"/>
              </w:rPr>
            </w:pPr>
            <w:r>
              <w:rPr>
                <w:rFonts w:ascii="Verdana" w:cs="Verdana" w:eastAsia="Verdana" w:hAnsi="Verdana"/>
                <w:sz w:val="16"/>
                <w:szCs w:val="16"/>
                <w:color w:val="auto"/>
              </w:rPr>
              <w:t>Midstream capital expenditures</w:t>
            </w:r>
          </w:p>
        </w:tc>
        <w:tc>
          <w:tcPr>
            <w:tcW w:w="240" w:type="dxa"/>
            <w:vAlign w:val="bottom"/>
          </w:tcPr>
          <w:p>
            <w:pPr>
              <w:spacing w:after="0"/>
              <w:rPr>
                <w:sz w:val="20"/>
                <w:szCs w:val="20"/>
                <w:color w:val="auto"/>
              </w:rPr>
            </w:pPr>
          </w:p>
        </w:tc>
        <w:tc>
          <w:tcPr>
            <w:tcW w:w="1000" w:type="dxa"/>
            <w:vAlign w:val="bottom"/>
          </w:tcPr>
          <w:p>
            <w:pPr>
              <w:jc w:val="right"/>
              <w:ind w:right="3"/>
              <w:spacing w:after="0"/>
              <w:rPr>
                <w:sz w:val="20"/>
                <w:szCs w:val="20"/>
                <w:color w:val="auto"/>
              </w:rPr>
            </w:pPr>
            <w:r>
              <w:rPr>
                <w:rFonts w:ascii="Verdana" w:cs="Verdana" w:eastAsia="Verdana" w:hAnsi="Verdana"/>
                <w:sz w:val="16"/>
                <w:szCs w:val="16"/>
                <w:color w:val="214E93"/>
              </w:rPr>
              <w:t>297,746</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Verdana" w:cs="Verdana" w:eastAsia="Verdana" w:hAnsi="Verdana"/>
                <w:sz w:val="16"/>
                <w:szCs w:val="16"/>
                <w:color w:val="auto"/>
              </w:rPr>
              <w:t>283,881</w:t>
            </w:r>
          </w:p>
        </w:tc>
      </w:tr>
      <w:tr>
        <w:trPr>
          <w:trHeight w:val="236"/>
        </w:trPr>
        <w:tc>
          <w:tcPr>
            <w:tcW w:w="7060" w:type="dxa"/>
            <w:vAlign w:val="bottom"/>
          </w:tcPr>
          <w:p>
            <w:pPr>
              <w:ind w:left="40"/>
              <w:spacing w:after="0"/>
              <w:rPr>
                <w:sz w:val="20"/>
                <w:szCs w:val="20"/>
                <w:color w:val="auto"/>
              </w:rPr>
            </w:pPr>
            <w:r>
              <w:rPr>
                <w:rFonts w:ascii="Verdana" w:cs="Verdana" w:eastAsia="Verdana" w:hAnsi="Verdana"/>
                <w:sz w:val="16"/>
                <w:szCs w:val="16"/>
                <w:color w:val="auto"/>
              </w:rPr>
              <w:t>Expenditures for other property and equipment</w:t>
            </w:r>
          </w:p>
        </w:tc>
        <w:tc>
          <w:tcPr>
            <w:tcW w:w="240" w:type="dxa"/>
            <w:vAlign w:val="bottom"/>
          </w:tcPr>
          <w:p>
            <w:pPr>
              <w:spacing w:after="0"/>
              <w:rPr>
                <w:sz w:val="20"/>
                <w:szCs w:val="20"/>
                <w:color w:val="auto"/>
              </w:rPr>
            </w:pPr>
          </w:p>
        </w:tc>
        <w:tc>
          <w:tcPr>
            <w:tcW w:w="1000" w:type="dxa"/>
            <w:vAlign w:val="bottom"/>
          </w:tcPr>
          <w:p>
            <w:pPr>
              <w:jc w:val="right"/>
              <w:ind w:right="3"/>
              <w:spacing w:after="0"/>
              <w:rPr>
                <w:sz w:val="20"/>
                <w:szCs w:val="20"/>
                <w:color w:val="auto"/>
              </w:rPr>
            </w:pPr>
            <w:r>
              <w:rPr>
                <w:rFonts w:ascii="Verdana" w:cs="Verdana" w:eastAsia="Verdana" w:hAnsi="Verdana"/>
                <w:sz w:val="16"/>
                <w:szCs w:val="16"/>
                <w:color w:val="214E93"/>
              </w:rPr>
              <w:t>4,246</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Verdana" w:cs="Verdana" w:eastAsia="Verdana" w:hAnsi="Verdana"/>
                <w:sz w:val="16"/>
                <w:szCs w:val="16"/>
                <w:color w:val="auto"/>
              </w:rPr>
              <w:t>5,691</w:t>
            </w:r>
          </w:p>
        </w:tc>
      </w:tr>
      <w:tr>
        <w:trPr>
          <w:trHeight w:val="236"/>
        </w:trPr>
        <w:tc>
          <w:tcPr>
            <w:tcW w:w="7060" w:type="dxa"/>
            <w:vAlign w:val="bottom"/>
          </w:tcPr>
          <w:p>
            <w:pPr>
              <w:ind w:left="280"/>
              <w:spacing w:after="0"/>
              <w:rPr>
                <w:sz w:val="20"/>
                <w:szCs w:val="20"/>
                <w:color w:val="auto"/>
              </w:rPr>
            </w:pPr>
            <w:r>
              <w:rPr>
                <w:rFonts w:ascii="Verdana" w:cs="Verdana" w:eastAsia="Verdana" w:hAnsi="Verdana"/>
                <w:sz w:val="16"/>
                <w:szCs w:val="16"/>
                <w:color w:val="auto"/>
              </w:rPr>
              <w:t>Net change in capital accruals</w:t>
            </w:r>
          </w:p>
        </w:tc>
        <w:tc>
          <w:tcPr>
            <w:tcW w:w="240" w:type="dxa"/>
            <w:vAlign w:val="bottom"/>
          </w:tcPr>
          <w:p>
            <w:pPr>
              <w:spacing w:after="0"/>
              <w:rPr>
                <w:sz w:val="20"/>
                <w:szCs w:val="20"/>
                <w:color w:val="auto"/>
              </w:rPr>
            </w:pPr>
          </w:p>
        </w:tc>
        <w:tc>
          <w:tcPr>
            <w:tcW w:w="1000" w:type="dxa"/>
            <w:vAlign w:val="bottom"/>
          </w:tcPr>
          <w:p>
            <w:pPr>
              <w:jc w:val="right"/>
              <w:ind w:right="3"/>
              <w:spacing w:after="0"/>
              <w:rPr>
                <w:sz w:val="20"/>
                <w:szCs w:val="20"/>
                <w:color w:val="auto"/>
              </w:rPr>
            </w:pPr>
            <w:r>
              <w:rPr>
                <w:rFonts w:ascii="Verdana" w:cs="Verdana" w:eastAsia="Verdana" w:hAnsi="Verdana"/>
                <w:sz w:val="16"/>
                <w:szCs w:val="16"/>
                <w:color w:val="214E93"/>
              </w:rPr>
              <w:t>(29,588)</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Verdana" w:cs="Verdana" w:eastAsia="Verdana" w:hAnsi="Verdana"/>
                <w:sz w:val="16"/>
                <w:szCs w:val="16"/>
                <w:color w:val="auto"/>
              </w:rPr>
              <w:t>81,902</w:t>
            </w:r>
          </w:p>
        </w:tc>
      </w:tr>
      <w:tr>
        <w:trPr>
          <w:trHeight w:val="217"/>
        </w:trPr>
        <w:tc>
          <w:tcPr>
            <w:tcW w:w="7060" w:type="dxa"/>
            <w:vAlign w:val="bottom"/>
          </w:tcPr>
          <w:p>
            <w:pPr>
              <w:ind w:left="280"/>
              <w:spacing w:after="0"/>
              <w:rPr>
                <w:sz w:val="20"/>
                <w:szCs w:val="20"/>
                <w:color w:val="auto"/>
              </w:rPr>
            </w:pPr>
            <w:r>
              <w:rPr>
                <w:rFonts w:ascii="Verdana" w:cs="Verdana" w:eastAsia="Verdana" w:hAnsi="Verdana"/>
                <w:sz w:val="16"/>
                <w:szCs w:val="16"/>
                <w:color w:val="auto"/>
              </w:rPr>
              <w:t>San Mateo accrual-based capital expenditures related to non-controlling interest in</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3"/>
        </w:trPr>
        <w:tc>
          <w:tcPr>
            <w:tcW w:w="7060" w:type="dxa"/>
            <w:vAlign w:val="bottom"/>
            <w:tcBorders>
              <w:bottom w:val="single" w:sz="8" w:color="auto"/>
            </w:tcBorders>
          </w:tcPr>
          <w:p>
            <w:pPr>
              <w:ind w:left="280"/>
              <w:spacing w:after="0" w:line="222" w:lineRule="exact"/>
              <w:rPr>
                <w:sz w:val="20"/>
                <w:szCs w:val="20"/>
                <w:color w:val="auto"/>
              </w:rPr>
            </w:pPr>
            <w:r>
              <w:rPr>
                <w:rFonts w:ascii="Verdana" w:cs="Verdana" w:eastAsia="Verdana" w:hAnsi="Verdana"/>
                <w:sz w:val="16"/>
                <w:szCs w:val="16"/>
                <w:color w:val="auto"/>
              </w:rPr>
              <w:t>subsidiaries</w:t>
            </w:r>
            <w:r>
              <w:rPr>
                <w:rFonts w:ascii="Verdana" w:cs="Verdana" w:eastAsia="Verdana" w:hAnsi="Verdana"/>
                <w:sz w:val="20"/>
                <w:szCs w:val="20"/>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
              <w:spacing w:after="0"/>
              <w:rPr>
                <w:sz w:val="20"/>
                <w:szCs w:val="20"/>
                <w:color w:val="auto"/>
              </w:rPr>
            </w:pPr>
            <w:r>
              <w:rPr>
                <w:rFonts w:ascii="Verdana" w:cs="Verdana" w:eastAsia="Verdana" w:hAnsi="Verdana"/>
                <w:sz w:val="16"/>
                <w:szCs w:val="16"/>
                <w:color w:val="214E93"/>
              </w:rPr>
              <w:t>(116,703)</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(29,475)</w:t>
            </w:r>
          </w:p>
        </w:tc>
      </w:tr>
      <w:tr>
        <w:trPr>
          <w:trHeight w:val="216"/>
        </w:trPr>
        <w:tc>
          <w:tcPr>
            <w:tcW w:w="7060" w:type="dxa"/>
            <w:vAlign w:val="bottom"/>
            <w:tcBorders>
              <w:bottom w:val="single" w:sz="8" w:color="auto"/>
            </w:tcBorders>
          </w:tcPr>
          <w:p>
            <w:pPr>
              <w:ind w:left="40"/>
              <w:spacing w:after="0" w:line="216" w:lineRule="exact"/>
              <w:rPr>
                <w:sz w:val="20"/>
                <w:szCs w:val="20"/>
                <w:color w:val="auto"/>
              </w:rPr>
            </w:pPr>
            <w:r>
              <w:rPr>
                <w:rFonts w:ascii="Verdana" w:cs="Verdana" w:eastAsia="Verdana" w:hAnsi="Verdana"/>
                <w:sz w:val="16"/>
                <w:szCs w:val="16"/>
                <w:color w:val="auto"/>
              </w:rPr>
              <w:t>Total accrual-based capital expenditures</w:t>
            </w:r>
            <w:r>
              <w:rPr>
                <w:rFonts w:ascii="Verdana" w:cs="Verdana" w:eastAsia="Verdana" w:hAnsi="Verdana"/>
                <w:sz w:val="20"/>
                <w:szCs w:val="20"/>
                <w:color w:val="auto"/>
                <w:vertAlign w:val="superscript"/>
              </w:rPr>
              <w:t>(3)</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
              <w:spacing w:after="0"/>
              <w:rPr>
                <w:sz w:val="20"/>
                <w:szCs w:val="20"/>
                <w:color w:val="auto"/>
              </w:rPr>
            </w:pPr>
            <w:r>
              <w:rPr>
                <w:rFonts w:ascii="Verdana" w:cs="Verdana" w:eastAsia="Verdana" w:hAnsi="Verdana"/>
                <w:sz w:val="16"/>
                <w:szCs w:val="16"/>
                <w:color w:val="214E93"/>
              </w:rPr>
              <w:t>1,697,954</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1,564,830</w:t>
            </w:r>
          </w:p>
        </w:tc>
      </w:tr>
      <w:tr>
        <w:trPr>
          <w:trHeight w:val="211"/>
        </w:trPr>
        <w:tc>
          <w:tcPr>
            <w:tcW w:w="7060" w:type="dxa"/>
            <w:vAlign w:val="bottom"/>
            <w:tcBorders>
              <w:bottom w:val="single" w:sz="8" w:color="214E93"/>
            </w:tcBorders>
          </w:tcPr>
          <w:p>
            <w:pPr>
              <w:ind w:left="40"/>
              <w:spacing w:after="0"/>
              <w:rPr>
                <w:sz w:val="20"/>
                <w:szCs w:val="20"/>
                <w:color w:val="auto"/>
              </w:rPr>
            </w:pPr>
            <w:r>
              <w:rPr>
                <w:rFonts w:ascii="Verdana" w:cs="Verdana" w:eastAsia="Verdana" w:hAnsi="Verdana"/>
                <w:sz w:val="16"/>
                <w:szCs w:val="16"/>
                <w:color w:val="auto"/>
              </w:rPr>
              <w:t>Adjusted free cash flow</w:t>
            </w:r>
          </w:p>
        </w:tc>
        <w:tc>
          <w:tcPr>
            <w:tcW w:w="240" w:type="dxa"/>
            <w:vAlign w:val="bottom"/>
            <w:tcBorders>
              <w:bottom w:val="single" w:sz="8" w:color="214E93"/>
            </w:tcBorders>
          </w:tcPr>
          <w:p>
            <w:pPr>
              <w:jc w:val="right"/>
              <w:ind w:right="25"/>
              <w:spacing w:after="0"/>
              <w:rPr>
                <w:sz w:val="20"/>
                <w:szCs w:val="20"/>
                <w:color w:val="auto"/>
              </w:rPr>
            </w:pPr>
            <w:r>
              <w:rPr>
                <w:rFonts w:ascii="Verdana" w:cs="Verdana" w:eastAsia="Verdana" w:hAnsi="Verdana"/>
                <w:sz w:val="16"/>
                <w:szCs w:val="16"/>
                <w:color w:val="214E93"/>
              </w:rPr>
              <w:t>$</w:t>
            </w:r>
          </w:p>
        </w:tc>
        <w:tc>
          <w:tcPr>
            <w:tcW w:w="1000" w:type="dxa"/>
            <w:vAlign w:val="bottom"/>
            <w:tcBorders>
              <w:bottom w:val="single" w:sz="8" w:color="214E93"/>
            </w:tcBorders>
          </w:tcPr>
          <w:p>
            <w:pPr>
              <w:jc w:val="right"/>
              <w:ind w:right="23"/>
              <w:spacing w:after="0"/>
              <w:rPr>
                <w:sz w:val="20"/>
                <w:szCs w:val="20"/>
                <w:color w:val="auto"/>
              </w:rPr>
            </w:pPr>
            <w:r>
              <w:rPr>
                <w:rFonts w:ascii="Verdana" w:cs="Verdana" w:eastAsia="Verdana" w:hAnsi="Verdana"/>
                <w:sz w:val="16"/>
                <w:szCs w:val="16"/>
                <w:color w:val="214E93"/>
              </w:rPr>
              <w:t>436,956</w:t>
            </w:r>
          </w:p>
        </w:tc>
        <w:tc>
          <w:tcPr>
            <w:tcW w:w="280" w:type="dxa"/>
            <w:vAlign w:val="bottom"/>
            <w:tcBorders>
              <w:bottom w:val="single" w:sz="8" w:color="214E93"/>
            </w:tcBorders>
          </w:tcPr>
          <w:p>
            <w:pPr>
              <w:jc w:val="right"/>
              <w:ind w:right="25"/>
              <w:spacing w:after="0"/>
              <w:rPr>
                <w:sz w:val="20"/>
                <w:szCs w:val="20"/>
                <w:color w:val="auto"/>
              </w:rPr>
            </w:pPr>
            <w:r>
              <w:rPr>
                <w:rFonts w:ascii="Verdana" w:cs="Verdana" w:eastAsia="Verdana" w:hAnsi="Verdana"/>
                <w:sz w:val="16"/>
                <w:szCs w:val="16"/>
                <w:color w:val="auto"/>
              </w:rPr>
              <w:t>$</w:t>
            </w:r>
          </w:p>
        </w:tc>
        <w:tc>
          <w:tcPr>
            <w:tcW w:w="980" w:type="dxa"/>
            <w:vAlign w:val="bottom"/>
            <w:tcBorders>
              <w:bottom w:val="single" w:sz="8" w:color="214E93"/>
            </w:tcBorders>
          </w:tcPr>
          <w:p>
            <w:pPr>
              <w:jc w:val="right"/>
              <w:ind w:right="2"/>
              <w:spacing w:after="0"/>
              <w:rPr>
                <w:sz w:val="20"/>
                <w:szCs w:val="20"/>
                <w:color w:val="auto"/>
              </w:rPr>
            </w:pPr>
            <w:r>
              <w:rPr>
                <w:rFonts w:ascii="Verdana" w:cs="Verdana" w:eastAsia="Verdana" w:hAnsi="Verdana"/>
                <w:sz w:val="16"/>
                <w:szCs w:val="16"/>
                <w:color w:val="auto"/>
              </w:rPr>
              <w:t>807,256</w:t>
            </w:r>
          </w:p>
        </w:tc>
      </w:tr>
    </w:tbl>
    <w:p>
      <w:pPr>
        <w:spacing w:after="0" w:line="20" w:lineRule="exact"/>
        <w:rPr>
          <w:sz w:val="20"/>
          <w:szCs w:val="20"/>
          <w:color w:val="auto"/>
        </w:rPr>
      </w:pPr>
    </w:p>
    <w:p>
      <w:pPr>
        <w:spacing w:after="0" w:line="106" w:lineRule="exact"/>
        <w:rPr>
          <w:sz w:val="20"/>
          <w:szCs w:val="20"/>
          <w:color w:val="auto"/>
        </w:rPr>
      </w:pPr>
    </w:p>
    <w:p>
      <w:pPr>
        <w:ind w:left="480" w:hanging="350"/>
        <w:spacing w:after="0"/>
        <w:tabs>
          <w:tab w:leader="none" w:pos="480" w:val="left"/>
        </w:tabs>
        <w:numPr>
          <w:ilvl w:val="0"/>
          <w:numId w:val="105"/>
        </w:numPr>
        <w:rPr>
          <w:rFonts w:ascii="Calibri" w:cs="Calibri" w:eastAsia="Calibri" w:hAnsi="Calibri"/>
          <w:sz w:val="14"/>
          <w:szCs w:val="14"/>
          <w:color w:val="auto"/>
        </w:rPr>
      </w:pPr>
      <w:r>
        <w:rPr>
          <w:rFonts w:ascii="Calibri" w:cs="Calibri" w:eastAsia="Calibri" w:hAnsi="Calibri"/>
          <w:sz w:val="14"/>
          <w:szCs w:val="14"/>
          <w:color w:val="auto"/>
        </w:rPr>
        <w:t>Represents Five Point’s 49% interest in San Mateo discretionary cash flow, as computed below.</w:t>
      </w:r>
    </w:p>
    <w:p>
      <w:pPr>
        <w:spacing w:after="0" w:line="73" w:lineRule="exact"/>
        <w:rPr>
          <w:rFonts w:ascii="Calibri" w:cs="Calibri" w:eastAsia="Calibri" w:hAnsi="Calibri"/>
          <w:sz w:val="14"/>
          <w:szCs w:val="14"/>
          <w:color w:val="auto"/>
        </w:rPr>
      </w:pPr>
    </w:p>
    <w:p>
      <w:pPr>
        <w:ind w:left="480" w:hanging="350"/>
        <w:spacing w:after="0"/>
        <w:tabs>
          <w:tab w:leader="none" w:pos="480" w:val="left"/>
        </w:tabs>
        <w:numPr>
          <w:ilvl w:val="0"/>
          <w:numId w:val="105"/>
        </w:numPr>
        <w:rPr>
          <w:rFonts w:ascii="Calibri" w:cs="Calibri" w:eastAsia="Calibri" w:hAnsi="Calibri"/>
          <w:sz w:val="14"/>
          <w:szCs w:val="14"/>
          <w:color w:val="auto"/>
        </w:rPr>
      </w:pPr>
      <w:r>
        <w:rPr>
          <w:rFonts w:ascii="Calibri" w:cs="Calibri" w:eastAsia="Calibri" w:hAnsi="Calibri"/>
          <w:sz w:val="14"/>
          <w:szCs w:val="14"/>
          <w:color w:val="auto"/>
        </w:rPr>
        <w:t>Represents Five Point’s 49% interest in accrual-based San Mateo capital expenditures, as computed below.</w:t>
      </w:r>
    </w:p>
    <w:p>
      <w:pPr>
        <w:spacing w:after="0" w:line="86" w:lineRule="exact"/>
        <w:rPr>
          <w:rFonts w:ascii="Calibri" w:cs="Calibri" w:eastAsia="Calibri" w:hAnsi="Calibri"/>
          <w:sz w:val="14"/>
          <w:szCs w:val="14"/>
          <w:color w:val="auto"/>
        </w:rPr>
      </w:pPr>
    </w:p>
    <w:p>
      <w:pPr>
        <w:ind w:left="480" w:right="820" w:hanging="350"/>
        <w:spacing w:after="0" w:line="228" w:lineRule="auto"/>
        <w:tabs>
          <w:tab w:leader="none" w:pos="480" w:val="left"/>
        </w:tabs>
        <w:numPr>
          <w:ilvl w:val="0"/>
          <w:numId w:val="105"/>
        </w:numPr>
        <w:rPr>
          <w:rFonts w:ascii="Calibri" w:cs="Calibri" w:eastAsia="Calibri" w:hAnsi="Calibri"/>
          <w:sz w:val="14"/>
          <w:szCs w:val="14"/>
          <w:color w:val="auto"/>
        </w:rPr>
      </w:pPr>
      <w:r>
        <w:rPr>
          <w:rFonts w:ascii="Calibri" w:cs="Calibri" w:eastAsia="Calibri" w:hAnsi="Calibri"/>
          <w:sz w:val="14"/>
          <w:szCs w:val="14"/>
          <w:color w:val="auto"/>
        </w:rPr>
        <w:t>Represents drilling, completion and equipping costs, Matador’s share of San Mateo capital expenditures plus 100% of other midstream capital expenditures not associated with San Mateo. Pronto was wholly-owned by Matador until December 18, 2024, the date Pronto was contributed to San Mateo in the Pronto Transaction.</w:t>
      </w:r>
    </w:p>
    <w:p>
      <w:pPr>
        <w:sectPr>
          <w:pgSz w:w="11880" w:h="15480" w:orient="portrait"/>
          <w:cols w:equalWidth="0" w:num="1">
            <w:col w:w="10240"/>
          </w:cols>
          <w:pgMar w:left="1160" w:top="498"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920"/>
        <w:spacing w:after="0"/>
        <w:rPr>
          <w:sz w:val="20"/>
          <w:szCs w:val="20"/>
          <w:color w:val="auto"/>
        </w:rPr>
      </w:pPr>
      <w:r>
        <w:rPr>
          <w:rFonts w:ascii="Calibri" w:cs="Calibri" w:eastAsia="Calibri" w:hAnsi="Calibri"/>
          <w:sz w:val="17"/>
          <w:szCs w:val="17"/>
          <w:color w:val="auto"/>
        </w:rPr>
        <w:t>Additional Financial Information</w:t>
      </w:r>
    </w:p>
    <w:p>
      <w:pPr>
        <w:sectPr>
          <w:pgSz w:w="11880" w:h="15480" w:orient="portrait"/>
          <w:cols w:equalWidth="0" w:num="1">
            <w:col w:w="10240"/>
          </w:cols>
          <w:pgMar w:left="1160" w:top="498" w:right="480" w:bottom="0" w:gutter="0" w:footer="0" w:header="0"/>
          <w:type w:val="continuous"/>
        </w:sectPr>
      </w:pPr>
    </w:p>
    <w:bookmarkStart w:id="187" w:name="page188"/>
    <w:bookmarkEnd w:id="187"/>
    <w:p>
      <w:pPr>
        <w:ind w:left="720"/>
        <w:spacing w:after="0"/>
        <w:rPr>
          <w:sz w:val="20"/>
          <w:szCs w:val="20"/>
          <w:color w:val="auto"/>
        </w:rPr>
      </w:pPr>
      <w:r>
        <w:rPr>
          <w:rFonts w:ascii="Calibri" w:cs="Calibri" w:eastAsia="Calibri" w:hAnsi="Calibri"/>
          <w:sz w:val="18"/>
          <w:szCs w:val="18"/>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426720</wp:posOffset>
                </wp:positionH>
                <wp:positionV relativeFrom="paragraph">
                  <wp:posOffset>320675</wp:posOffset>
                </wp:positionV>
                <wp:extent cx="6812280" cy="0"/>
                <wp:wrapNone/>
                <wp:docPr id="374" name="Shape 3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74" o:spid="_x0000_s13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6pt,25.25pt" to="570pt,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426720</wp:posOffset>
                </wp:positionH>
                <wp:positionV relativeFrom="paragraph">
                  <wp:posOffset>320675</wp:posOffset>
                </wp:positionV>
                <wp:extent cx="6812280" cy="0"/>
                <wp:wrapNone/>
                <wp:docPr id="375" name="Shape 3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2280" cy="4763"/>
                        </a:xfrm>
                        <a:prstGeom prst="line">
                          <a:avLst/>
                        </a:prstGeom>
                        <a:solidFill>
                          <a:srgbClr val="FFFFFF"/>
                        </a:solidFill>
                        <a:ln w="12700">
                          <a:solidFill>
                            <a:srgbClr val="214E93"/>
                          </a:solidFill>
                          <a:miter lim="800000"/>
                          <a:headEnd/>
                          <a:tailEnd/>
                        </a:ln>
                      </wps:spPr>
                      <wps:bodyPr/>
                    </wps:wsp>
                  </a:graphicData>
                </a:graphic>
              </wp:anchor>
            </w:drawing>
          </mc:Choice>
          <mc:Fallback>
            <w:pict>
              <v:line id="Shape 375" o:spid="_x0000_s14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6pt,25.25pt" to="570pt,25.25pt" o:allowincell="f" strokecolor="#214E93"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80"/>
        <w:spacing w:after="0"/>
        <w:rPr>
          <w:sz w:val="20"/>
          <w:szCs w:val="20"/>
          <w:color w:val="auto"/>
        </w:rPr>
      </w:pPr>
      <w:r>
        <w:rPr>
          <w:rFonts w:ascii="Calibri" w:cs="Calibri" w:eastAsia="Calibri" w:hAnsi="Calibri"/>
          <w:sz w:val="19"/>
          <w:szCs w:val="19"/>
          <w:b w:val="1"/>
          <w:bCs w:val="1"/>
          <w:color w:val="214E93"/>
        </w:rPr>
        <w:t>Adjusted Free Cash Flow - San Mateo (100%)</w:t>
      </w:r>
    </w:p>
    <w:p>
      <w:pPr>
        <w:spacing w:after="0" w:line="67" w:lineRule="exact"/>
        <w:rPr>
          <w:sz w:val="20"/>
          <w:szCs w:val="20"/>
          <w:color w:val="auto"/>
        </w:rPr>
      </w:pPr>
    </w:p>
    <w:tbl>
      <w:tblPr>
        <w:tblLayout w:type="fixed"/>
        <w:tblInd w:w="680" w:type="dxa"/>
        <w:tblCellMar>
          <w:top w:w="0" w:type="dxa"/>
          <w:left w:w="0" w:type="dxa"/>
          <w:bottom w:w="0" w:type="dxa"/>
          <w:right w:w="0" w:type="dxa"/>
        </w:tblCellMar>
      </w:tblPr>
      <w:tr>
        <w:trPr>
          <w:trHeight w:val="193"/>
        </w:trPr>
        <w:tc>
          <w:tcPr>
            <w:tcW w:w="7040" w:type="dxa"/>
            <w:vAlign w:val="bottom"/>
          </w:tcPr>
          <w:p>
            <w:pPr>
              <w:spacing w:after="0"/>
              <w:rPr>
                <w:sz w:val="16"/>
                <w:szCs w:val="16"/>
                <w:color w:val="auto"/>
              </w:rPr>
            </w:pPr>
          </w:p>
        </w:tc>
        <w:tc>
          <w:tcPr>
            <w:tcW w:w="300" w:type="dxa"/>
            <w:vAlign w:val="bottom"/>
            <w:tcBorders>
              <w:bottom w:val="single" w:sz="8" w:color="214E93"/>
            </w:tcBorders>
          </w:tcPr>
          <w:p>
            <w:pPr>
              <w:spacing w:after="0"/>
              <w:rPr>
                <w:sz w:val="16"/>
                <w:szCs w:val="16"/>
                <w:color w:val="auto"/>
              </w:rPr>
            </w:pPr>
          </w:p>
        </w:tc>
        <w:tc>
          <w:tcPr>
            <w:tcW w:w="1400" w:type="dxa"/>
            <w:vAlign w:val="bottom"/>
            <w:tcBorders>
              <w:bottom w:val="single" w:sz="8" w:color="214E93"/>
            </w:tcBorders>
            <w:gridSpan w:val="2"/>
          </w:tcPr>
          <w:p>
            <w:pPr>
              <w:jc w:val="right"/>
              <w:spacing w:after="0"/>
              <w:rPr>
                <w:sz w:val="20"/>
                <w:szCs w:val="20"/>
                <w:color w:val="auto"/>
              </w:rPr>
            </w:pPr>
            <w:r>
              <w:rPr>
                <w:rFonts w:ascii="Verdana" w:cs="Verdana" w:eastAsia="Verdana" w:hAnsi="Verdana"/>
                <w:sz w:val="14"/>
                <w:szCs w:val="14"/>
                <w:color w:val="auto"/>
              </w:rPr>
              <w:t>Year Ended</w:t>
            </w:r>
          </w:p>
        </w:tc>
        <w:tc>
          <w:tcPr>
            <w:tcW w:w="820" w:type="dxa"/>
            <w:vAlign w:val="bottom"/>
            <w:tcBorders>
              <w:bottom w:val="single" w:sz="8" w:color="214E93"/>
            </w:tcBorders>
          </w:tcPr>
          <w:p>
            <w:pPr>
              <w:spacing w:after="0"/>
              <w:rPr>
                <w:sz w:val="16"/>
                <w:szCs w:val="16"/>
                <w:color w:val="auto"/>
              </w:rPr>
            </w:pPr>
          </w:p>
        </w:tc>
      </w:tr>
      <w:tr>
        <w:trPr>
          <w:trHeight w:val="194"/>
        </w:trPr>
        <w:tc>
          <w:tcPr>
            <w:tcW w:w="7040" w:type="dxa"/>
            <w:vAlign w:val="bottom"/>
          </w:tcPr>
          <w:p>
            <w:pPr>
              <w:spacing w:after="0"/>
              <w:rPr>
                <w:sz w:val="16"/>
                <w:szCs w:val="16"/>
                <w:color w:val="auto"/>
              </w:rPr>
            </w:pPr>
          </w:p>
        </w:tc>
        <w:tc>
          <w:tcPr>
            <w:tcW w:w="1260" w:type="dxa"/>
            <w:vAlign w:val="bottom"/>
            <w:gridSpan w:val="2"/>
          </w:tcPr>
          <w:p>
            <w:pPr>
              <w:jc w:val="right"/>
              <w:ind w:right="83"/>
              <w:spacing w:after="0"/>
              <w:rPr>
                <w:sz w:val="20"/>
                <w:szCs w:val="20"/>
                <w:color w:val="auto"/>
              </w:rPr>
            </w:pPr>
            <w:r>
              <w:rPr>
                <w:rFonts w:ascii="Verdana" w:cs="Verdana" w:eastAsia="Verdana" w:hAnsi="Verdana"/>
                <w:sz w:val="14"/>
                <w:szCs w:val="14"/>
                <w:color w:val="214E93"/>
              </w:rPr>
              <w:t>December 31,</w:t>
            </w:r>
          </w:p>
        </w:tc>
        <w:tc>
          <w:tcPr>
            <w:tcW w:w="1260" w:type="dxa"/>
            <w:vAlign w:val="bottom"/>
            <w:gridSpan w:val="2"/>
          </w:tcPr>
          <w:p>
            <w:pPr>
              <w:jc w:val="right"/>
              <w:ind w:right="43"/>
              <w:spacing w:after="0"/>
              <w:rPr>
                <w:sz w:val="20"/>
                <w:szCs w:val="20"/>
                <w:color w:val="auto"/>
              </w:rPr>
            </w:pPr>
            <w:r>
              <w:rPr>
                <w:rFonts w:ascii="Verdana" w:cs="Verdana" w:eastAsia="Verdana" w:hAnsi="Verdana"/>
                <w:sz w:val="14"/>
                <w:szCs w:val="14"/>
                <w:color w:val="auto"/>
              </w:rPr>
              <w:t>December 31,</w:t>
            </w:r>
          </w:p>
        </w:tc>
      </w:tr>
      <w:tr>
        <w:trPr>
          <w:trHeight w:val="229"/>
        </w:trPr>
        <w:tc>
          <w:tcPr>
            <w:tcW w:w="7040" w:type="dxa"/>
            <w:vAlign w:val="bottom"/>
            <w:tcBorders>
              <w:bottom w:val="single" w:sz="8" w:color="214E93"/>
            </w:tcBorders>
          </w:tcPr>
          <w:p>
            <w:pPr>
              <w:spacing w:after="0"/>
              <w:rPr>
                <w:sz w:val="19"/>
                <w:szCs w:val="19"/>
                <w:color w:val="auto"/>
              </w:rPr>
            </w:pPr>
          </w:p>
        </w:tc>
        <w:tc>
          <w:tcPr>
            <w:tcW w:w="300" w:type="dxa"/>
            <w:vAlign w:val="bottom"/>
            <w:tcBorders>
              <w:bottom w:val="single" w:sz="8" w:color="214E93"/>
            </w:tcBorders>
          </w:tcPr>
          <w:p>
            <w:pPr>
              <w:spacing w:after="0"/>
              <w:rPr>
                <w:sz w:val="19"/>
                <w:szCs w:val="19"/>
                <w:color w:val="auto"/>
              </w:rPr>
            </w:pPr>
          </w:p>
        </w:tc>
        <w:tc>
          <w:tcPr>
            <w:tcW w:w="960" w:type="dxa"/>
            <w:vAlign w:val="bottom"/>
            <w:tcBorders>
              <w:bottom w:val="single" w:sz="8" w:color="214E93"/>
            </w:tcBorders>
          </w:tcPr>
          <w:p>
            <w:pPr>
              <w:jc w:val="right"/>
              <w:ind w:right="403"/>
              <w:spacing w:after="0"/>
              <w:rPr>
                <w:sz w:val="20"/>
                <w:szCs w:val="20"/>
                <w:color w:val="auto"/>
              </w:rPr>
            </w:pPr>
            <w:r>
              <w:rPr>
                <w:rFonts w:ascii="Verdana" w:cs="Verdana" w:eastAsia="Verdana" w:hAnsi="Verdana"/>
                <w:sz w:val="14"/>
                <w:szCs w:val="14"/>
                <w:color w:val="214E93"/>
              </w:rPr>
              <w:t>2025</w:t>
            </w:r>
          </w:p>
        </w:tc>
        <w:tc>
          <w:tcPr>
            <w:tcW w:w="440" w:type="dxa"/>
            <w:vAlign w:val="bottom"/>
            <w:tcBorders>
              <w:bottom w:val="single" w:sz="8" w:color="214E93"/>
            </w:tcBorders>
          </w:tcPr>
          <w:p>
            <w:pPr>
              <w:spacing w:after="0"/>
              <w:rPr>
                <w:sz w:val="19"/>
                <w:szCs w:val="19"/>
                <w:color w:val="auto"/>
              </w:rPr>
            </w:pPr>
          </w:p>
        </w:tc>
        <w:tc>
          <w:tcPr>
            <w:tcW w:w="820" w:type="dxa"/>
            <w:vAlign w:val="bottom"/>
            <w:tcBorders>
              <w:bottom w:val="single" w:sz="8" w:color="214E93"/>
            </w:tcBorders>
          </w:tcPr>
          <w:p>
            <w:pPr>
              <w:jc w:val="right"/>
              <w:ind w:right="363"/>
              <w:spacing w:after="0"/>
              <w:rPr>
                <w:sz w:val="20"/>
                <w:szCs w:val="20"/>
                <w:color w:val="auto"/>
              </w:rPr>
            </w:pPr>
            <w:r>
              <w:rPr>
                <w:rFonts w:ascii="Verdana" w:cs="Verdana" w:eastAsia="Verdana" w:hAnsi="Verdana"/>
                <w:sz w:val="14"/>
                <w:szCs w:val="14"/>
                <w:color w:val="auto"/>
              </w:rPr>
              <w:t>2024</w:t>
            </w:r>
          </w:p>
        </w:tc>
      </w:tr>
      <w:tr>
        <w:trPr>
          <w:trHeight w:val="194"/>
        </w:trPr>
        <w:tc>
          <w:tcPr>
            <w:tcW w:w="7040" w:type="dxa"/>
            <w:vAlign w:val="bottom"/>
          </w:tcPr>
          <w:p>
            <w:pPr>
              <w:ind w:left="40"/>
              <w:spacing w:after="0"/>
              <w:rPr>
                <w:sz w:val="20"/>
                <w:szCs w:val="20"/>
                <w:color w:val="auto"/>
              </w:rPr>
            </w:pPr>
            <w:r>
              <w:rPr>
                <w:rFonts w:ascii="Verdana" w:cs="Verdana" w:eastAsia="Verdana" w:hAnsi="Verdana"/>
                <w:sz w:val="14"/>
                <w:szCs w:val="14"/>
                <w:i w:val="1"/>
                <w:iCs w:val="1"/>
                <w:color w:val="auto"/>
              </w:rPr>
              <w:t>(In thousands)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8"/>
        </w:trPr>
        <w:tc>
          <w:tcPr>
            <w:tcW w:w="7040" w:type="dxa"/>
            <w:vAlign w:val="bottom"/>
          </w:tcPr>
          <w:p>
            <w:pPr>
              <w:ind w:left="40"/>
              <w:spacing w:after="0"/>
              <w:rPr>
                <w:sz w:val="20"/>
                <w:szCs w:val="20"/>
                <w:color w:val="auto"/>
              </w:rPr>
            </w:pPr>
            <w:r>
              <w:rPr>
                <w:rFonts w:ascii="Verdana" w:cs="Verdana" w:eastAsia="Verdana" w:hAnsi="Verdana"/>
                <w:sz w:val="16"/>
                <w:szCs w:val="16"/>
                <w:color w:val="auto"/>
              </w:rPr>
              <w:t>Net cash provided by San Mateo operating activities</w:t>
            </w:r>
          </w:p>
        </w:tc>
        <w:tc>
          <w:tcPr>
            <w:tcW w:w="300" w:type="dxa"/>
            <w:vAlign w:val="bottom"/>
          </w:tcPr>
          <w:p>
            <w:pPr>
              <w:jc w:val="right"/>
              <w:ind w:right="65"/>
              <w:spacing w:after="0"/>
              <w:rPr>
                <w:sz w:val="20"/>
                <w:szCs w:val="20"/>
                <w:color w:val="auto"/>
              </w:rPr>
            </w:pPr>
            <w:r>
              <w:rPr>
                <w:rFonts w:ascii="Verdana" w:cs="Verdana" w:eastAsia="Verdana" w:hAnsi="Verdana"/>
                <w:sz w:val="16"/>
                <w:szCs w:val="16"/>
                <w:color w:val="214E93"/>
              </w:rPr>
              <w:t>$</w:t>
            </w:r>
          </w:p>
        </w:tc>
        <w:tc>
          <w:tcPr>
            <w:tcW w:w="960" w:type="dxa"/>
            <w:vAlign w:val="bottom"/>
          </w:tcPr>
          <w:p>
            <w:pPr>
              <w:jc w:val="right"/>
              <w:ind w:right="43"/>
              <w:spacing w:after="0"/>
              <w:rPr>
                <w:sz w:val="20"/>
                <w:szCs w:val="20"/>
                <w:color w:val="auto"/>
              </w:rPr>
            </w:pPr>
            <w:r>
              <w:rPr>
                <w:rFonts w:ascii="Verdana" w:cs="Verdana" w:eastAsia="Verdana" w:hAnsi="Verdana"/>
                <w:sz w:val="16"/>
                <w:szCs w:val="16"/>
                <w:color w:val="214E93"/>
              </w:rPr>
              <w:t>248,193</w:t>
            </w:r>
          </w:p>
        </w:tc>
        <w:tc>
          <w:tcPr>
            <w:tcW w:w="440" w:type="dxa"/>
            <w:vAlign w:val="bottom"/>
          </w:tcPr>
          <w:p>
            <w:pPr>
              <w:jc w:val="right"/>
              <w:ind w:right="185"/>
              <w:spacing w:after="0"/>
              <w:rPr>
                <w:sz w:val="20"/>
                <w:szCs w:val="20"/>
                <w:color w:val="auto"/>
              </w:rPr>
            </w:pPr>
            <w:r>
              <w:rPr>
                <w:rFonts w:ascii="Verdana" w:cs="Verdana" w:eastAsia="Verdana" w:hAnsi="Verdana"/>
                <w:sz w:val="16"/>
                <w:szCs w:val="16"/>
                <w:color w:val="auto"/>
              </w:rPr>
              <w:t>$</w:t>
            </w:r>
          </w:p>
        </w:tc>
        <w:tc>
          <w:tcPr>
            <w:tcW w:w="820" w:type="dxa"/>
            <w:vAlign w:val="bottom"/>
          </w:tcPr>
          <w:p>
            <w:pPr>
              <w:jc w:val="right"/>
              <w:ind w:right="3"/>
              <w:spacing w:after="0"/>
              <w:rPr>
                <w:sz w:val="20"/>
                <w:szCs w:val="20"/>
                <w:color w:val="auto"/>
              </w:rPr>
            </w:pPr>
            <w:r>
              <w:rPr>
                <w:rFonts w:ascii="Verdana" w:cs="Verdana" w:eastAsia="Verdana" w:hAnsi="Verdana"/>
                <w:sz w:val="16"/>
                <w:szCs w:val="16"/>
                <w:color w:val="auto"/>
              </w:rPr>
              <w:t>193,030</w:t>
            </w:r>
          </w:p>
        </w:tc>
      </w:tr>
      <w:tr>
        <w:trPr>
          <w:trHeight w:val="242"/>
        </w:trPr>
        <w:tc>
          <w:tcPr>
            <w:tcW w:w="7040" w:type="dxa"/>
            <w:vAlign w:val="bottom"/>
            <w:tcBorders>
              <w:bottom w:val="single" w:sz="8" w:color="auto"/>
            </w:tcBorders>
          </w:tcPr>
          <w:p>
            <w:pPr>
              <w:ind w:left="160"/>
              <w:spacing w:after="0"/>
              <w:rPr>
                <w:sz w:val="20"/>
                <w:szCs w:val="20"/>
                <w:color w:val="auto"/>
              </w:rPr>
            </w:pPr>
            <w:r>
              <w:rPr>
                <w:rFonts w:ascii="Verdana" w:cs="Verdana" w:eastAsia="Verdana" w:hAnsi="Verdana"/>
                <w:sz w:val="16"/>
                <w:szCs w:val="16"/>
                <w:color w:val="auto"/>
              </w:rPr>
              <w:t>Net change in San Mateo operating assets and liabilities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
              <w:spacing w:after="0"/>
              <w:rPr>
                <w:sz w:val="20"/>
                <w:szCs w:val="20"/>
                <w:color w:val="auto"/>
              </w:rPr>
            </w:pPr>
            <w:r>
              <w:rPr>
                <w:rFonts w:ascii="Verdana" w:cs="Verdana" w:eastAsia="Verdana" w:hAnsi="Verdana"/>
                <w:sz w:val="16"/>
                <w:szCs w:val="16"/>
                <w:color w:val="214E93"/>
              </w:rPr>
              <w:t>10,821</w:t>
            </w: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21,825</w:t>
            </w:r>
          </w:p>
        </w:tc>
      </w:tr>
      <w:tr>
        <w:trPr>
          <w:trHeight w:val="211"/>
        </w:trPr>
        <w:tc>
          <w:tcPr>
            <w:tcW w:w="7040" w:type="dxa"/>
            <w:vAlign w:val="bottom"/>
          </w:tcPr>
          <w:p>
            <w:pPr>
              <w:ind w:left="40"/>
              <w:spacing w:after="0"/>
              <w:rPr>
                <w:sz w:val="20"/>
                <w:szCs w:val="20"/>
                <w:color w:val="auto"/>
              </w:rPr>
            </w:pPr>
            <w:r>
              <w:rPr>
                <w:rFonts w:ascii="Verdana" w:cs="Verdana" w:eastAsia="Verdana" w:hAnsi="Verdana"/>
                <w:sz w:val="16"/>
                <w:szCs w:val="16"/>
                <w:color w:val="auto"/>
              </w:rPr>
              <w:t>Total San Mateo discretionary cash flow</w:t>
            </w:r>
          </w:p>
        </w:tc>
        <w:tc>
          <w:tcPr>
            <w:tcW w:w="30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Verdana" w:cs="Verdana" w:eastAsia="Verdana" w:hAnsi="Verdana"/>
                <w:sz w:val="16"/>
                <w:szCs w:val="16"/>
                <w:color w:val="214E93"/>
              </w:rPr>
              <w:t>259,014</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Verdana" w:cs="Verdana" w:eastAsia="Verdana" w:hAnsi="Verdana"/>
                <w:sz w:val="16"/>
                <w:szCs w:val="16"/>
                <w:color w:val="auto"/>
              </w:rPr>
              <w:t>214,855</w:t>
            </w:r>
          </w:p>
        </w:tc>
      </w:tr>
      <w:tr>
        <w:trPr>
          <w:trHeight w:val="236"/>
        </w:trPr>
        <w:tc>
          <w:tcPr>
            <w:tcW w:w="7040" w:type="dxa"/>
            <w:vAlign w:val="bottom"/>
          </w:tcPr>
          <w:p>
            <w:pPr>
              <w:ind w:left="40"/>
              <w:spacing w:after="0"/>
              <w:rPr>
                <w:sz w:val="20"/>
                <w:szCs w:val="20"/>
                <w:color w:val="auto"/>
              </w:rPr>
            </w:pPr>
            <w:r>
              <w:rPr>
                <w:rFonts w:ascii="Verdana" w:cs="Verdana" w:eastAsia="Verdana" w:hAnsi="Verdana"/>
                <w:sz w:val="16"/>
                <w:szCs w:val="16"/>
                <w:color w:val="auto"/>
              </w:rPr>
              <w:t>San Mateo capital expenditures</w:t>
            </w:r>
          </w:p>
        </w:tc>
        <w:tc>
          <w:tcPr>
            <w:tcW w:w="30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Verdana" w:cs="Verdana" w:eastAsia="Verdana" w:hAnsi="Verdana"/>
                <w:sz w:val="16"/>
                <w:szCs w:val="16"/>
                <w:color w:val="214E93"/>
              </w:rPr>
              <w:t>252,437</w:t>
            </w: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Verdana" w:cs="Verdana" w:eastAsia="Verdana" w:hAnsi="Verdana"/>
                <w:sz w:val="16"/>
                <w:szCs w:val="16"/>
                <w:color w:val="auto"/>
              </w:rPr>
              <w:t>57,112</w:t>
            </w:r>
          </w:p>
        </w:tc>
      </w:tr>
      <w:tr>
        <w:trPr>
          <w:trHeight w:val="242"/>
        </w:trPr>
        <w:tc>
          <w:tcPr>
            <w:tcW w:w="7040" w:type="dxa"/>
            <w:vAlign w:val="bottom"/>
            <w:tcBorders>
              <w:bottom w:val="single" w:sz="8" w:color="auto"/>
            </w:tcBorders>
          </w:tcPr>
          <w:p>
            <w:pPr>
              <w:ind w:left="160"/>
              <w:spacing w:after="0"/>
              <w:rPr>
                <w:sz w:val="20"/>
                <w:szCs w:val="20"/>
                <w:color w:val="auto"/>
              </w:rPr>
            </w:pPr>
            <w:r>
              <w:rPr>
                <w:rFonts w:ascii="Verdana" w:cs="Verdana" w:eastAsia="Verdana" w:hAnsi="Verdana"/>
                <w:sz w:val="16"/>
                <w:szCs w:val="16"/>
                <w:color w:val="auto"/>
              </w:rPr>
              <w:t>Net change in San Mateo capital accruals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
              <w:spacing w:after="0"/>
              <w:rPr>
                <w:sz w:val="20"/>
                <w:szCs w:val="20"/>
                <w:color w:val="auto"/>
              </w:rPr>
            </w:pPr>
            <w:r>
              <w:rPr>
                <w:rFonts w:ascii="Verdana" w:cs="Verdana" w:eastAsia="Verdana" w:hAnsi="Verdana"/>
                <w:sz w:val="16"/>
                <w:szCs w:val="16"/>
                <w:color w:val="214E93"/>
              </w:rPr>
              <w:t>(14,266)</w:t>
            </w: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3,041</w:t>
            </w:r>
          </w:p>
        </w:tc>
      </w:tr>
      <w:tr>
        <w:trPr>
          <w:trHeight w:val="216"/>
        </w:trPr>
        <w:tc>
          <w:tcPr>
            <w:tcW w:w="704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San Mateo accrual-based capital expenditures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
              <w:spacing w:after="0"/>
              <w:rPr>
                <w:sz w:val="20"/>
                <w:szCs w:val="20"/>
                <w:color w:val="auto"/>
              </w:rPr>
            </w:pPr>
            <w:r>
              <w:rPr>
                <w:rFonts w:ascii="Verdana" w:cs="Verdana" w:eastAsia="Verdana" w:hAnsi="Verdana"/>
                <w:sz w:val="16"/>
                <w:szCs w:val="16"/>
                <w:color w:val="214E93"/>
              </w:rPr>
              <w:t>238,171</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60,153</w:t>
            </w:r>
          </w:p>
        </w:tc>
      </w:tr>
      <w:tr>
        <w:trPr>
          <w:trHeight w:val="217"/>
        </w:trPr>
        <w:tc>
          <w:tcPr>
            <w:tcW w:w="7040" w:type="dxa"/>
            <w:vAlign w:val="bottom"/>
            <w:tcBorders>
              <w:bottom w:val="single" w:sz="8" w:color="214E93"/>
            </w:tcBorders>
          </w:tcPr>
          <w:p>
            <w:pPr>
              <w:ind w:left="40"/>
              <w:spacing w:after="0"/>
              <w:rPr>
                <w:sz w:val="20"/>
                <w:szCs w:val="20"/>
                <w:color w:val="auto"/>
              </w:rPr>
            </w:pPr>
            <w:r>
              <w:rPr>
                <w:rFonts w:ascii="Verdana" w:cs="Verdana" w:eastAsia="Verdana" w:hAnsi="Verdana"/>
                <w:sz w:val="16"/>
                <w:szCs w:val="16"/>
                <w:color w:val="auto"/>
              </w:rPr>
              <w:t>San Mateo adjusted free cash flow</w:t>
            </w:r>
          </w:p>
        </w:tc>
        <w:tc>
          <w:tcPr>
            <w:tcW w:w="300" w:type="dxa"/>
            <w:vAlign w:val="bottom"/>
            <w:tcBorders>
              <w:bottom w:val="single" w:sz="8" w:color="214E93"/>
            </w:tcBorders>
          </w:tcPr>
          <w:p>
            <w:pPr>
              <w:jc w:val="right"/>
              <w:ind w:right="65"/>
              <w:spacing w:after="0"/>
              <w:rPr>
                <w:sz w:val="20"/>
                <w:szCs w:val="20"/>
                <w:color w:val="auto"/>
              </w:rPr>
            </w:pPr>
            <w:r>
              <w:rPr>
                <w:rFonts w:ascii="Verdana" w:cs="Verdana" w:eastAsia="Verdana" w:hAnsi="Verdana"/>
                <w:sz w:val="16"/>
                <w:szCs w:val="16"/>
                <w:color w:val="214E93"/>
              </w:rPr>
              <w:t>$</w:t>
            </w:r>
          </w:p>
        </w:tc>
        <w:tc>
          <w:tcPr>
            <w:tcW w:w="960" w:type="dxa"/>
            <w:vAlign w:val="bottom"/>
            <w:tcBorders>
              <w:bottom w:val="single" w:sz="8" w:color="214E93"/>
            </w:tcBorders>
          </w:tcPr>
          <w:p>
            <w:pPr>
              <w:jc w:val="right"/>
              <w:ind w:right="43"/>
              <w:spacing w:after="0"/>
              <w:rPr>
                <w:sz w:val="20"/>
                <w:szCs w:val="20"/>
                <w:color w:val="auto"/>
              </w:rPr>
            </w:pPr>
            <w:r>
              <w:rPr>
                <w:rFonts w:ascii="Verdana" w:cs="Verdana" w:eastAsia="Verdana" w:hAnsi="Verdana"/>
                <w:sz w:val="16"/>
                <w:szCs w:val="16"/>
                <w:color w:val="214E93"/>
              </w:rPr>
              <w:t>20,843</w:t>
            </w:r>
          </w:p>
        </w:tc>
        <w:tc>
          <w:tcPr>
            <w:tcW w:w="440" w:type="dxa"/>
            <w:vAlign w:val="bottom"/>
            <w:tcBorders>
              <w:bottom w:val="single" w:sz="8" w:color="214E93"/>
            </w:tcBorders>
          </w:tcPr>
          <w:p>
            <w:pPr>
              <w:jc w:val="right"/>
              <w:ind w:right="185"/>
              <w:spacing w:after="0"/>
              <w:rPr>
                <w:sz w:val="20"/>
                <w:szCs w:val="20"/>
                <w:color w:val="auto"/>
              </w:rPr>
            </w:pPr>
            <w:r>
              <w:rPr>
                <w:rFonts w:ascii="Verdana" w:cs="Verdana" w:eastAsia="Verdana" w:hAnsi="Verdana"/>
                <w:sz w:val="16"/>
                <w:szCs w:val="16"/>
                <w:color w:val="auto"/>
              </w:rPr>
              <w:t>$</w:t>
            </w:r>
          </w:p>
        </w:tc>
        <w:tc>
          <w:tcPr>
            <w:tcW w:w="820" w:type="dxa"/>
            <w:vAlign w:val="bottom"/>
            <w:tcBorders>
              <w:bottom w:val="single" w:sz="8" w:color="214E93"/>
            </w:tcBorders>
          </w:tcPr>
          <w:p>
            <w:pPr>
              <w:jc w:val="right"/>
              <w:ind w:right="3"/>
              <w:spacing w:after="0"/>
              <w:rPr>
                <w:sz w:val="20"/>
                <w:szCs w:val="20"/>
                <w:color w:val="auto"/>
              </w:rPr>
            </w:pPr>
            <w:r>
              <w:rPr>
                <w:rFonts w:ascii="Verdana" w:cs="Verdana" w:eastAsia="Verdana" w:hAnsi="Verdana"/>
                <w:sz w:val="16"/>
                <w:szCs w:val="16"/>
                <w:color w:val="auto"/>
              </w:rPr>
              <w:t>154,702</w:t>
            </w:r>
          </w:p>
        </w:tc>
      </w:tr>
    </w:tbl>
    <w:p>
      <w:pPr>
        <w:spacing w:after="0" w:line="20" w:lineRule="exact"/>
        <w:rPr>
          <w:sz w:val="20"/>
          <w:szCs w:val="20"/>
          <w:color w:val="auto"/>
        </w:rPr>
      </w:pPr>
    </w:p>
    <w:p>
      <w:pPr>
        <w:sectPr>
          <w:pgSz w:w="11880" w:h="15480" w:orient="portrait"/>
          <w:cols w:equalWidth="0" w:num="1">
            <w:col w:w="10240"/>
          </w:cols>
          <w:pgMar w:left="480" w:top="4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alibri" w:cs="Calibri" w:eastAsia="Calibri" w:hAnsi="Calibri"/>
          <w:sz w:val="17"/>
          <w:szCs w:val="17"/>
          <w:color w:val="auto"/>
        </w:rPr>
        <w:t>Additional Financial Information</w:t>
      </w:r>
    </w:p>
    <w:p>
      <w:pPr>
        <w:sectPr>
          <w:pgSz w:w="11880" w:h="15480" w:orient="portrait"/>
          <w:cols w:equalWidth="0" w:num="1">
            <w:col w:w="10240"/>
          </w:cols>
          <w:pgMar w:left="480" w:top="498" w:right="1160" w:bottom="0" w:gutter="0" w:footer="0" w:header="0"/>
          <w:type w:val="continuous"/>
        </w:sectPr>
      </w:pPr>
    </w:p>
    <w:bookmarkStart w:id="188" w:name="page189"/>
    <w:bookmarkEnd w:id="188"/>
    <w:p>
      <w:pPr>
        <w:jc w:val="right"/>
        <w:spacing w:after="0"/>
        <w:rPr>
          <w:sz w:val="20"/>
          <w:szCs w:val="20"/>
          <w:color w:val="auto"/>
        </w:rPr>
      </w:pPr>
      <w:r>
        <w:rPr>
          <w:rFonts w:ascii="Calibri" w:cs="Calibri" w:eastAsia="Calibri" w:hAnsi="Calibri"/>
          <w:sz w:val="18"/>
          <w:szCs w:val="18"/>
          <w:color w:val="auto"/>
        </w:rPr>
        <w:t>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290830</wp:posOffset>
            </wp:positionV>
            <wp:extent cx="6811645" cy="127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
                      <a:extLst>
                        <a:ext uri="{28A0092B-C50C-407E-A947-70E740481C1C}"/>
                      </a:extLst>
                    </a:blip>
                    <a:srcRect/>
                    <a:stretch>
                      <a:fillRect/>
                    </a:stretch>
                  </pic:blipFill>
                  <pic:spPr bwMode="auto">
                    <a:xfrm>
                      <a:off x="0" y="0"/>
                      <a:ext cx="6811645"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20"/>
        <w:spacing w:after="0"/>
        <w:rPr>
          <w:sz w:val="20"/>
          <w:szCs w:val="20"/>
          <w:color w:val="auto"/>
        </w:rPr>
      </w:pPr>
      <w:r>
        <w:rPr>
          <w:rFonts w:ascii="Calibri" w:cs="Calibri" w:eastAsia="Calibri" w:hAnsi="Calibri"/>
          <w:sz w:val="17"/>
          <w:szCs w:val="17"/>
          <w:color w:val="auto"/>
        </w:rPr>
        <w:t>[PAGE LEFT INTENTIONALLY BLANK]</w:t>
      </w:r>
    </w:p>
    <w:p>
      <w:pPr>
        <w:sectPr>
          <w:pgSz w:w="11880" w:h="15480" w:orient="portrait"/>
          <w:cols w:equalWidth="0" w:num="1">
            <w:col w:w="9220"/>
          </w:cols>
          <w:pgMar w:left="1440" w:top="536" w:right="1220" w:bottom="1440" w:gutter="0" w:footer="0" w:header="0"/>
        </w:sectPr>
      </w:pPr>
    </w:p>
    <w:bookmarkStart w:id="189" w:name="page190"/>
    <w:bookmarkEnd w:id="189"/>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90" w:name="page191"/>
    <w:bookmarkEnd w:id="190"/>
    <w:p>
      <w:pPr>
        <w:spacing w:after="0"/>
        <w:rPr>
          <w:sz w:val="20"/>
          <w:szCs w:val="20"/>
          <w:color w:val="auto"/>
        </w:rPr>
      </w:pPr>
      <w:r>
        <w:rPr>
          <w:rFonts w:ascii="Arial" w:cs="Arial" w:eastAsia="Arial" w:hAnsi="Arial"/>
          <w:sz w:val="45"/>
          <w:szCs w:val="45"/>
          <w:b w:val="1"/>
          <w:bCs w:val="1"/>
          <w:color w:val="00002F"/>
        </w:rPr>
        <w:t>Corporate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3E7EAC"/>
        </w:rPr>
        <w:t>Stock Exchange Listing</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New York Stock Exchange (NYSE): MTDR</w:t>
      </w: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3E7EAC"/>
        </w:rPr>
        <w:t>Corporate Headquarters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Matador Resources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Lincoln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5400 LBJ Freeway, Suite 1500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(972) 371-5200</w:t>
      </w:r>
    </w:p>
    <w:p>
      <w:pPr>
        <w:spacing w:after="0" w:line="117" w:lineRule="exact"/>
        <w:rPr>
          <w:sz w:val="20"/>
          <w:szCs w:val="20"/>
          <w:color w:val="auto"/>
        </w:rPr>
      </w:pPr>
    </w:p>
    <w:p>
      <w:pPr>
        <w:ind w:right="2040"/>
        <w:spacing w:after="0" w:line="313" w:lineRule="auto"/>
        <w:rPr>
          <w:sz w:val="20"/>
          <w:szCs w:val="20"/>
          <w:color w:val="auto"/>
        </w:rPr>
      </w:pPr>
      <w:r>
        <w:rPr>
          <w:rFonts w:ascii="Arial" w:cs="Arial" w:eastAsia="Arial" w:hAnsi="Arial"/>
          <w:sz w:val="18"/>
          <w:szCs w:val="18"/>
          <w:color w:val="auto"/>
        </w:rPr>
        <w:t>For more information, please visit www.matadorresources.com.</w:t>
      </w:r>
    </w:p>
    <w:p>
      <w:pPr>
        <w:spacing w:after="0"/>
        <w:rPr>
          <w:sz w:val="20"/>
          <w:szCs w:val="20"/>
          <w:color w:val="auto"/>
        </w:rPr>
      </w:pPr>
      <w:r>
        <w:rPr>
          <w:rFonts w:ascii="Arial" w:cs="Arial" w:eastAsia="Arial" w:hAnsi="Arial"/>
          <w:sz w:val="18"/>
          <w:szCs w:val="18"/>
          <w:color w:val="auto"/>
        </w:rPr>
        <w:t>For Employment Opportunities, please visit</w:t>
      </w:r>
    </w:p>
    <w:p>
      <w:pPr>
        <w:spacing w:after="0" w:line="117" w:lineRule="exact"/>
        <w:rPr>
          <w:sz w:val="20"/>
          <w:szCs w:val="20"/>
          <w:color w:val="auto"/>
        </w:rPr>
      </w:pPr>
    </w:p>
    <w:p>
      <w:pPr>
        <w:ind w:right="1580"/>
        <w:spacing w:after="0" w:line="342" w:lineRule="auto"/>
        <w:rPr>
          <w:sz w:val="20"/>
          <w:szCs w:val="20"/>
          <w:color w:val="auto"/>
        </w:rPr>
      </w:pPr>
      <w:r>
        <w:rPr>
          <w:rFonts w:ascii="Arial" w:cs="Arial" w:eastAsia="Arial" w:hAnsi="Arial"/>
          <w:sz w:val="18"/>
          <w:szCs w:val="18"/>
          <w:color w:val="auto"/>
        </w:rPr>
        <w:t>www.matadorresources.com/careers Email: careers@matadorresources.com</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3E7EAC"/>
        </w:rPr>
        <w:t>Stock Transfer Agent and Registrar</w:t>
      </w:r>
    </w:p>
    <w:p>
      <w:pPr>
        <w:spacing w:after="0" w:line="24"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Please direct general questions about shareholder accounts, stock certificates, transfer of shares or duplicate mailings to Matador Resources Company’s transfer agent: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Computershare Investor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462 South 4</w:t>
      </w:r>
      <w:r>
        <w:rPr>
          <w:rFonts w:ascii="Arial" w:cs="Arial" w:eastAsia="Arial" w:hAnsi="Arial"/>
          <w:sz w:val="10"/>
          <w:szCs w:val="10"/>
          <w:color w:val="auto"/>
        </w:rPr>
        <w:t>th</w:t>
      </w:r>
      <w:r>
        <w:rPr>
          <w:rFonts w:ascii="Arial" w:cs="Arial" w:eastAsia="Arial" w:hAnsi="Arial"/>
          <w:sz w:val="18"/>
          <w:szCs w:val="18"/>
          <w:color w:val="auto"/>
        </w:rPr>
        <w:t xml:space="preserve">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Louisville, KY 40202</w:t>
      </w:r>
    </w:p>
    <w:p>
      <w:pPr>
        <w:spacing w:after="0" w:line="9" w:lineRule="exact"/>
        <w:rPr>
          <w:sz w:val="20"/>
          <w:szCs w:val="20"/>
          <w:color w:val="auto"/>
        </w:rPr>
      </w:pPr>
    </w:p>
    <w:p>
      <w:pPr>
        <w:ind w:right="2700"/>
        <w:spacing w:after="0" w:line="467" w:lineRule="auto"/>
        <w:tabs>
          <w:tab w:leader="none" w:pos="46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368-5948 www.computershare.com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b w:val="1"/>
          <w:bCs w:val="1"/>
          <w:color w:val="3E7EAC"/>
        </w:rPr>
        <w:t>Financial Information Requests</w:t>
      </w:r>
    </w:p>
    <w:p>
      <w:pPr>
        <w:spacing w:after="0" w:line="24" w:lineRule="exact"/>
        <w:rPr>
          <w:sz w:val="20"/>
          <w:szCs w:val="20"/>
          <w:color w:val="auto"/>
        </w:rPr>
      </w:pPr>
    </w:p>
    <w:p>
      <w:pPr>
        <w:ind w:right="600"/>
        <w:spacing w:after="0" w:line="273" w:lineRule="auto"/>
        <w:rPr>
          <w:sz w:val="20"/>
          <w:szCs w:val="20"/>
          <w:color w:val="auto"/>
        </w:rPr>
      </w:pPr>
      <w:r>
        <w:rPr>
          <w:rFonts w:ascii="Arial" w:cs="Arial" w:eastAsia="Arial" w:hAnsi="Arial"/>
          <w:sz w:val="18"/>
          <w:szCs w:val="18"/>
          <w:color w:val="auto"/>
        </w:rPr>
        <w:t>To receive additional copies of our Annual Report on Form 10-K as filed with the SEC or to obtain other Matador Resources Company information, please contact Mac Schmitz, Senior Vice President – Investor Relations, at our corporate headquarters.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Phone: (972) 371-5225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Email: investors@matadorresources.com</w:t>
      </w: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3E7EAC"/>
        </w:rPr>
        <w:t>Officer Certifications</w:t>
      </w:r>
    </w:p>
    <w:p>
      <w:pPr>
        <w:spacing w:after="0" w:line="24" w:lineRule="exact"/>
        <w:rPr>
          <w:sz w:val="20"/>
          <w:szCs w:val="20"/>
          <w:color w:val="auto"/>
        </w:rPr>
      </w:pPr>
    </w:p>
    <w:p>
      <w:pPr>
        <w:ind w:right="400"/>
        <w:spacing w:after="0" w:line="265" w:lineRule="auto"/>
        <w:rPr>
          <w:sz w:val="20"/>
          <w:szCs w:val="20"/>
          <w:color w:val="auto"/>
        </w:rPr>
      </w:pPr>
      <w:r>
        <w:rPr>
          <w:rFonts w:ascii="Arial" w:cs="Arial" w:eastAsia="Arial" w:hAnsi="Arial"/>
          <w:sz w:val="18"/>
          <w:szCs w:val="18"/>
          <w:color w:val="auto"/>
        </w:rPr>
        <w:t>Our Annual Report on Form 10-K filed with the SEC is included herein, excluding all exhibits other than our Sarbanes-Oxley Act Section 302 and 906 certifications by the CEO and CFO. We will send shareholders copies of the exhibits to our Annual Report on Form 10-K and any of our corporate governance documents, free of charge, upon request.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80"/>
        <w:spacing w:after="0" w:line="276" w:lineRule="auto"/>
        <w:rPr>
          <w:sz w:val="20"/>
          <w:szCs w:val="20"/>
          <w:color w:val="auto"/>
        </w:rPr>
      </w:pPr>
      <w:r>
        <w:rPr>
          <w:rFonts w:ascii="Arial" w:cs="Arial" w:eastAsia="Arial" w:hAnsi="Arial"/>
          <w:sz w:val="18"/>
          <w:szCs w:val="18"/>
          <w:b w:val="1"/>
          <w:bCs w:val="1"/>
          <w:color w:val="191919"/>
        </w:rPr>
        <w:t>Note that these documents, along with further information about our history, board of directors, management team, operations and contact details, are available on our website at:</w:t>
      </w:r>
    </w:p>
    <w:p>
      <w:pPr>
        <w:spacing w:after="0"/>
        <w:rPr>
          <w:sz w:val="20"/>
          <w:szCs w:val="20"/>
          <w:color w:val="auto"/>
        </w:rPr>
      </w:pPr>
      <w:r>
        <w:rPr>
          <w:rFonts w:ascii="Arial" w:cs="Arial" w:eastAsia="Arial" w:hAnsi="Arial"/>
          <w:sz w:val="18"/>
          <w:szCs w:val="18"/>
          <w:b w:val="1"/>
          <w:bCs w:val="1"/>
          <w:color w:val="3E7EAC"/>
        </w:rPr>
        <w:t>www.matadorresources.com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659130</wp:posOffset>
            </wp:positionV>
            <wp:extent cx="490855" cy="4914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
                      <a:extLst>
                        <a:ext uri="{28A0092B-C50C-407E-A947-70E740481C1C}"/>
                      </a:extLst>
                    </a:blip>
                    <a:srcRect/>
                    <a:stretch>
                      <a:fillRect/>
                    </a:stretch>
                  </pic:blipFill>
                  <pic:spPr bwMode="auto">
                    <a:xfrm>
                      <a:off x="0" y="0"/>
                      <a:ext cx="490855" cy="491490"/>
                    </a:xfrm>
                    <a:prstGeom prst="rect">
                      <a:avLst/>
                    </a:prstGeom>
                    <a:noFill/>
                  </pic:spPr>
                </pic:pic>
              </a:graphicData>
            </a:graphic>
          </wp:anchor>
        </w:drawing>
      </w:r>
    </w:p>
    <w:p>
      <w:pPr>
        <w:spacing w:after="0" w:line="497" w:lineRule="exact"/>
        <w:rPr>
          <w:sz w:val="20"/>
          <w:szCs w:val="20"/>
          <w:color w:val="auto"/>
        </w:rPr>
      </w:pPr>
    </w:p>
    <w:p>
      <w:pPr>
        <w:sectPr>
          <w:pgSz w:w="11880" w:h="15480" w:orient="portrait"/>
          <w:cols w:equalWidth="0" w:num="2">
            <w:col w:w="4840" w:space="560"/>
            <w:col w:w="5020"/>
          </w:cols>
          <w:pgMar w:left="900" w:top="627" w:right="560" w:bottom="28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color w:val="3E7EAC"/>
        </w:rPr>
        <w:t>Forward-Looking Statements:</w:t>
      </w:r>
    </w:p>
    <w:p>
      <w:pPr>
        <w:spacing w:after="0" w:line="46"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191919"/>
        </w:rPr>
        <w:t>This annual report includes “forward-looking statements” within the meaning of Section 27A of the Securities Act of 1933, as amended, and Section 21E of the Securities Exchange Act of 1934, as amended. “Forward-looking statements” are statements related to future, not past, events. Forward-looking statements are based on current expectations and include any statement that does not directly relate to a current or historical fact. In this context, forward-looking statements often address expected future business and financial performance, and often contain words such as “could,” “believe,” “would,” “anticipate,” “intend,” “estimate,” “expect,” “may,” “should,” “continue,” “plan,” “predict,” “potential,” “project,” “hypothetical,” “forecasted” and similar expressions that are intended to identify forward-looking statements, although not all forward-looking statements contain such identifying words. Such forward-looking statements include, but are not limited to, statements about guidance, projected or forecasted financial and operating results, future liquidity, leverage,</w:t>
      </w:r>
    </w:p>
    <w:p>
      <w:pPr>
        <w:spacing w:after="0" w:line="1"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191919"/>
        </w:rPr>
        <w:t>the payment of dividends, results in certain basins, objectives, project timing, expectations and intentions, regulatory and governmental actions and other statements that are not historical facts. Actual results and future events could differ materially from those anticipated in such statements, and such forward-looking statements may not prove to be accurate. These forward -looking statements involve certain risks and uncertainties, including, but not limited to, the following risks related to financial and operational performance: general economic conditions; the Company’s ability to execute its business plan, including whether its drilling program is successful; changes in oil, natural gas and natural gas liquids prices and the demand for oil, natural gas and natural gas liquids; its ability to replace reserves and efficiently develop current reserves; the operating results of the Company’s midstream oil, natural gas and water gathering and transportation systems, pipelines and facilities, the acquiring of third-party business and the drilling of any additional salt water disposal wells; costs</w:t>
      </w:r>
    </w:p>
    <w:p>
      <w:pPr>
        <w:spacing w:after="0" w:line="1" w:lineRule="exact"/>
        <w:rPr>
          <w:sz w:val="20"/>
          <w:szCs w:val="20"/>
          <w:color w:val="auto"/>
        </w:rPr>
      </w:pPr>
    </w:p>
    <w:p>
      <w:pPr>
        <w:spacing w:after="0" w:line="291" w:lineRule="auto"/>
        <w:rPr>
          <w:sz w:val="20"/>
          <w:szCs w:val="20"/>
          <w:color w:val="auto"/>
        </w:rPr>
      </w:pPr>
      <w:r>
        <w:rPr>
          <w:rFonts w:ascii="Arial" w:cs="Arial" w:eastAsia="Arial" w:hAnsi="Arial"/>
          <w:sz w:val="14"/>
          <w:szCs w:val="14"/>
          <w:color w:val="191919"/>
        </w:rPr>
        <w:t>of operations; delays and other difficulties related to producing oil, natural gas and natural gas liquids; delays and other difficulties related to regulatory and governmental approvals and restrictions; impact on the Company’s operations due to seismic events; its ability to make acquisitions on economically acceptable terms; its ability to integrate acquisitions; disruption from the Company’s acquisitions making it more difficult to maintain business and operational relationships; significant transaction costs associated with the Company’s acquisitions; the risk of litigation and/or regulatory actions related to the Company’s acquisitions; availability of sufficient capital to execute its business plan, including from future cash flows, capital markets, available borrowing capacity under its revolving credit facilities and otherwise; the operating results of and the availability of any potential distributions from our joint ventures; weather and environmental conditions; and the other factors that could cause actual results to differ materially from those anticipated or implied in the forward-looking statements. For further discussions of risks and uncertainties, you should refer to Matador’s filings with the Securities and Exchange Commission (“SEC”), including the “Risk Factors” section of Matador’s most recent Annual Report on Form 10-K and any subsequent Quarterly Reports on Form 10-Q. Matador undertakes no obligation to update these forward -looking statements to reflect events or circumstances occurring after the date of this annual report, except as required by law, including the securities laws of the United States and the rules and regulations of the SEC. You are cautioned not to place undue reliance on these forward-looking statements, which speak only as of the date of this annual report. All forward-looking statements are qualified in their entirety by this cautionary statement.</w:t>
      </w:r>
    </w:p>
    <w:p>
      <w:pPr>
        <w:sectPr>
          <w:pgSz w:w="11880" w:h="15480" w:orient="portrait"/>
          <w:cols w:equalWidth="0" w:num="1">
            <w:col w:w="10420"/>
          </w:cols>
          <w:pgMar w:left="900" w:top="627" w:right="560" w:bottom="283" w:gutter="0" w:footer="0" w:header="0"/>
          <w:type w:val="continuous"/>
        </w:sectPr>
      </w:pPr>
    </w:p>
    <w:bookmarkStart w:id="191" w:name="page192"/>
    <w:bookmarkEnd w:id="191"/>
    <w:p>
      <w:pPr>
        <w:ind w:left="6"/>
        <w:spacing w:after="0"/>
        <w:rPr>
          <w:sz w:val="20"/>
          <w:szCs w:val="20"/>
          <w:color w:val="auto"/>
        </w:rPr>
      </w:pPr>
      <w:r>
        <w:rPr>
          <w:rFonts w:ascii="Arial" w:cs="Arial" w:eastAsia="Arial" w:hAnsi="Arial"/>
          <w:sz w:val="46"/>
          <w:szCs w:val="46"/>
          <w:b w:val="1"/>
          <w:bCs w:val="1"/>
          <w:color w:val="00002F"/>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4">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Matador’s Unique</w:t>
      </w:r>
    </w:p>
    <w:p>
      <w:pPr>
        <w:ind w:left="6"/>
        <w:spacing w:after="0"/>
        <w:rPr>
          <w:sz w:val="20"/>
          <w:szCs w:val="20"/>
          <w:color w:val="auto"/>
        </w:rPr>
      </w:pPr>
      <w:r>
        <w:rPr>
          <w:rFonts w:ascii="Arial" w:cs="Arial" w:eastAsia="Arial" w:hAnsi="Arial"/>
          <w:sz w:val="46"/>
          <w:szCs w:val="46"/>
          <w:b w:val="1"/>
          <w:bCs w:val="1"/>
          <w:color w:val="00002F"/>
        </w:rPr>
        <w:t>Investment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
        <w:spacing w:after="0"/>
        <w:rPr>
          <w:sz w:val="20"/>
          <w:szCs w:val="20"/>
          <w:color w:val="auto"/>
        </w:rPr>
      </w:pPr>
      <w:r>
        <w:rPr>
          <w:rFonts w:ascii="Arial" w:cs="Arial" w:eastAsia="Arial" w:hAnsi="Arial"/>
          <w:sz w:val="28"/>
          <w:szCs w:val="28"/>
          <w:b w:val="1"/>
          <w:bCs w:val="1"/>
          <w:color w:val="FB662D"/>
        </w:rPr>
        <w:t>Over 40 Years Operating in the Delaware Basin</w:t>
      </w:r>
    </w:p>
    <w:p>
      <w:pPr>
        <w:spacing w:after="0" w:line="130" w:lineRule="exact"/>
        <w:rPr>
          <w:sz w:val="20"/>
          <w:szCs w:val="20"/>
          <w:color w:val="auto"/>
        </w:rPr>
      </w:pPr>
    </w:p>
    <w:p>
      <w:pPr>
        <w:ind w:left="266" w:hanging="266"/>
        <w:spacing w:after="0"/>
        <w:tabs>
          <w:tab w:leader="none" w:pos="266" w:val="left"/>
        </w:tabs>
        <w:numPr>
          <w:ilvl w:val="0"/>
          <w:numId w:val="107"/>
        </w:numPr>
        <w:rPr>
          <w:rFonts w:ascii="Arial" w:cs="Arial" w:eastAsia="Arial" w:hAnsi="Arial"/>
          <w:sz w:val="17"/>
          <w:szCs w:val="17"/>
          <w:b w:val="1"/>
          <w:bCs w:val="1"/>
          <w:color w:val="FFFFFF"/>
        </w:rPr>
      </w:pPr>
      <w:r>
        <w:rPr>
          <w:rFonts w:ascii="Arial" w:cs="Arial" w:eastAsia="Arial" w:hAnsi="Arial"/>
          <w:sz w:val="17"/>
          <w:szCs w:val="17"/>
          <w:b w:val="1"/>
          <w:bCs w:val="1"/>
          <w:color w:val="FFFFFF"/>
        </w:rPr>
        <w:t>36</w:t>
      </w:r>
      <w:r>
        <w:rPr>
          <w:rFonts w:ascii="Arial" w:cs="Arial" w:eastAsia="Arial" w:hAnsi="Arial"/>
          <w:sz w:val="9"/>
          <w:szCs w:val="9"/>
          <w:b w:val="1"/>
          <w:bCs w:val="1"/>
          <w:color w:val="FFFFFF"/>
        </w:rPr>
        <w:t>th</w:t>
      </w:r>
      <w:r>
        <w:rPr>
          <w:rFonts w:ascii="Arial" w:cs="Arial" w:eastAsia="Arial" w:hAnsi="Arial"/>
          <w:sz w:val="17"/>
          <w:szCs w:val="17"/>
          <w:b w:val="1"/>
          <w:bCs w:val="1"/>
          <w:color w:val="FFFFFF"/>
        </w:rPr>
        <w:t xml:space="preserve"> largest company in Dallas across all industries, #1 revenue per employee in DFW </w:t>
      </w:r>
      <w:r>
        <w:rPr>
          <w:rFonts w:ascii="Arial" w:cs="Arial" w:eastAsia="Arial" w:hAnsi="Arial"/>
          <w:sz w:val="9"/>
          <w:szCs w:val="9"/>
          <w:b w:val="1"/>
          <w:bCs w:val="1"/>
          <w:color w:val="FFFFFF"/>
        </w:rPr>
        <w:t>(1)</w:t>
      </w:r>
    </w:p>
    <w:p>
      <w:pPr>
        <w:spacing w:after="0" w:line="152" w:lineRule="exact"/>
        <w:rPr>
          <w:rFonts w:ascii="Arial" w:cs="Arial" w:eastAsia="Arial" w:hAnsi="Arial"/>
          <w:sz w:val="17"/>
          <w:szCs w:val="17"/>
          <w:b w:val="1"/>
          <w:bCs w:val="1"/>
          <w:color w:val="FFFFFF"/>
        </w:rPr>
      </w:pPr>
    </w:p>
    <w:p>
      <w:pPr>
        <w:ind w:left="266" w:hanging="266"/>
        <w:spacing w:after="0"/>
        <w:tabs>
          <w:tab w:leader="none" w:pos="266" w:val="left"/>
        </w:tabs>
        <w:numPr>
          <w:ilvl w:val="0"/>
          <w:numId w:val="107"/>
        </w:numPr>
        <w:rPr>
          <w:rFonts w:ascii="Arial" w:cs="Arial" w:eastAsia="Arial" w:hAnsi="Arial"/>
          <w:sz w:val="17"/>
          <w:szCs w:val="17"/>
          <w:b w:val="1"/>
          <w:bCs w:val="1"/>
          <w:color w:val="FFFFFF"/>
        </w:rPr>
      </w:pPr>
      <w:r>
        <w:rPr>
          <w:rFonts w:ascii="Arial" w:cs="Arial" w:eastAsia="Arial" w:hAnsi="Arial"/>
          <w:sz w:val="17"/>
          <w:szCs w:val="17"/>
          <w:b w:val="1"/>
          <w:bCs w:val="1"/>
          <w:color w:val="FFFFFF"/>
        </w:rPr>
        <w:t xml:space="preserve">10 to 15 years of high-quality inventory across ~212,500 net acres in the Delaware Basin </w:t>
      </w:r>
      <w:r>
        <w:rPr>
          <w:rFonts w:ascii="Arial" w:cs="Arial" w:eastAsia="Arial" w:hAnsi="Arial"/>
          <w:sz w:val="9"/>
          <w:szCs w:val="9"/>
          <w:b w:val="1"/>
          <w:bCs w:val="1"/>
          <w:color w:val="FFFFFF"/>
        </w:rPr>
        <w:t>(2)</w:t>
      </w:r>
    </w:p>
    <w:p>
      <w:pPr>
        <w:spacing w:after="0" w:line="152" w:lineRule="exact"/>
        <w:rPr>
          <w:rFonts w:ascii="Arial" w:cs="Arial" w:eastAsia="Arial" w:hAnsi="Arial"/>
          <w:sz w:val="17"/>
          <w:szCs w:val="17"/>
          <w:b w:val="1"/>
          <w:bCs w:val="1"/>
          <w:color w:val="FFFFFF"/>
        </w:rPr>
      </w:pPr>
    </w:p>
    <w:p>
      <w:pPr>
        <w:ind w:left="266" w:hanging="266"/>
        <w:spacing w:after="0"/>
        <w:tabs>
          <w:tab w:leader="none" w:pos="266" w:val="left"/>
        </w:tabs>
        <w:numPr>
          <w:ilvl w:val="0"/>
          <w:numId w:val="107"/>
        </w:numPr>
        <w:rPr>
          <w:rFonts w:ascii="Arial" w:cs="Arial" w:eastAsia="Arial" w:hAnsi="Arial"/>
          <w:sz w:val="17"/>
          <w:szCs w:val="17"/>
          <w:b w:val="1"/>
          <w:bCs w:val="1"/>
          <w:color w:val="FFFFFF"/>
        </w:rPr>
      </w:pPr>
      <w:r>
        <w:rPr>
          <w:rFonts w:ascii="Arial" w:cs="Arial" w:eastAsia="Arial" w:hAnsi="Arial"/>
          <w:sz w:val="17"/>
          <w:szCs w:val="17"/>
          <w:b w:val="1"/>
          <w:bCs w:val="1"/>
          <w:color w:val="FFFFFF"/>
        </w:rPr>
        <w:t>Fully integrated midstream operations with 720 MMcf/day gas processing capacity and over 900 miles of pipelines</w:t>
      </w:r>
    </w:p>
    <w:p>
      <w:pPr>
        <w:spacing w:after="0" w:line="152" w:lineRule="exact"/>
        <w:rPr>
          <w:rFonts w:ascii="Arial" w:cs="Arial" w:eastAsia="Arial" w:hAnsi="Arial"/>
          <w:sz w:val="17"/>
          <w:szCs w:val="17"/>
          <w:b w:val="1"/>
          <w:bCs w:val="1"/>
          <w:color w:val="FFFFFF"/>
        </w:rPr>
      </w:pPr>
    </w:p>
    <w:p>
      <w:pPr>
        <w:ind w:left="266" w:hanging="266"/>
        <w:spacing w:after="0"/>
        <w:tabs>
          <w:tab w:leader="none" w:pos="266" w:val="left"/>
        </w:tabs>
        <w:numPr>
          <w:ilvl w:val="0"/>
          <w:numId w:val="107"/>
        </w:numPr>
        <w:rPr>
          <w:rFonts w:ascii="Arial" w:cs="Arial" w:eastAsia="Arial" w:hAnsi="Arial"/>
          <w:sz w:val="17"/>
          <w:szCs w:val="17"/>
          <w:b w:val="1"/>
          <w:bCs w:val="1"/>
          <w:color w:val="FFFFFF"/>
        </w:rPr>
      </w:pPr>
      <w:r>
        <w:rPr>
          <w:rFonts w:ascii="Arial" w:cs="Arial" w:eastAsia="Arial" w:hAnsi="Arial"/>
          <w:sz w:val="17"/>
          <w:szCs w:val="17"/>
          <w:b w:val="1"/>
          <w:bCs w:val="1"/>
          <w:color w:val="FFFFFF"/>
        </w:rPr>
        <w:t xml:space="preserve">Current reserves of 667 million BOE, a 9% increase from 2024, and a replacement ratio of over 170% in 2025 </w:t>
      </w:r>
      <w:r>
        <w:rPr>
          <w:rFonts w:ascii="Arial" w:cs="Arial" w:eastAsia="Arial" w:hAnsi="Arial"/>
          <w:sz w:val="9"/>
          <w:szCs w:val="9"/>
          <w:b w:val="1"/>
          <w:bCs w:val="1"/>
          <w:color w:val="FFFFFF"/>
        </w:rPr>
        <w:t>(3)</w:t>
      </w:r>
    </w:p>
    <w:p>
      <w:pPr>
        <w:spacing w:after="0" w:line="200" w:lineRule="exact"/>
        <w:rPr>
          <w:sz w:val="20"/>
          <w:szCs w:val="20"/>
          <w:color w:val="auto"/>
        </w:rPr>
      </w:pPr>
    </w:p>
    <w:p>
      <w:pPr>
        <w:spacing w:after="0" w:line="257" w:lineRule="exact"/>
        <w:rPr>
          <w:sz w:val="20"/>
          <w:szCs w:val="20"/>
          <w:color w:val="auto"/>
        </w:rPr>
      </w:pPr>
    </w:p>
    <w:p>
      <w:pPr>
        <w:ind w:left="6"/>
        <w:spacing w:after="0"/>
        <w:rPr>
          <w:sz w:val="20"/>
          <w:szCs w:val="20"/>
          <w:color w:val="auto"/>
        </w:rPr>
      </w:pPr>
      <w:r>
        <w:rPr>
          <w:rFonts w:ascii="Arial" w:cs="Arial" w:eastAsia="Arial" w:hAnsi="Arial"/>
          <w:sz w:val="28"/>
          <w:szCs w:val="28"/>
          <w:b w:val="1"/>
          <w:bCs w:val="1"/>
          <w:color w:val="FB662D"/>
        </w:rPr>
        <w:t>Our Origin Story</w:t>
      </w:r>
    </w:p>
    <w:p>
      <w:pPr>
        <w:spacing w:after="0" w:line="130" w:lineRule="exact"/>
        <w:rPr>
          <w:sz w:val="20"/>
          <w:szCs w:val="20"/>
          <w:color w:val="auto"/>
        </w:rPr>
      </w:pPr>
    </w:p>
    <w:p>
      <w:pPr>
        <w:ind w:left="266" w:hanging="266"/>
        <w:spacing w:after="0"/>
        <w:tabs>
          <w:tab w:leader="none" w:pos="266" w:val="left"/>
        </w:tabs>
        <w:numPr>
          <w:ilvl w:val="0"/>
          <w:numId w:val="108"/>
        </w:numPr>
        <w:rPr>
          <w:rFonts w:ascii="Arial" w:cs="Arial" w:eastAsia="Arial" w:hAnsi="Arial"/>
          <w:sz w:val="17"/>
          <w:szCs w:val="17"/>
          <w:b w:val="1"/>
          <w:bCs w:val="1"/>
          <w:color w:val="FFFFFF"/>
        </w:rPr>
      </w:pPr>
      <w:r>
        <w:rPr>
          <w:rFonts w:ascii="Arial" w:cs="Arial" w:eastAsia="Arial" w:hAnsi="Arial"/>
          <w:sz w:val="17"/>
          <w:szCs w:val="17"/>
          <w:b w:val="1"/>
          <w:bCs w:val="1"/>
          <w:color w:val="FFFFFF"/>
        </w:rPr>
        <w:t>Founded “Matador I” in 1983 with $270,000 from 17 friends and family; sold in 2003 for $388 million or $0.89 per share</w:t>
      </w:r>
    </w:p>
    <w:p>
      <w:pPr>
        <w:spacing w:after="0" w:line="152" w:lineRule="exact"/>
        <w:rPr>
          <w:rFonts w:ascii="Arial" w:cs="Arial" w:eastAsia="Arial" w:hAnsi="Arial"/>
          <w:sz w:val="17"/>
          <w:szCs w:val="17"/>
          <w:b w:val="1"/>
          <w:bCs w:val="1"/>
          <w:color w:val="FFFFFF"/>
        </w:rPr>
      </w:pPr>
    </w:p>
    <w:p>
      <w:pPr>
        <w:ind w:left="266" w:hanging="266"/>
        <w:spacing w:after="0"/>
        <w:tabs>
          <w:tab w:leader="none" w:pos="266" w:val="left"/>
        </w:tabs>
        <w:numPr>
          <w:ilvl w:val="0"/>
          <w:numId w:val="108"/>
        </w:numPr>
        <w:rPr>
          <w:rFonts w:ascii="Arial" w:cs="Arial" w:eastAsia="Arial" w:hAnsi="Arial"/>
          <w:sz w:val="17"/>
          <w:szCs w:val="17"/>
          <w:b w:val="1"/>
          <w:bCs w:val="1"/>
          <w:color w:val="FFFFFF"/>
        </w:rPr>
      </w:pPr>
      <w:r>
        <w:rPr>
          <w:rFonts w:ascii="Arial" w:cs="Arial" w:eastAsia="Arial" w:hAnsi="Arial"/>
          <w:sz w:val="17"/>
          <w:szCs w:val="17"/>
          <w:b w:val="1"/>
          <w:bCs w:val="1"/>
          <w:color w:val="FFFFFF"/>
        </w:rPr>
        <w:t>Started “Matador II” with initial capital of $6 million and attracted additional capital from 500 friends and neighbors</w:t>
      </w:r>
    </w:p>
    <w:p>
      <w:pPr>
        <w:spacing w:after="0" w:line="152" w:lineRule="exact"/>
        <w:rPr>
          <w:rFonts w:ascii="Arial" w:cs="Arial" w:eastAsia="Arial" w:hAnsi="Arial"/>
          <w:sz w:val="17"/>
          <w:szCs w:val="17"/>
          <w:b w:val="1"/>
          <w:bCs w:val="1"/>
          <w:color w:val="FFFFFF"/>
        </w:rPr>
      </w:pPr>
    </w:p>
    <w:p>
      <w:pPr>
        <w:ind w:left="266" w:hanging="266"/>
        <w:spacing w:after="0"/>
        <w:tabs>
          <w:tab w:leader="none" w:pos="266" w:val="left"/>
        </w:tabs>
        <w:numPr>
          <w:ilvl w:val="0"/>
          <w:numId w:val="108"/>
        </w:numPr>
        <w:rPr>
          <w:rFonts w:ascii="Arial" w:cs="Arial" w:eastAsia="Arial" w:hAnsi="Arial"/>
          <w:sz w:val="17"/>
          <w:szCs w:val="17"/>
          <w:b w:val="1"/>
          <w:bCs w:val="1"/>
          <w:color w:val="FFFFFF"/>
        </w:rPr>
      </w:pPr>
      <w:r>
        <w:rPr>
          <w:rFonts w:ascii="Arial" w:cs="Arial" w:eastAsia="Arial" w:hAnsi="Arial"/>
          <w:sz w:val="17"/>
          <w:szCs w:val="17"/>
          <w:b w:val="1"/>
          <w:bCs w:val="1"/>
          <w:color w:val="FFFFFF"/>
        </w:rPr>
        <w:t xml:space="preserve">Initial Public Offering (IPO) in 2012, which has led to a market capitalization today valued at approximately $8 billion </w:t>
      </w:r>
      <w:r>
        <w:rPr>
          <w:rFonts w:ascii="Arial" w:cs="Arial" w:eastAsia="Arial" w:hAnsi="Arial"/>
          <w:sz w:val="9"/>
          <w:szCs w:val="9"/>
          <w:b w:val="1"/>
          <w:bCs w:val="1"/>
          <w:color w:val="FFFFFF"/>
        </w:rPr>
        <w:t>(4)</w:t>
      </w:r>
    </w:p>
    <w:p>
      <w:pPr>
        <w:spacing w:after="0" w:line="152" w:lineRule="exact"/>
        <w:rPr>
          <w:rFonts w:ascii="Arial" w:cs="Arial" w:eastAsia="Arial" w:hAnsi="Arial"/>
          <w:sz w:val="17"/>
          <w:szCs w:val="17"/>
          <w:b w:val="1"/>
          <w:bCs w:val="1"/>
          <w:color w:val="FFFFFF"/>
        </w:rPr>
      </w:pPr>
    </w:p>
    <w:p>
      <w:pPr>
        <w:ind w:left="266" w:hanging="266"/>
        <w:spacing w:after="0"/>
        <w:tabs>
          <w:tab w:leader="none" w:pos="266" w:val="left"/>
        </w:tabs>
        <w:numPr>
          <w:ilvl w:val="0"/>
          <w:numId w:val="108"/>
        </w:numPr>
        <w:rPr>
          <w:rFonts w:ascii="Arial" w:cs="Arial" w:eastAsia="Arial" w:hAnsi="Arial"/>
          <w:sz w:val="17"/>
          <w:szCs w:val="17"/>
          <w:b w:val="1"/>
          <w:bCs w:val="1"/>
          <w:color w:val="FFFFFF"/>
        </w:rPr>
      </w:pPr>
      <w:r>
        <w:rPr>
          <w:rFonts w:ascii="Arial" w:cs="Arial" w:eastAsia="Arial" w:hAnsi="Arial"/>
          <w:sz w:val="17"/>
          <w:szCs w:val="17"/>
          <w:b w:val="1"/>
          <w:bCs w:val="1"/>
          <w:color w:val="FFFFFF"/>
        </w:rPr>
        <w:t>Original shareholders include friends, family and teammates, have a cost basis of $3.56 per share</w:t>
      </w:r>
    </w:p>
    <w:p>
      <w:pPr>
        <w:spacing w:after="0" w:line="152" w:lineRule="exact"/>
        <w:rPr>
          <w:rFonts w:ascii="Arial" w:cs="Arial" w:eastAsia="Arial" w:hAnsi="Arial"/>
          <w:sz w:val="17"/>
          <w:szCs w:val="17"/>
          <w:b w:val="1"/>
          <w:bCs w:val="1"/>
          <w:color w:val="FFFFFF"/>
        </w:rPr>
      </w:pPr>
    </w:p>
    <w:p>
      <w:pPr>
        <w:ind w:left="266" w:hanging="266"/>
        <w:spacing w:after="0"/>
        <w:tabs>
          <w:tab w:leader="none" w:pos="266" w:val="left"/>
        </w:tabs>
        <w:numPr>
          <w:ilvl w:val="0"/>
          <w:numId w:val="108"/>
        </w:numPr>
        <w:rPr>
          <w:rFonts w:ascii="Arial" w:cs="Arial" w:eastAsia="Arial" w:hAnsi="Arial"/>
          <w:sz w:val="17"/>
          <w:szCs w:val="17"/>
          <w:b w:val="1"/>
          <w:bCs w:val="1"/>
          <w:color w:val="FFFFFF"/>
        </w:rPr>
      </w:pPr>
      <w:r>
        <w:rPr>
          <w:rFonts w:ascii="Arial" w:cs="Arial" w:eastAsia="Arial" w:hAnsi="Arial"/>
          <w:sz w:val="17"/>
          <w:szCs w:val="17"/>
          <w:b w:val="1"/>
          <w:bCs w:val="1"/>
          <w:color w:val="FFFFFF"/>
        </w:rPr>
        <w:t xml:space="preserve">Today “Matador II” is trading at $65.45 per share </w:t>
      </w:r>
      <w:r>
        <w:rPr>
          <w:rFonts w:ascii="Arial" w:cs="Arial" w:eastAsia="Arial" w:hAnsi="Arial"/>
          <w:sz w:val="9"/>
          <w:szCs w:val="9"/>
          <w:b w:val="1"/>
          <w:bCs w:val="1"/>
          <w:color w:val="FFFFFF"/>
        </w:rPr>
        <w:t>(4)</w:t>
      </w:r>
    </w:p>
    <w:p>
      <w:pPr>
        <w:spacing w:after="0" w:line="200" w:lineRule="exact"/>
        <w:rPr>
          <w:sz w:val="20"/>
          <w:szCs w:val="20"/>
          <w:color w:val="auto"/>
        </w:rPr>
      </w:pPr>
    </w:p>
    <w:p>
      <w:pPr>
        <w:spacing w:after="0" w:line="233" w:lineRule="exact"/>
        <w:rPr>
          <w:sz w:val="20"/>
          <w:szCs w:val="20"/>
          <w:color w:val="auto"/>
        </w:rPr>
      </w:pPr>
    </w:p>
    <w:p>
      <w:pPr>
        <w:ind w:left="6"/>
        <w:spacing w:after="0"/>
        <w:rPr>
          <w:sz w:val="20"/>
          <w:szCs w:val="20"/>
          <w:color w:val="auto"/>
        </w:rPr>
      </w:pPr>
      <w:r>
        <w:rPr>
          <w:rFonts w:ascii="Arial" w:cs="Arial" w:eastAsia="Arial" w:hAnsi="Arial"/>
          <w:sz w:val="28"/>
          <w:szCs w:val="28"/>
          <w:b w:val="1"/>
          <w:bCs w:val="1"/>
          <w:color w:val="FB662D"/>
        </w:rPr>
        <w:t>Culture of Commitment and Continuous Growth</w:t>
      </w:r>
    </w:p>
    <w:p>
      <w:pPr>
        <w:spacing w:after="0" w:line="130" w:lineRule="exact"/>
        <w:rPr>
          <w:sz w:val="20"/>
          <w:szCs w:val="20"/>
          <w:color w:val="auto"/>
        </w:rPr>
      </w:pPr>
    </w:p>
    <w:p>
      <w:pPr>
        <w:ind w:left="266" w:hanging="266"/>
        <w:spacing w:after="0"/>
        <w:tabs>
          <w:tab w:leader="none" w:pos="266" w:val="left"/>
        </w:tabs>
        <w:numPr>
          <w:ilvl w:val="0"/>
          <w:numId w:val="109"/>
        </w:numPr>
        <w:rPr>
          <w:rFonts w:ascii="Arial" w:cs="Arial" w:eastAsia="Arial" w:hAnsi="Arial"/>
          <w:sz w:val="17"/>
          <w:szCs w:val="17"/>
          <w:b w:val="1"/>
          <w:bCs w:val="1"/>
          <w:color w:val="FFFFFF"/>
        </w:rPr>
      </w:pPr>
      <w:r>
        <w:rPr>
          <w:rFonts w:ascii="Arial" w:cs="Arial" w:eastAsia="Arial" w:hAnsi="Arial"/>
          <w:sz w:val="17"/>
          <w:szCs w:val="17"/>
          <w:b w:val="1"/>
          <w:bCs w:val="1"/>
          <w:color w:val="FFFFFF"/>
        </w:rPr>
        <w:t>Over 95% participation in Employee Stock Purchase Plan (ESPP)</w:t>
      </w:r>
    </w:p>
    <w:p>
      <w:pPr>
        <w:spacing w:after="0" w:line="152" w:lineRule="exact"/>
        <w:rPr>
          <w:rFonts w:ascii="Arial" w:cs="Arial" w:eastAsia="Arial" w:hAnsi="Arial"/>
          <w:sz w:val="17"/>
          <w:szCs w:val="17"/>
          <w:b w:val="1"/>
          <w:bCs w:val="1"/>
          <w:color w:val="FFFFFF"/>
        </w:rPr>
      </w:pPr>
    </w:p>
    <w:p>
      <w:pPr>
        <w:ind w:left="266" w:hanging="266"/>
        <w:spacing w:after="0"/>
        <w:tabs>
          <w:tab w:leader="none" w:pos="266" w:val="left"/>
        </w:tabs>
        <w:numPr>
          <w:ilvl w:val="0"/>
          <w:numId w:val="109"/>
        </w:numPr>
        <w:rPr>
          <w:rFonts w:ascii="Arial" w:cs="Arial" w:eastAsia="Arial" w:hAnsi="Arial"/>
          <w:sz w:val="17"/>
          <w:szCs w:val="17"/>
          <w:b w:val="1"/>
          <w:bCs w:val="1"/>
          <w:color w:val="FFFFFF"/>
        </w:rPr>
      </w:pPr>
      <w:r>
        <w:rPr>
          <w:rFonts w:ascii="Arial" w:cs="Arial" w:eastAsia="Arial" w:hAnsi="Arial"/>
          <w:sz w:val="17"/>
          <w:szCs w:val="17"/>
          <w:b w:val="1"/>
          <w:bCs w:val="1"/>
          <w:color w:val="FFFFFF"/>
        </w:rPr>
        <w:t>Approaching 27,000 employee training hours completed in 2025</w:t>
      </w:r>
    </w:p>
    <w:p>
      <w:pPr>
        <w:spacing w:after="0" w:line="152" w:lineRule="exact"/>
        <w:rPr>
          <w:rFonts w:ascii="Arial" w:cs="Arial" w:eastAsia="Arial" w:hAnsi="Arial"/>
          <w:sz w:val="17"/>
          <w:szCs w:val="17"/>
          <w:b w:val="1"/>
          <w:bCs w:val="1"/>
          <w:color w:val="FFFFFF"/>
        </w:rPr>
      </w:pPr>
    </w:p>
    <w:p>
      <w:pPr>
        <w:ind w:left="266" w:hanging="266"/>
        <w:spacing w:after="0"/>
        <w:tabs>
          <w:tab w:leader="none" w:pos="266" w:val="left"/>
        </w:tabs>
        <w:numPr>
          <w:ilvl w:val="0"/>
          <w:numId w:val="109"/>
        </w:numPr>
        <w:rPr>
          <w:rFonts w:ascii="Arial" w:cs="Arial" w:eastAsia="Arial" w:hAnsi="Arial"/>
          <w:sz w:val="17"/>
          <w:szCs w:val="17"/>
          <w:b w:val="1"/>
          <w:bCs w:val="1"/>
          <w:color w:val="FFFFFF"/>
        </w:rPr>
      </w:pPr>
      <w:r>
        <w:rPr>
          <w:rFonts w:ascii="Arial" w:cs="Arial" w:eastAsia="Arial" w:hAnsi="Arial"/>
          <w:sz w:val="17"/>
          <w:szCs w:val="17"/>
          <w:b w:val="1"/>
          <w:bCs w:val="1"/>
          <w:color w:val="FFFFFF"/>
        </w:rPr>
        <w:t>Three rotational training programs offering field experience, technical development, and mentorship</w:t>
      </w:r>
    </w:p>
    <w:p>
      <w:pPr>
        <w:spacing w:after="0" w:line="152" w:lineRule="exact"/>
        <w:rPr>
          <w:rFonts w:ascii="Arial" w:cs="Arial" w:eastAsia="Arial" w:hAnsi="Arial"/>
          <w:sz w:val="17"/>
          <w:szCs w:val="17"/>
          <w:b w:val="1"/>
          <w:bCs w:val="1"/>
          <w:color w:val="FFFFFF"/>
        </w:rPr>
      </w:pPr>
    </w:p>
    <w:p>
      <w:pPr>
        <w:ind w:left="266" w:hanging="266"/>
        <w:spacing w:after="0"/>
        <w:tabs>
          <w:tab w:leader="none" w:pos="266" w:val="left"/>
        </w:tabs>
        <w:numPr>
          <w:ilvl w:val="0"/>
          <w:numId w:val="109"/>
        </w:numPr>
        <w:rPr>
          <w:rFonts w:ascii="Arial" w:cs="Arial" w:eastAsia="Arial" w:hAnsi="Arial"/>
          <w:sz w:val="17"/>
          <w:szCs w:val="17"/>
          <w:b w:val="1"/>
          <w:bCs w:val="1"/>
          <w:color w:val="FFFFFF"/>
        </w:rPr>
      </w:pPr>
      <w:r>
        <w:rPr>
          <w:rFonts w:ascii="Arial" w:cs="Arial" w:eastAsia="Arial" w:hAnsi="Arial"/>
          <w:sz w:val="17"/>
          <w:szCs w:val="17"/>
          <w:b w:val="1"/>
          <w:bCs w:val="1"/>
          <w:color w:val="FFFFFF"/>
        </w:rPr>
        <w:t>~40% of staff with 5+ years of tenure at Matador, providing continuity and developing our next generation of staff</w:t>
      </w:r>
    </w:p>
    <w:p>
      <w:pPr>
        <w:spacing w:after="0" w:line="200" w:lineRule="exact"/>
        <w:rPr>
          <w:sz w:val="20"/>
          <w:szCs w:val="20"/>
          <w:color w:val="auto"/>
        </w:rPr>
      </w:pPr>
    </w:p>
    <w:p>
      <w:pPr>
        <w:spacing w:after="0" w:line="233" w:lineRule="exact"/>
        <w:rPr>
          <w:sz w:val="20"/>
          <w:szCs w:val="20"/>
          <w:color w:val="auto"/>
        </w:rPr>
      </w:pPr>
    </w:p>
    <w:p>
      <w:pPr>
        <w:ind w:left="6"/>
        <w:spacing w:after="0"/>
        <w:rPr>
          <w:sz w:val="20"/>
          <w:szCs w:val="20"/>
          <w:color w:val="auto"/>
        </w:rPr>
      </w:pPr>
      <w:r>
        <w:rPr>
          <w:rFonts w:ascii="Arial" w:cs="Arial" w:eastAsia="Arial" w:hAnsi="Arial"/>
          <w:sz w:val="28"/>
          <w:szCs w:val="28"/>
          <w:b w:val="1"/>
          <w:bCs w:val="1"/>
          <w:color w:val="FB662D"/>
        </w:rPr>
        <w:t>A Board Built on Strength and Experience</w:t>
      </w:r>
    </w:p>
    <w:p>
      <w:pPr>
        <w:spacing w:after="0" w:line="130" w:lineRule="exact"/>
        <w:rPr>
          <w:sz w:val="20"/>
          <w:szCs w:val="20"/>
          <w:color w:val="auto"/>
        </w:rPr>
      </w:pPr>
    </w:p>
    <w:p>
      <w:pPr>
        <w:ind w:left="266" w:hanging="266"/>
        <w:spacing w:after="0"/>
        <w:tabs>
          <w:tab w:leader="none" w:pos="266" w:val="left"/>
        </w:tabs>
        <w:numPr>
          <w:ilvl w:val="0"/>
          <w:numId w:val="110"/>
        </w:numPr>
        <w:rPr>
          <w:rFonts w:ascii="Arial" w:cs="Arial" w:eastAsia="Arial" w:hAnsi="Arial"/>
          <w:sz w:val="17"/>
          <w:szCs w:val="17"/>
          <w:b w:val="1"/>
          <w:bCs w:val="1"/>
          <w:color w:val="FFFFFF"/>
        </w:rPr>
      </w:pPr>
      <w:r>
        <w:rPr>
          <w:rFonts w:ascii="Arial" w:cs="Arial" w:eastAsia="Arial" w:hAnsi="Arial"/>
          <w:sz w:val="17"/>
          <w:szCs w:val="17"/>
          <w:b w:val="1"/>
          <w:bCs w:val="1"/>
          <w:color w:val="FFFFFF"/>
        </w:rPr>
        <w:t>Proven Board with extensive industry knowledge, business experience and MTDR ownership</w:t>
      </w:r>
    </w:p>
    <w:p>
      <w:pPr>
        <w:spacing w:after="0" w:line="152" w:lineRule="exact"/>
        <w:rPr>
          <w:rFonts w:ascii="Arial" w:cs="Arial" w:eastAsia="Arial" w:hAnsi="Arial"/>
          <w:sz w:val="17"/>
          <w:szCs w:val="17"/>
          <w:b w:val="1"/>
          <w:bCs w:val="1"/>
          <w:color w:val="FFFFFF"/>
        </w:rPr>
      </w:pPr>
    </w:p>
    <w:p>
      <w:pPr>
        <w:ind w:left="266" w:right="380" w:hanging="266"/>
        <w:spacing w:after="0" w:line="313" w:lineRule="auto"/>
        <w:tabs>
          <w:tab w:leader="none" w:pos="266" w:val="left"/>
        </w:tabs>
        <w:numPr>
          <w:ilvl w:val="0"/>
          <w:numId w:val="110"/>
        </w:numPr>
        <w:rPr>
          <w:rFonts w:ascii="Arial" w:cs="Arial" w:eastAsia="Arial" w:hAnsi="Arial"/>
          <w:sz w:val="16"/>
          <w:szCs w:val="16"/>
          <w:b w:val="1"/>
          <w:bCs w:val="1"/>
          <w:color w:val="FFFFFF"/>
        </w:rPr>
      </w:pPr>
      <w:r>
        <w:rPr>
          <w:rFonts w:ascii="Arial" w:cs="Arial" w:eastAsia="Arial" w:hAnsi="Arial"/>
          <w:sz w:val="16"/>
          <w:szCs w:val="16"/>
          <w:b w:val="1"/>
          <w:bCs w:val="1"/>
          <w:color w:val="FFFFFF"/>
        </w:rPr>
        <w:t>Previous directors include three Presidents of Shell Oil Company, President of DeGolyer and MacNaughton, President of Amoco, Vice President of ARCO, Vice Presidents of Mesa Petroleum from Amarillo, the Dean of Texas A&amp;M University’s</w:t>
      </w:r>
    </w:p>
    <w:p>
      <w:pPr>
        <w:ind w:left="266"/>
        <w:spacing w:after="0"/>
        <w:rPr>
          <w:rFonts w:ascii="Arial" w:cs="Arial" w:eastAsia="Arial" w:hAnsi="Arial"/>
          <w:sz w:val="16"/>
          <w:szCs w:val="16"/>
          <w:b w:val="1"/>
          <w:bCs w:val="1"/>
          <w:color w:val="FFFFFF"/>
        </w:rPr>
      </w:pPr>
      <w:r>
        <w:rPr>
          <w:rFonts w:ascii="Arial" w:cs="Arial" w:eastAsia="Arial" w:hAnsi="Arial"/>
          <w:sz w:val="17"/>
          <w:szCs w:val="17"/>
          <w:b w:val="1"/>
          <w:bCs w:val="1"/>
          <w:color w:val="FFFFFF"/>
        </w:rPr>
        <w:t>Petroleum School and first American admitted to the Russian Academy of Sciences</w:t>
      </w:r>
    </w:p>
    <w:p>
      <w:pPr>
        <w:spacing w:after="0" w:line="152" w:lineRule="exact"/>
        <w:rPr>
          <w:rFonts w:ascii="Arial" w:cs="Arial" w:eastAsia="Arial" w:hAnsi="Arial"/>
          <w:sz w:val="16"/>
          <w:szCs w:val="16"/>
          <w:b w:val="1"/>
          <w:bCs w:val="1"/>
          <w:color w:val="FFFFFF"/>
        </w:rPr>
      </w:pPr>
    </w:p>
    <w:p>
      <w:pPr>
        <w:ind w:left="266" w:right="180" w:hanging="266"/>
        <w:spacing w:after="0" w:line="442" w:lineRule="auto"/>
        <w:tabs>
          <w:tab w:leader="none" w:pos="266" w:val="left"/>
        </w:tabs>
        <w:numPr>
          <w:ilvl w:val="0"/>
          <w:numId w:val="110"/>
        </w:numPr>
        <w:rPr>
          <w:rFonts w:ascii="Arial" w:cs="Arial" w:eastAsia="Arial" w:hAnsi="Arial"/>
          <w:sz w:val="16"/>
          <w:szCs w:val="16"/>
          <w:b w:val="1"/>
          <w:bCs w:val="1"/>
          <w:color w:val="FFFFFF"/>
        </w:rPr>
      </w:pPr>
      <w:r>
        <w:rPr>
          <w:rFonts w:ascii="Arial" w:cs="Arial" w:eastAsia="Arial" w:hAnsi="Arial"/>
          <w:sz w:val="16"/>
          <w:szCs w:val="16"/>
          <w:b w:val="1"/>
          <w:bCs w:val="1"/>
          <w:color w:val="FFFFFF"/>
        </w:rPr>
        <w:t>Current directors include former Partner at PwC, former Portfolio Manager at T. Rowe Price, current CEO of IPR Energy Partners, former CFO and Board Member of Shell Midstream Partners, and former Partner of Norton Rose Fulbright US LLP</w:t>
      </w: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15" w:lineRule="exact"/>
        <w:rPr>
          <w:rFonts w:ascii="Arial" w:cs="Arial" w:eastAsia="Arial" w:hAnsi="Arial"/>
          <w:sz w:val="16"/>
          <w:szCs w:val="16"/>
          <w:b w:val="1"/>
          <w:bCs w:val="1"/>
          <w:color w:val="FFFFFF"/>
        </w:rPr>
      </w:pPr>
    </w:p>
    <w:p>
      <w:pPr>
        <w:ind w:left="186" w:hanging="167"/>
        <w:spacing w:after="0"/>
        <w:tabs>
          <w:tab w:leader="none" w:pos="186" w:val="left"/>
        </w:tabs>
        <w:numPr>
          <w:ilvl w:val="1"/>
          <w:numId w:val="110"/>
        </w:numPr>
        <w:rPr>
          <w:rFonts w:ascii="Arial" w:cs="Arial" w:eastAsia="Arial" w:hAnsi="Arial"/>
          <w:sz w:val="8"/>
          <w:szCs w:val="8"/>
          <w:color w:val="FFFFFF"/>
        </w:rPr>
      </w:pPr>
      <w:r>
        <w:rPr>
          <w:rFonts w:ascii="Arial" w:cs="Arial" w:eastAsia="Arial" w:hAnsi="Arial"/>
          <w:sz w:val="14"/>
          <w:szCs w:val="14"/>
          <w:color w:val="FFFFFF"/>
        </w:rPr>
        <w:t xml:space="preserve">Source: </w:t>
      </w:r>
      <w:r>
        <w:rPr>
          <w:rFonts w:ascii="Arial" w:cs="Arial" w:eastAsia="Arial" w:hAnsi="Arial"/>
          <w:sz w:val="14"/>
          <w:szCs w:val="14"/>
          <w:i w:val="1"/>
          <w:iCs w:val="1"/>
          <w:color w:val="FFFFFF"/>
        </w:rPr>
        <w:t>The Dallas Morning News</w:t>
      </w:r>
      <w:r>
        <w:rPr>
          <w:rFonts w:ascii="Arial" w:cs="Arial" w:eastAsia="Arial" w:hAnsi="Arial"/>
          <w:sz w:val="14"/>
          <w:szCs w:val="14"/>
          <w:color w:val="FFFFFF"/>
        </w:rPr>
        <w:t xml:space="preserve"> article published on October 5, 2025.</w:t>
      </w:r>
    </w:p>
    <w:p>
      <w:pPr>
        <w:spacing w:after="0" w:line="39" w:lineRule="exact"/>
        <w:rPr>
          <w:rFonts w:ascii="Arial" w:cs="Arial" w:eastAsia="Arial" w:hAnsi="Arial"/>
          <w:sz w:val="8"/>
          <w:szCs w:val="8"/>
          <w:color w:val="FFFFFF"/>
        </w:rPr>
      </w:pPr>
    </w:p>
    <w:p>
      <w:pPr>
        <w:jc w:val="both"/>
        <w:ind w:left="186" w:right="4600" w:firstLine="9"/>
        <w:spacing w:after="0" w:line="326" w:lineRule="auto"/>
        <w:rPr>
          <w:rFonts w:ascii="Arial" w:cs="Arial" w:eastAsia="Arial" w:hAnsi="Arial"/>
          <w:sz w:val="8"/>
          <w:szCs w:val="8"/>
          <w:color w:val="FFFFFF"/>
        </w:rPr>
      </w:pPr>
      <w:r>
        <w:rPr>
          <w:rFonts w:ascii="Arial" w:cs="Arial" w:eastAsia="Arial" w:hAnsi="Arial"/>
          <w:sz w:val="14"/>
          <w:szCs w:val="14"/>
          <w:color w:val="FFFFFF"/>
        </w:rPr>
        <w:t xml:space="preserve">Note: Revenue per employee is calculated using total 2024 full-year revenue and the employee count as of year-end 2024 and is compared to the top 50 companies listed in </w:t>
      </w:r>
      <w:r>
        <w:rPr>
          <w:rFonts w:ascii="Arial" w:cs="Arial" w:eastAsia="Arial" w:hAnsi="Arial"/>
          <w:sz w:val="14"/>
          <w:szCs w:val="14"/>
          <w:i w:val="1"/>
          <w:iCs w:val="1"/>
          <w:color w:val="FFFFFF"/>
        </w:rPr>
        <w:t>The Dallas Morning News</w:t>
      </w:r>
      <w:r>
        <w:rPr>
          <w:rFonts w:ascii="Arial" w:cs="Arial" w:eastAsia="Arial" w:hAnsi="Arial"/>
          <w:sz w:val="14"/>
          <w:szCs w:val="14"/>
          <w:color w:val="FFFFFF"/>
        </w:rPr>
        <w:t xml:space="preserve"> Article.</w:t>
      </w:r>
    </w:p>
    <w:p>
      <w:pPr>
        <w:spacing w:after="0" w:line="1" w:lineRule="exact"/>
        <w:rPr>
          <w:sz w:val="20"/>
          <w:szCs w:val="20"/>
          <w:color w:val="auto"/>
        </w:rPr>
      </w:pPr>
    </w:p>
    <w:p>
      <w:pPr>
        <w:ind w:left="26"/>
        <w:spacing w:after="0"/>
        <w:tabs>
          <w:tab w:leader="none" w:pos="165" w:val="left"/>
        </w:tabs>
        <w:rPr>
          <w:sz w:val="20"/>
          <w:szCs w:val="20"/>
          <w:color w:val="auto"/>
        </w:rPr>
      </w:pPr>
      <w:r>
        <w:rPr>
          <w:rFonts w:ascii="Arial" w:cs="Arial" w:eastAsia="Arial" w:hAnsi="Arial"/>
          <w:sz w:val="8"/>
          <w:szCs w:val="8"/>
          <w:color w:val="FFFFFF"/>
        </w:rPr>
        <w:t>(2)</w:t>
      </w:r>
      <w:r>
        <w:rPr>
          <w:sz w:val="20"/>
          <w:szCs w:val="20"/>
          <w:color w:val="auto"/>
        </w:rPr>
        <w:tab/>
      </w:r>
      <w:r>
        <w:rPr>
          <w:rFonts w:ascii="Arial" w:cs="Arial" w:eastAsia="Arial" w:hAnsi="Arial"/>
          <w:sz w:val="14"/>
          <w:szCs w:val="14"/>
          <w:color w:val="FFFFFF"/>
        </w:rPr>
        <w:t>Acreage as of December 31, 2025.</w:t>
      </w:r>
    </w:p>
    <w:p>
      <w:pPr>
        <w:spacing w:after="0" w:line="97" w:lineRule="exact"/>
        <w:rPr>
          <w:sz w:val="20"/>
          <w:szCs w:val="20"/>
          <w:color w:val="auto"/>
        </w:rPr>
      </w:pPr>
    </w:p>
    <w:p>
      <w:pPr>
        <w:ind w:left="26"/>
        <w:spacing w:after="0"/>
        <w:tabs>
          <w:tab w:leader="none" w:pos="165" w:val="left"/>
        </w:tabs>
        <w:rPr>
          <w:sz w:val="20"/>
          <w:szCs w:val="20"/>
          <w:color w:val="auto"/>
        </w:rPr>
      </w:pPr>
      <w:r>
        <w:rPr>
          <w:rFonts w:ascii="Arial" w:cs="Arial" w:eastAsia="Arial" w:hAnsi="Arial"/>
          <w:sz w:val="8"/>
          <w:szCs w:val="8"/>
          <w:color w:val="FFFFFF"/>
        </w:rPr>
        <w:t>(3)</w:t>
      </w:r>
      <w:r>
        <w:rPr>
          <w:sz w:val="20"/>
          <w:szCs w:val="20"/>
          <w:color w:val="auto"/>
        </w:rPr>
        <w:tab/>
      </w:r>
      <w:r>
        <w:rPr>
          <w:rFonts w:ascii="Arial" w:cs="Arial" w:eastAsia="Arial" w:hAnsi="Arial"/>
          <w:sz w:val="14"/>
          <w:szCs w:val="14"/>
          <w:color w:val="FFFFFF"/>
        </w:rPr>
        <w:t>YE 2025 SEC Pricing: $61.82 per barrel of oil and $3.387 per MMBtu of natural gas.</w:t>
      </w:r>
    </w:p>
    <w:p>
      <w:pPr>
        <w:spacing w:after="0" w:line="39" w:lineRule="exact"/>
        <w:rPr>
          <w:sz w:val="20"/>
          <w:szCs w:val="20"/>
          <w:color w:val="auto"/>
        </w:rPr>
      </w:pPr>
    </w:p>
    <w:p>
      <w:pPr>
        <w:ind w:left="186"/>
        <w:spacing w:after="0"/>
        <w:rPr>
          <w:sz w:val="20"/>
          <w:szCs w:val="20"/>
          <w:color w:val="auto"/>
        </w:rPr>
      </w:pPr>
      <w:r>
        <w:rPr>
          <w:rFonts w:ascii="Arial" w:cs="Arial" w:eastAsia="Arial" w:hAnsi="Arial"/>
          <w:sz w:val="14"/>
          <w:szCs w:val="14"/>
          <w:color w:val="FFFFFF"/>
        </w:rPr>
        <w:t>$8.2 billion PV-10 as of December 31, 2025.</w:t>
      </w:r>
    </w:p>
    <w:p>
      <w:pPr>
        <w:spacing w:after="0" w:line="97" w:lineRule="exact"/>
        <w:rPr>
          <w:sz w:val="20"/>
          <w:szCs w:val="20"/>
          <w:color w:val="auto"/>
        </w:rPr>
      </w:pPr>
    </w:p>
    <w:p>
      <w:pPr>
        <w:ind w:left="26"/>
        <w:spacing w:after="0"/>
        <w:tabs>
          <w:tab w:leader="none" w:pos="165" w:val="left"/>
        </w:tabs>
        <w:rPr>
          <w:sz w:val="20"/>
          <w:szCs w:val="20"/>
          <w:color w:val="auto"/>
        </w:rPr>
      </w:pPr>
      <w:r>
        <w:rPr>
          <w:rFonts w:ascii="Arial" w:cs="Arial" w:eastAsia="Arial" w:hAnsi="Arial"/>
          <w:sz w:val="8"/>
          <w:szCs w:val="8"/>
          <w:color w:val="FFFFFF"/>
        </w:rPr>
        <w:t>(4)</w:t>
      </w:r>
      <w:r>
        <w:rPr>
          <w:sz w:val="20"/>
          <w:szCs w:val="20"/>
          <w:color w:val="auto"/>
        </w:rPr>
        <w:tab/>
      </w:r>
      <w:r>
        <w:rPr>
          <w:rFonts w:ascii="Arial" w:cs="Arial" w:eastAsia="Arial" w:hAnsi="Arial"/>
          <w:sz w:val="14"/>
          <w:szCs w:val="14"/>
          <w:color w:val="FFFFFF"/>
        </w:rPr>
        <w:t>As of market close on March 27, 2026.</w:t>
      </w:r>
    </w:p>
    <w:p>
      <w:pPr>
        <w:sectPr>
          <w:pgSz w:w="11880" w:h="15480" w:orient="portrait"/>
          <w:cols w:equalWidth="0" w:num="1">
            <w:col w:w="10326"/>
          </w:cols>
          <w:pgMar w:left="734" w:top="598" w:right="820" w:bottom="13" w:gutter="0" w:footer="0" w:header="0"/>
        </w:sectPr>
      </w:pPr>
    </w:p>
    <w:p>
      <w:pPr>
        <w:spacing w:after="0" w:line="200" w:lineRule="exact"/>
        <w:rPr>
          <w:sz w:val="20"/>
          <w:szCs w:val="20"/>
          <w:color w:val="auto"/>
        </w:rPr>
      </w:pPr>
    </w:p>
    <w:p>
      <w:pPr>
        <w:spacing w:after="0" w:line="398" w:lineRule="exact"/>
        <w:rPr>
          <w:sz w:val="20"/>
          <w:szCs w:val="20"/>
          <w:color w:val="auto"/>
        </w:rPr>
      </w:pPr>
    </w:p>
    <w:p>
      <w:pPr>
        <w:ind w:left="86"/>
        <w:spacing w:after="0"/>
        <w:tabs>
          <w:tab w:leader="none" w:pos="2705" w:val="left"/>
          <w:tab w:leader="none" w:pos="2865" w:val="left"/>
          <w:tab w:leader="none" w:pos="5085" w:val="left"/>
          <w:tab w:leader="none" w:pos="5245" w:val="left"/>
          <w:tab w:leader="none" w:pos="6765" w:val="left"/>
          <w:tab w:leader="none" w:pos="6925" w:val="left"/>
          <w:tab w:leader="none" w:pos="8125" w:val="left"/>
          <w:tab w:leader="none" w:pos="8285" w:val="left"/>
        </w:tabs>
        <w:rPr>
          <w:sz w:val="20"/>
          <w:szCs w:val="20"/>
          <w:color w:val="auto"/>
        </w:rPr>
      </w:pPr>
      <w:r>
        <w:rPr>
          <w:rFonts w:ascii="Arial" w:cs="Arial" w:eastAsia="Arial" w:hAnsi="Arial"/>
          <w:sz w:val="15"/>
          <w:szCs w:val="15"/>
          <w:color w:val="FFFFFF"/>
        </w:rPr>
        <w:t>MATADOR RESOURCES COMPANY</w:t>
        <w:tab/>
        <w:t>|</w:t>
        <w:tab/>
        <w:t>5400 LBJ Freeway, Suite 1500</w:t>
        <w:tab/>
        <w:t>|</w:t>
        <w:tab/>
        <w:t>Dallas, Texas 75240</w:t>
        <w:tab/>
        <w:t>|</w:t>
        <w:tab/>
        <w:t>(972) 371-5200</w:t>
        <w:tab/>
        <w:t>|</w:t>
        <w:tab/>
        <w:t>www.matadorresources.com</w:t>
      </w:r>
    </w:p>
    <w:sectPr>
      <w:pgSz w:w="11880" w:h="15480" w:orient="portrait"/>
      <w:cols w:equalWidth="0" w:num="1">
        <w:col w:w="10326"/>
      </w:cols>
      <w:pgMar w:left="734" w:top="598" w:right="820" w:bottom="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649BB77C"/>
    <w:multiLevelType w:val="hybridMultilevel"/>
    <w:lvl w:ilvl="0">
      <w:lvlJc w:val="left"/>
      <w:lvlText w:val="(%1)"/>
      <w:numFmt w:val="decimal"/>
      <w:start w:val="1"/>
    </w:lvl>
  </w:abstractNum>
  <w:abstractNum w:abstractNumId="1">
    <w:nsid w:val="275AC794"/>
    <w:multiLevelType w:val="hybridMultilevel"/>
    <w:lvl w:ilvl="0">
      <w:lvlJc w:val="left"/>
      <w:lvlText w:val="(%1)"/>
      <w:numFmt w:val="decimal"/>
      <w:start w:val="1"/>
    </w:lvl>
  </w:abstractNum>
  <w:abstractNum w:abstractNumId="2">
    <w:nsid w:val="39386575"/>
    <w:multiLevelType w:val="hybridMultilevel"/>
    <w:lvl w:ilvl="0">
      <w:lvlJc w:val="left"/>
      <w:lvlText w:val="%1"/>
      <w:numFmt w:val="decimal"/>
      <w:start w:val="1"/>
    </w:lvl>
    <w:lvl w:ilvl="1">
      <w:lvlJc w:val="left"/>
      <w:lvlText w:val="%2"/>
      <w:numFmt w:val="decimal"/>
      <w:start w:val="660"/>
    </w:lvl>
  </w:abstractNum>
  <w:abstractNum w:abstractNumId="3">
    <w:nsid w:val="1CF10FD8"/>
    <w:multiLevelType w:val="hybridMultilevel"/>
    <w:lvl w:ilvl="0">
      <w:lvlJc w:val="left"/>
      <w:lvlText w:val="(%1)"/>
      <w:numFmt w:val="decimal"/>
      <w:start w:val="1"/>
    </w:lvl>
    <w:lvl w:ilvl="1">
      <w:lvlJc w:val="left"/>
      <w:lvlText w:val="%2"/>
      <w:numFmt w:val="decimal"/>
      <w:start w:val="1"/>
    </w:lvl>
  </w:abstractNum>
  <w:abstractNum w:abstractNumId="4">
    <w:nsid w:val="180115BE"/>
    <w:multiLevelType w:val="hybridMultilevel"/>
    <w:lvl w:ilvl="0">
      <w:lvlJc w:val="left"/>
      <w:lvlText w:val="(%1)"/>
      <w:numFmt w:val="decimal"/>
      <w:start w:val="1"/>
    </w:lvl>
  </w:abstractNum>
  <w:abstractNum w:abstractNumId="5">
    <w:nsid w:val="235BA861"/>
    <w:multiLevelType w:val="hybridMultilevel"/>
    <w:lvl w:ilvl="0">
      <w:lvlJc w:val="left"/>
      <w:lvlText w:val="(%1)"/>
      <w:numFmt w:val="decimal"/>
      <w:start w:val="1"/>
    </w:lvl>
  </w:abstractNum>
  <w:abstractNum w:abstractNumId="6">
    <w:nsid w:val="47398C89"/>
    <w:multiLevelType w:val="hybridMultilevel"/>
    <w:lvl w:ilvl="0">
      <w:lvlJc w:val="left"/>
      <w:lvlText w:val="(%1)"/>
      <w:numFmt w:val="decimal"/>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2"/>
      <w:numFmt w:val="bullet"/>
      <w:start w:val="1"/>
    </w:lvl>
    <w:lvl w:ilvl="1">
      <w:lvlJc w:val="left"/>
      <w:lvlText w:val="•"/>
      <w:numFmt w:val="bullet"/>
      <w:start w:val="1"/>
    </w:lvl>
  </w:abstractNum>
  <w:abstractNum w:abstractNumId="11">
    <w:nsid w:val="10233C99"/>
    <w:multiLevelType w:val="hybridMultilevel"/>
    <w:lvl w:ilvl="0">
      <w:lvlJc w:val="left"/>
      <w:lvlText w:val="4"/>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6"/>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8"/>
      <w:numFmt w:val="bullet"/>
      <w:start w:val="1"/>
    </w:lvl>
    <w:lvl w:ilvl="1">
      <w:lvlJc w:val="left"/>
      <w:lvlText w:val="•"/>
      <w:numFmt w:val="bullet"/>
      <w:start w:val="1"/>
    </w:lvl>
  </w:abstractNum>
  <w:abstractNum w:abstractNumId="21">
    <w:nsid w:val="1DBABF00"/>
    <w:multiLevelType w:val="hybridMultilevel"/>
    <w:lvl w:ilvl="0">
      <w:lvlJc w:val="left"/>
      <w:lvlText w:val="(%1)"/>
      <w:numFmt w:val="decimal"/>
      <w:start w:val="1"/>
    </w:lvl>
  </w:abstractNum>
  <w:abstractNum w:abstractNumId="22">
    <w:nsid w:val="4AD084E9"/>
    <w:multiLevelType w:val="hybridMultilevel"/>
    <w:lvl w:ilvl="0">
      <w:lvlJc w:val="left"/>
      <w:lvlText w:val="(%1)"/>
      <w:numFmt w:val="decimal"/>
      <w:start w:val="1"/>
    </w:lvl>
  </w:abstractNum>
  <w:abstractNum w:abstractNumId="23">
    <w:nsid w:val="1F48EAA1"/>
    <w:multiLevelType w:val="hybridMultilevel"/>
    <w:lvl w:ilvl="0">
      <w:lvlJc w:val="left"/>
      <w:lvlText w:val="(%1)"/>
      <w:numFmt w:val="decimal"/>
      <w:start w:val="1"/>
    </w:lvl>
  </w:abstractNum>
  <w:abstractNum w:abstractNumId="24">
    <w:nsid w:val="1381823A"/>
    <w:multiLevelType w:val="hybridMultilevel"/>
    <w:lvl w:ilvl="0">
      <w:lvlJc w:val="left"/>
      <w:lvlText w:val="(%1)"/>
      <w:numFmt w:val="decimal"/>
      <w:start w:val="1"/>
    </w:lvl>
  </w:abstractNum>
  <w:abstractNum w:abstractNumId="25">
    <w:nsid w:val="5DB70AE5"/>
    <w:multiLevelType w:val="hybridMultilevel"/>
    <w:lvl w:ilvl="0">
      <w:lvlJc w:val="left"/>
      <w:lvlText w:val="(%1)"/>
      <w:numFmt w:val="decimal"/>
      <w:start w:val="1"/>
    </w:lvl>
  </w:abstractNum>
  <w:abstractNum w:abstractNumId="26">
    <w:nsid w:val="100F8FCA"/>
    <w:multiLevelType w:val="hybridMultilevel"/>
    <w:lvl w:ilvl="0">
      <w:lvlJc w:val="left"/>
      <w:lvlText w:val="(%1)"/>
      <w:numFmt w:val="decimal"/>
      <w:start w:val="1"/>
    </w:lvl>
  </w:abstractNum>
  <w:abstractNum w:abstractNumId="27">
    <w:nsid w:val="6590700B"/>
    <w:multiLevelType w:val="hybridMultilevel"/>
    <w:lvl w:ilvl="0">
      <w:lvlJc w:val="left"/>
      <w:lvlText w:val="(%1)"/>
      <w:numFmt w:val="decimal"/>
      <w:start w:val="1"/>
    </w:lvl>
  </w:abstractNum>
  <w:abstractNum w:abstractNumId="28">
    <w:nsid w:val="15014ACB"/>
    <w:multiLevelType w:val="hybridMultilevel"/>
    <w:lvl w:ilvl="0">
      <w:lvlJc w:val="left"/>
      <w:lvlText w:val="(%1)"/>
      <w:numFmt w:val="decimal"/>
      <w:start w:val="1"/>
    </w:lvl>
  </w:abstractNum>
  <w:abstractNum w:abstractNumId="29">
    <w:nsid w:val="5F5E7FD0"/>
    <w:multiLevelType w:val="hybridMultilevel"/>
    <w:lvl w:ilvl="0">
      <w:lvlJc w:val="left"/>
      <w:lvlText w:val="(%1)"/>
      <w:numFmt w:val="decimal"/>
      <w:start w:val="1"/>
    </w:lvl>
  </w:abstractNum>
  <w:abstractNum w:abstractNumId="30">
    <w:nsid w:val="98A3148"/>
    <w:multiLevelType w:val="hybridMultilevel"/>
    <w:lvl w:ilvl="0">
      <w:lvlJc w:val="left"/>
      <w:lvlText w:val="(%1)"/>
      <w:numFmt w:val="decimal"/>
      <w:start w:val="1"/>
    </w:lvl>
  </w:abstractNum>
  <w:abstractNum w:abstractNumId="31">
    <w:nsid w:val="799D0247"/>
    <w:multiLevelType w:val="hybridMultilevel"/>
    <w:lvl w:ilvl="0">
      <w:lvlJc w:val="left"/>
      <w:lvlText w:val="(%1)"/>
      <w:numFmt w:val="decimal"/>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1"/>
      <w:numFmt w:val="decimal"/>
      <w:start w:val="40"/>
    </w:lvl>
    <w:lvl w:ilvl="1">
      <w:lvlJc w:val="left"/>
      <w:lvlText w:val="•"/>
      <w:numFmt w:val="bullet"/>
      <w:start w:val="1"/>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
      <w:numFmt w:val="bullet"/>
      <w:start w:val="1"/>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
      <w:numFmt w:val="bullet"/>
      <w:start w:val="1"/>
    </w:lvl>
  </w:abstractNum>
  <w:abstractNum w:abstractNumId="41">
    <w:nsid w:val="613EFDC5"/>
    <w:multiLevelType w:val="hybridMultilevel"/>
    <w:lvl w:ilvl="0">
      <w:lvlJc w:val="left"/>
      <w:lvlText w:val="•"/>
      <w:numFmt w:val="bullet"/>
      <w:start w:val="1"/>
    </w:lvl>
  </w:abstractNum>
  <w:abstractNum w:abstractNumId="42">
    <w:nsid w:val="BF72B14"/>
    <w:multiLevelType w:val="hybridMultilevel"/>
    <w:lvl w:ilvl="0">
      <w:lvlJc w:val="left"/>
      <w:lvlText w:val="•"/>
      <w:numFmt w:val="bullet"/>
      <w:start w:val="1"/>
    </w:lvl>
  </w:abstractNum>
  <w:abstractNum w:abstractNumId="43">
    <w:nsid w:val="11447B73"/>
    <w:multiLevelType w:val="hybridMultilevel"/>
    <w:lvl w:ilvl="0">
      <w:lvlJc w:val="left"/>
      <w:lvlText w:val="•"/>
      <w:numFmt w:val="bullet"/>
      <w:start w:val="1"/>
    </w:lvl>
  </w:abstractNum>
  <w:abstractNum w:abstractNumId="44">
    <w:nsid w:val="42963E5A"/>
    <w:multiLevelType w:val="hybridMultilevel"/>
    <w:lvl w:ilvl="0">
      <w:lvlJc w:val="left"/>
      <w:lvlText w:val="•"/>
      <w:numFmt w:val="bullet"/>
      <w:start w:val="1"/>
    </w:lvl>
  </w:abstractNum>
  <w:abstractNum w:abstractNumId="45">
    <w:nsid w:val="A0382C5"/>
    <w:multiLevelType w:val="hybridMultilevel"/>
    <w:lvl w:ilvl="0">
      <w:lvlJc w:val="left"/>
      <w:lvlText w:val="•"/>
      <w:numFmt w:val="bullet"/>
      <w:start w:val="1"/>
    </w:lvl>
  </w:abstractNum>
  <w:abstractNum w:abstractNumId="46">
    <w:nsid w:val="8F2B15E"/>
    <w:multiLevelType w:val="hybridMultilevel"/>
    <w:lvl w:ilvl="0">
      <w:lvlJc w:val="left"/>
      <w:lvlText w:val="•"/>
      <w:numFmt w:val="bullet"/>
      <w:start w:val="1"/>
    </w:lvl>
  </w:abstractNum>
  <w:abstractNum w:abstractNumId="47">
    <w:nsid w:val="1A32234B"/>
    <w:multiLevelType w:val="hybridMultilevel"/>
    <w:lvl w:ilvl="0">
      <w:lvlJc w:val="left"/>
      <w:lvlText w:val="•"/>
      <w:numFmt w:val="bullet"/>
      <w:start w:val="1"/>
    </w:lvl>
  </w:abstractNum>
  <w:abstractNum w:abstractNumId="48">
    <w:nsid w:val="3B0FD379"/>
    <w:multiLevelType w:val="hybridMultilevel"/>
    <w:lvl w:ilvl="0">
      <w:lvlJc w:val="left"/>
      <w:lvlText w:val="•"/>
      <w:numFmt w:val="bullet"/>
      <w:start w:val="1"/>
    </w:lvl>
  </w:abstractNum>
  <w:abstractNum w:abstractNumId="49">
    <w:nsid w:val="68EB2F63"/>
    <w:multiLevelType w:val="hybridMultilevel"/>
    <w:lvl w:ilvl="0">
      <w:lvlJc w:val="left"/>
      <w:lvlText w:val="•"/>
      <w:numFmt w:val="bullet"/>
      <w:start w:val="1"/>
    </w:lvl>
  </w:abstractNum>
  <w:abstractNum w:abstractNumId="50">
    <w:nsid w:val="4962813B"/>
    <w:multiLevelType w:val="hybridMultilevel"/>
    <w:lvl w:ilvl="0">
      <w:lvlJc w:val="left"/>
      <w:lvlText w:val="(%1)"/>
      <w:numFmt w:val="lowerLetter"/>
      <w:start w:val="35"/>
    </w:lvl>
  </w:abstractNum>
  <w:abstractNum w:abstractNumId="51">
    <w:nsid w:val="60B6DF70"/>
    <w:multiLevelType w:val="hybridMultilevel"/>
    <w:lvl w:ilvl="0">
      <w:lvlJc w:val="left"/>
      <w:lvlText w:val="(%1)"/>
      <w:numFmt w:val="lowerLetter"/>
      <w:start w:val="25"/>
    </w:lvl>
  </w:abstractNum>
  <w:abstractNum w:abstractNumId="52">
    <w:nsid w:val="6A5EE64"/>
    <w:multiLevelType w:val="hybridMultilevel"/>
    <w:lvl w:ilvl="0">
      <w:lvlJc w:val="left"/>
      <w:lvlText w:val="•"/>
      <w:numFmt w:val="bullet"/>
      <w:start w:val="1"/>
    </w:lvl>
  </w:abstractNum>
  <w:abstractNum w:abstractNumId="53">
    <w:nsid w:val="14330624"/>
    <w:multiLevelType w:val="hybridMultilevel"/>
    <w:lvl w:ilvl="0">
      <w:lvlJc w:val="left"/>
      <w:lvlText w:val="%1"/>
      <w:numFmt w:val="decimal"/>
      <w:start w:val="52"/>
    </w:lvl>
    <w:lvl w:ilvl="1">
      <w:lvlJc w:val="left"/>
      <w:lvlText w:val="•"/>
      <w:numFmt w:val="bullet"/>
      <w:start w:val="1"/>
    </w:lvl>
  </w:abstractNum>
  <w:abstractNum w:abstractNumId="54">
    <w:nsid w:val="7FFFCA11"/>
    <w:multiLevelType w:val="hybridMultilevel"/>
    <w:lvl w:ilvl="0">
      <w:lvlJc w:val="left"/>
      <w:lvlText w:val="•"/>
      <w:numFmt w:val="bullet"/>
      <w:start w:val="1"/>
    </w:lvl>
  </w:abstractNum>
  <w:abstractNum w:abstractNumId="55">
    <w:nsid w:val="1A27709E"/>
    <w:multiLevelType w:val="hybridMultilevel"/>
    <w:lvl w:ilvl="0">
      <w:lvlJc w:val="left"/>
      <w:lvlText w:val="•"/>
      <w:numFmt w:val="bullet"/>
      <w:start w:val="1"/>
    </w:lvl>
  </w:abstractNum>
  <w:abstractNum w:abstractNumId="56">
    <w:nsid w:val="71EA1109"/>
    <w:multiLevelType w:val="hybridMultilevel"/>
    <w:lvl w:ilvl="0">
      <w:lvlJc w:val="left"/>
      <w:lvlText w:val="•"/>
      <w:numFmt w:val="bullet"/>
      <w:start w:val="1"/>
    </w:lvl>
  </w:abstractNum>
  <w:abstractNum w:abstractNumId="57">
    <w:nsid w:val="100F59DC"/>
    <w:multiLevelType w:val="hybridMultilevel"/>
    <w:lvl w:ilvl="0">
      <w:lvlJc w:val="left"/>
      <w:lvlText w:val="•"/>
      <w:numFmt w:val="bullet"/>
      <w:start w:val="1"/>
    </w:lvl>
  </w:abstractNum>
  <w:abstractNum w:abstractNumId="58">
    <w:nsid w:val="7FB7E0AA"/>
    <w:multiLevelType w:val="hybridMultilevel"/>
    <w:lvl w:ilvl="0">
      <w:lvlJc w:val="left"/>
      <w:lvlText w:val="•"/>
      <w:numFmt w:val="bullet"/>
      <w:start w:val="1"/>
    </w:lvl>
  </w:abstractNum>
  <w:abstractNum w:abstractNumId="59">
    <w:nsid w:val="6EB5BD4"/>
    <w:multiLevelType w:val="hybridMultilevel"/>
    <w:lvl w:ilvl="0">
      <w:lvlJc w:val="left"/>
      <w:lvlText w:val="•"/>
      <w:numFmt w:val="bullet"/>
      <w:start w:val="1"/>
    </w:lvl>
  </w:abstractNum>
  <w:abstractNum w:abstractNumId="60">
    <w:nsid w:val="6F6DD9AC"/>
    <w:multiLevelType w:val="hybridMultilevel"/>
    <w:lvl w:ilvl="0">
      <w:lvlJc w:val="left"/>
      <w:lvlText w:val="•"/>
      <w:numFmt w:val="bullet"/>
      <w:start w:val="1"/>
    </w:lvl>
  </w:abstractNum>
  <w:abstractNum w:abstractNumId="61">
    <w:nsid w:val="94211F2"/>
    <w:multiLevelType w:val="hybridMultilevel"/>
    <w:lvl w:ilvl="0">
      <w:lvlJc w:val="left"/>
      <w:lvlText w:val="•"/>
      <w:numFmt w:val="bullet"/>
      <w:start w:val="1"/>
    </w:lvl>
  </w:abstractNum>
  <w:abstractNum w:abstractNumId="62">
    <w:nsid w:val="885E1B"/>
    <w:multiLevelType w:val="hybridMultilevel"/>
    <w:lvl w:ilvl="0">
      <w:lvlJc w:val="left"/>
      <w:lvlText w:val="(%1)"/>
      <w:numFmt w:val="decimal"/>
      <w:start w:val="1"/>
    </w:lvl>
  </w:abstractNum>
  <w:abstractNum w:abstractNumId="63">
    <w:nsid w:val="76272110"/>
    <w:multiLevelType w:val="hybridMultilevel"/>
    <w:lvl w:ilvl="0">
      <w:lvlJc w:val="left"/>
      <w:lvlText w:val="•"/>
      <w:numFmt w:val="bullet"/>
      <w:start w:val="1"/>
    </w:lvl>
  </w:abstractNum>
  <w:abstractNum w:abstractNumId="64">
    <w:nsid w:val="4C04A8AF"/>
    <w:multiLevelType w:val="hybridMultilevel"/>
    <w:lvl w:ilvl="0">
      <w:lvlJc w:val="left"/>
      <w:lvlText w:val="(%1)"/>
      <w:numFmt w:val="decimal"/>
      <w:start w:val="1"/>
    </w:lvl>
  </w:abstractNum>
  <w:abstractNum w:abstractNumId="65">
    <w:nsid w:val="1716703B"/>
    <w:multiLevelType w:val="hybridMultilevel"/>
    <w:lvl w:ilvl="0">
      <w:lvlJc w:val="left"/>
      <w:lvlText w:val="(%1)"/>
      <w:numFmt w:val="decimal"/>
      <w:start w:val="1"/>
    </w:lvl>
  </w:abstractNum>
  <w:abstractNum w:abstractNumId="66">
    <w:nsid w:val="14E17E33"/>
    <w:multiLevelType w:val="hybridMultilevel"/>
    <w:lvl w:ilvl="0">
      <w:lvlJc w:val="left"/>
      <w:lvlText w:val="(%1)"/>
      <w:numFmt w:val="lowerRoman"/>
      <w:start w:val="2"/>
    </w:lvl>
  </w:abstractNum>
  <w:abstractNum w:abstractNumId="67">
    <w:nsid w:val="3222E7CD"/>
    <w:multiLevelType w:val="hybridMultilevel"/>
    <w:lvl w:ilvl="0">
      <w:lvlJc w:val="left"/>
      <w:lvlText w:val="(%1)"/>
      <w:numFmt w:val="decimal"/>
      <w:start w:val="1"/>
    </w:lvl>
  </w:abstractNum>
  <w:abstractNum w:abstractNumId="68">
    <w:nsid w:val="74DE0EE3"/>
    <w:multiLevelType w:val="hybridMultilevel"/>
    <w:lvl w:ilvl="0">
      <w:lvlJc w:val="left"/>
      <w:lvlText w:val="(%1)"/>
      <w:numFmt w:val="lowerLetter"/>
      <w:start w:val="1"/>
    </w:lvl>
  </w:abstractNum>
  <w:abstractNum w:abstractNumId="69">
    <w:nsid w:val="68EBC550"/>
    <w:multiLevelType w:val="hybridMultilevel"/>
    <w:lvl w:ilvl="0">
      <w:lvlJc w:val="left"/>
      <w:lvlText w:val="(%1)"/>
      <w:numFmt w:val="decimal"/>
      <w:start w:val="1"/>
    </w:lvl>
  </w:abstractNum>
  <w:abstractNum w:abstractNumId="70">
    <w:nsid w:val="2DF6D648"/>
    <w:multiLevelType w:val="hybridMultilevel"/>
    <w:lvl w:ilvl="0">
      <w:lvlJc w:val="left"/>
      <w:lvlText w:val="%1"/>
      <w:numFmt w:val="decimal"/>
      <w:start w:val="106"/>
    </w:lvl>
    <w:lvl w:ilvl="1">
      <w:lvlJc w:val="left"/>
      <w:lvlText w:val="%2."/>
      <w:numFmt w:val="decimal"/>
      <w:start w:val="1"/>
    </w:lvl>
  </w:abstractNum>
  <w:abstractNum w:abstractNumId="71">
    <w:nsid w:val="46B7D447"/>
    <w:multiLevelType w:val="hybridMultilevel"/>
    <w:lvl w:ilvl="0">
      <w:lvlJc w:val="left"/>
      <w:lvlText w:val="%1"/>
      <w:numFmt w:val="decimal"/>
      <w:start w:val="110"/>
    </w:lvl>
  </w:abstractNum>
  <w:abstractNum w:abstractNumId="72">
    <w:nsid w:val="4A2AC315"/>
    <w:multiLevelType w:val="hybridMultilevel"/>
    <w:lvl w:ilvl="0">
      <w:lvlJc w:val="left"/>
      <w:lvlText w:val="%1"/>
      <w:numFmt w:val="decimal"/>
      <w:start w:val="97"/>
    </w:lvl>
  </w:abstractNum>
  <w:abstractNum w:abstractNumId="73">
    <w:nsid w:val="39EE015C"/>
    <w:multiLevelType w:val="hybridMultilevel"/>
    <w:lvl w:ilvl="0">
      <w:lvlJc w:val="left"/>
      <w:lvlText w:val="%1"/>
      <w:numFmt w:val="decimal"/>
      <w:start w:val="101"/>
    </w:lvl>
  </w:abstractNum>
  <w:abstractNum w:abstractNumId="74">
    <w:nsid w:val="57FC4FBB"/>
    <w:multiLevelType w:val="hybridMultilevel"/>
    <w:lvl w:ilvl="0">
      <w:lvlJc w:val="left"/>
      <w:lvlText w:val="†"/>
      <w:numFmt w:val="bullet"/>
      <w:start w:val="1"/>
    </w:lvl>
  </w:abstractNum>
  <w:abstractNum w:abstractNumId="75">
    <w:nsid w:val="CC1016F"/>
    <w:multiLevelType w:val="hybridMultilevel"/>
    <w:lvl w:ilvl="0">
      <w:lvlJc w:val="left"/>
      <w:lvlText w:val="*"/>
      <w:numFmt w:val="bullet"/>
      <w:start w:val="1"/>
    </w:lvl>
  </w:abstractNum>
  <w:abstractNum w:abstractNumId="76">
    <w:nsid w:val="43F18422"/>
    <w:multiLevelType w:val="hybridMultilevel"/>
    <w:lvl w:ilvl="0">
      <w:lvlJc w:val="left"/>
      <w:lvlText w:val="%1"/>
      <w:numFmt w:val="lowerLetter"/>
      <w:start w:val="1"/>
    </w:lvl>
    <w:lvl w:ilvl="1">
      <w:lvlJc w:val="left"/>
      <w:lvlText w:val="(%2)"/>
      <w:numFmt w:val="lowerLetter"/>
      <w:start w:val="1"/>
    </w:lvl>
  </w:abstractNum>
  <w:abstractNum w:abstractNumId="77">
    <w:nsid w:val="60EF0119"/>
    <w:multiLevelType w:val="hybridMultilevel"/>
    <w:lvl w:ilvl="0">
      <w:lvlJc w:val="left"/>
      <w:lvlText w:val="(%1)"/>
      <w:numFmt w:val="lowerLetter"/>
      <w:start w:val="4"/>
    </w:lvl>
    <w:lvl w:ilvl="1">
      <w:lvlJc w:val="left"/>
      <w:lvlText w:val="%2"/>
      <w:numFmt w:val="lowerLetter"/>
      <w:start w:val="1"/>
    </w:lvl>
  </w:abstractNum>
  <w:abstractNum w:abstractNumId="78">
    <w:nsid w:val="26F324BA"/>
    <w:multiLevelType w:val="hybridMultilevel"/>
    <w:lvl w:ilvl="0">
      <w:lvlJc w:val="left"/>
      <w:lvlText w:val="(%1)"/>
      <w:numFmt w:val="decimal"/>
      <w:start w:val="1"/>
    </w:lvl>
  </w:abstractNum>
  <w:abstractNum w:abstractNumId="79">
    <w:nsid w:val="7F01579B"/>
    <w:multiLevelType w:val="hybridMultilevel"/>
    <w:lvl w:ilvl="0">
      <w:lvlJc w:val="left"/>
      <w:lvlText w:val="(%1)"/>
      <w:numFmt w:val="decimal"/>
      <w:start w:val="1"/>
    </w:lvl>
  </w:abstractNum>
  <w:abstractNum w:abstractNumId="80">
    <w:nsid w:val="49DA307D"/>
    <w:multiLevelType w:val="hybridMultilevel"/>
    <w:lvl w:ilvl="0">
      <w:lvlJc w:val="left"/>
      <w:lvlText w:val="(%1)"/>
      <w:numFmt w:val="lowerRoman"/>
      <w:start w:val="10"/>
    </w:lvl>
  </w:abstractNum>
  <w:abstractNum w:abstractNumId="81">
    <w:nsid w:val="7055A5F5"/>
    <w:multiLevelType w:val="hybridMultilevel"/>
    <w:lvl w:ilvl="0">
      <w:lvlJc w:val="left"/>
      <w:lvlText w:val="•"/>
      <w:numFmt w:val="bullet"/>
      <w:start w:val="1"/>
    </w:lvl>
  </w:abstractNum>
  <w:abstractNum w:abstractNumId="82">
    <w:nsid w:val="5FB8370B"/>
    <w:multiLevelType w:val="hybridMultilevel"/>
    <w:lvl w:ilvl="0">
      <w:lvlJc w:val="left"/>
      <w:lvlText w:val="•"/>
      <w:numFmt w:val="bullet"/>
      <w:start w:val="1"/>
    </w:lvl>
  </w:abstractNum>
  <w:abstractNum w:abstractNumId="83">
    <w:nsid w:val="50801EE1"/>
    <w:multiLevelType w:val="hybridMultilevel"/>
    <w:lvl w:ilvl="0">
      <w:lvlJc w:val="left"/>
      <w:lvlText w:val="•"/>
      <w:numFmt w:val="bullet"/>
      <w:start w:val="1"/>
    </w:lvl>
  </w:abstractNum>
  <w:abstractNum w:abstractNumId="84">
    <w:nsid w:val="488AC1A"/>
    <w:multiLevelType w:val="hybridMultilevel"/>
    <w:lvl w:ilvl="0">
      <w:lvlJc w:val="left"/>
      <w:lvlText w:val="•"/>
      <w:numFmt w:val="bullet"/>
      <w:start w:val="1"/>
    </w:lvl>
  </w:abstractNum>
  <w:abstractNum w:abstractNumId="85">
    <w:nsid w:val="5FB8011C"/>
    <w:multiLevelType w:val="hybridMultilevel"/>
    <w:lvl w:ilvl="0">
      <w:lvlJc w:val="left"/>
      <w:lvlText w:val="•"/>
      <w:numFmt w:val="bullet"/>
      <w:start w:val="1"/>
    </w:lvl>
  </w:abstractNum>
  <w:abstractNum w:abstractNumId="86">
    <w:nsid w:val="6AA78F7F"/>
    <w:multiLevelType w:val="hybridMultilevel"/>
    <w:lvl w:ilvl="0">
      <w:lvlJc w:val="left"/>
      <w:lvlText w:val="•"/>
      <w:numFmt w:val="bullet"/>
      <w:start w:val="1"/>
    </w:lvl>
  </w:abstractNum>
  <w:abstractNum w:abstractNumId="87">
    <w:nsid w:val="7672BD23"/>
    <w:multiLevelType w:val="hybridMultilevel"/>
    <w:lvl w:ilvl="0">
      <w:lvlJc w:val="left"/>
      <w:lvlText w:val="•"/>
      <w:numFmt w:val="bullet"/>
      <w:start w:val="1"/>
    </w:lvl>
  </w:abstractNum>
  <w:abstractNum w:abstractNumId="88">
    <w:nsid w:val="6FC75AF8"/>
    <w:multiLevelType w:val="hybridMultilevel"/>
    <w:lvl w:ilvl="0">
      <w:lvlJc w:val="left"/>
      <w:lvlText w:val="•"/>
      <w:numFmt w:val="bullet"/>
      <w:start w:val="1"/>
    </w:lvl>
  </w:abstractNum>
  <w:abstractNum w:abstractNumId="89">
    <w:nsid w:val="6A5F7029"/>
    <w:multiLevelType w:val="hybridMultilevel"/>
    <w:lvl w:ilvl="0">
      <w:lvlJc w:val="left"/>
      <w:lvlText w:val="•"/>
      <w:numFmt w:val="bullet"/>
      <w:start w:val="1"/>
    </w:lvl>
  </w:abstractNum>
  <w:abstractNum w:abstractNumId="90">
    <w:nsid w:val="7D5E18F8"/>
    <w:multiLevelType w:val="hybridMultilevel"/>
    <w:lvl w:ilvl="0">
      <w:lvlJc w:val="left"/>
      <w:lvlText w:val="•"/>
      <w:numFmt w:val="bullet"/>
      <w:start w:val="1"/>
    </w:lvl>
  </w:abstractNum>
  <w:abstractNum w:abstractNumId="91">
    <w:nsid w:val="5F3534A4"/>
    <w:multiLevelType w:val="hybridMultilevel"/>
    <w:lvl w:ilvl="0">
      <w:lvlJc w:val="left"/>
      <w:lvlText w:val="•"/>
      <w:numFmt w:val="bullet"/>
      <w:start w:val="1"/>
    </w:lvl>
  </w:abstractNum>
  <w:abstractNum w:abstractNumId="92">
    <w:nsid w:val="73A1821B"/>
    <w:multiLevelType w:val="hybridMultilevel"/>
    <w:lvl w:ilvl="0">
      <w:lvlJc w:val="left"/>
      <w:lvlText w:val="•"/>
      <w:numFmt w:val="bullet"/>
      <w:start w:val="1"/>
    </w:lvl>
  </w:abstractNum>
  <w:abstractNum w:abstractNumId="93">
    <w:nsid w:val="7DE67713"/>
    <w:multiLevelType w:val="hybridMultilevel"/>
    <w:lvl w:ilvl="0">
      <w:lvlJc w:val="left"/>
      <w:lvlText w:val="(%1)"/>
      <w:numFmt w:val="decimal"/>
      <w:start w:val="1"/>
    </w:lvl>
  </w:abstractNum>
  <w:abstractNum w:abstractNumId="94">
    <w:nsid w:val="555C55B5"/>
    <w:multiLevelType w:val="hybridMultilevel"/>
    <w:lvl w:ilvl="0">
      <w:lvlJc w:val="left"/>
      <w:lvlText w:val="(%1)"/>
      <w:numFmt w:val="decimal"/>
      <w:start w:val="1"/>
    </w:lvl>
  </w:abstractNum>
  <w:abstractNum w:abstractNumId="95">
    <w:nsid w:val="3FA62ACA"/>
    <w:multiLevelType w:val="hybridMultilevel"/>
    <w:lvl w:ilvl="0">
      <w:lvlJc w:val="left"/>
      <w:lvlText w:val="(%1)"/>
      <w:numFmt w:val="decimal"/>
      <w:start w:val="1"/>
    </w:lvl>
  </w:abstractNum>
  <w:abstractNum w:abstractNumId="96">
    <w:nsid w:val="14FCE74E"/>
    <w:multiLevelType w:val="hybridMultilevel"/>
    <w:lvl w:ilvl="0">
      <w:lvlJc w:val="left"/>
      <w:lvlText w:val="(%1)"/>
      <w:numFmt w:val="decimal"/>
      <w:start w:val="1"/>
    </w:lvl>
  </w:abstractNum>
  <w:abstractNum w:abstractNumId="97">
    <w:nsid w:val="6A3DD3E8"/>
    <w:multiLevelType w:val="hybridMultilevel"/>
    <w:lvl w:ilvl="0">
      <w:lvlJc w:val="left"/>
      <w:lvlText w:val="(%1)"/>
      <w:numFmt w:val="decimal"/>
      <w:start w:val="1"/>
    </w:lvl>
  </w:abstractNum>
  <w:abstractNum w:abstractNumId="98">
    <w:nsid w:val="71C91298"/>
    <w:multiLevelType w:val="hybridMultilevel"/>
    <w:lvl w:ilvl="0">
      <w:lvlJc w:val="left"/>
      <w:lvlText w:val="(%1)"/>
      <w:numFmt w:val="decimal"/>
      <w:start w:val="1"/>
    </w:lvl>
  </w:abstractNum>
  <w:abstractNum w:abstractNumId="99">
    <w:nsid w:val="9DAF632"/>
    <w:multiLevelType w:val="hybridMultilevel"/>
    <w:lvl w:ilvl="0">
      <w:lvlJc w:val="left"/>
      <w:lvlText w:val="(%1)"/>
      <w:numFmt w:val="decimal"/>
      <w:start w:val="1"/>
    </w:lvl>
  </w:abstractNum>
  <w:abstractNum w:abstractNumId="100">
    <w:nsid w:val="53299938"/>
    <w:multiLevelType w:val="hybridMultilevel"/>
    <w:lvl w:ilvl="0">
      <w:lvlJc w:val="left"/>
      <w:lvlText w:val="%1."/>
      <w:numFmt w:val="decimal"/>
      <w:start w:val="1"/>
    </w:lvl>
    <w:lvl w:ilvl="1">
      <w:lvlJc w:val="left"/>
      <w:lvlText w:val="%2."/>
      <w:numFmt w:val="lowerLetter"/>
      <w:start w:val="1"/>
    </w:lvl>
  </w:abstractNum>
  <w:abstractNum w:abstractNumId="101">
    <w:nsid w:val="1FBFE8E0"/>
    <w:multiLevelType w:val="hybridMultilevel"/>
    <w:lvl w:ilvl="0">
      <w:lvlJc w:val="left"/>
      <w:lvlText w:val="%1."/>
      <w:numFmt w:val="decimal"/>
      <w:start w:val="1"/>
    </w:lvl>
    <w:lvl w:ilvl="1">
      <w:lvlJc w:val="left"/>
      <w:lvlText w:val="%2."/>
      <w:numFmt w:val="lowerLetter"/>
      <w:start w:val="1"/>
    </w:lvl>
  </w:abstractNum>
  <w:abstractNum w:abstractNumId="102">
    <w:nsid w:val="5092CA79"/>
    <w:multiLevelType w:val="hybridMultilevel"/>
    <w:lvl w:ilvl="0">
      <w:lvlJc w:val="left"/>
      <w:lvlText w:val="(%1)"/>
      <w:numFmt w:val="decimal"/>
      <w:start w:val="1"/>
    </w:lvl>
  </w:abstractNum>
  <w:abstractNum w:abstractNumId="103">
    <w:nsid w:val="1D545C4D"/>
    <w:multiLevelType w:val="hybridMultilevel"/>
    <w:lvl w:ilvl="0">
      <w:lvlJc w:val="left"/>
      <w:lvlText w:val="(%1)"/>
      <w:numFmt w:val="decimal"/>
      <w:start w:val="1"/>
    </w:lvl>
  </w:abstractNum>
  <w:abstractNum w:abstractNumId="104">
    <w:nsid w:val="59ADEA3D"/>
    <w:multiLevelType w:val="hybridMultilevel"/>
    <w:lvl w:ilvl="0">
      <w:lvlJc w:val="left"/>
      <w:lvlText w:val="(%1)"/>
      <w:numFmt w:val="decimal"/>
      <w:start w:val="1"/>
    </w:lvl>
  </w:abstractNum>
  <w:abstractNum w:abstractNumId="105">
    <w:nsid w:val="288F1A34"/>
    <w:multiLevelType w:val="hybridMultilevel"/>
    <w:lvl w:ilvl="0">
      <w:lvlJc w:val="left"/>
      <w:lvlText w:val="(%1)"/>
      <w:numFmt w:val="decimal"/>
      <w:start w:val="800"/>
    </w:lvl>
  </w:abstractNum>
  <w:abstractNum w:abstractNumId="106">
    <w:nsid w:val="2A155DBC"/>
    <w:multiLevelType w:val="hybridMultilevel"/>
    <w:lvl w:ilvl="0">
      <w:lvlJc w:val="left"/>
      <w:lvlText w:val="•"/>
      <w:numFmt w:val="bullet"/>
      <w:start w:val="1"/>
    </w:lvl>
  </w:abstractNum>
  <w:abstractNum w:abstractNumId="107">
    <w:nsid w:val="1D9F6E5F"/>
    <w:multiLevelType w:val="hybridMultilevel"/>
    <w:lvl w:ilvl="0">
      <w:lvlJc w:val="left"/>
      <w:lvlText w:val="•"/>
      <w:numFmt w:val="bullet"/>
      <w:start w:val="1"/>
    </w:lvl>
  </w:abstractNum>
  <w:abstractNum w:abstractNumId="108">
    <w:nsid w:val="97E1B4E"/>
    <w:multiLevelType w:val="hybridMultilevel"/>
    <w:lvl w:ilvl="0">
      <w:lvlJc w:val="left"/>
      <w:lvlText w:val="•"/>
      <w:numFmt w:val="bullet"/>
      <w:start w:val="1"/>
    </w:lvl>
  </w:abstractNum>
  <w:abstractNum w:abstractNumId="109">
    <w:nsid w:val="51088277"/>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2026-05-02T00:11:37Z</dcterms:created>
  <dcterms:modified xsi:type="dcterms:W3CDTF">2026-05-02T00:11:37Z</dcterms:modified>
</cp:coreProperties>
</file>