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9.gif" ContentType="image/gif"/>
  <Override PartName="/word/media/image28.gif" ContentType="image/gif"/>
  <Override PartName="/word/media/image26.gif" ContentType="image/gif"/>
  <Override PartName="/word/media/image20.jpeg" ContentType="image/jpeg"/>
  <Override PartName="/word/media/image24.gif" ContentType="image/gif"/>
  <Override PartName="/word/media/image23.gif" ContentType="image/gif"/>
  <Override PartName="/word/media/image21.gif" ContentType="image/gif"/>
  <Override PartName="/word/media/image10.jpeg" ContentType="image/jpeg"/>
  <Override PartName="/word/media/image19.jpeg" ContentType="image/jpeg"/>
  <Override PartName="/word/media/image32.gif" ContentType="image/gif"/>
  <Override PartName="/word/media/image13.jpeg" ContentType="image/jpeg"/>
  <Override PartName="/word/media/image40.jpeg" ContentType="image/jpeg"/>
  <Override PartName="/word/media/image9.jpeg" ContentType="image/jpeg"/>
  <Override PartName="/word/media/image31.gif" ContentType="image/gif"/>
  <Override PartName="/word/media/image11.jpeg" ContentType="image/jpeg"/>
  <Override PartName="/word/media/image30.jpeg" ContentType="image/jpeg"/>
  <Override PartName="/word/media/image3.jpeg" ContentType="image/jpeg"/>
  <Override PartName="/word/media/image33.gif" ContentType="image/gif"/>
  <Override PartName="/word/media/image8.jpeg" ContentType="image/jpeg"/>
  <Override PartName="/word/media/image39.jpeg" ContentType="image/jpeg"/>
  <Override PartName="/word/media/image34.gif" ContentType="image/gif"/>
  <Override PartName="/word/media/image36.gif" ContentType="image/gif"/>
  <Override PartName="/word/media/image37.gif" ContentType="image/gif"/>
  <Override PartName="/word/media/image2.jpeg" ContentType="image/jpeg"/>
  <Override PartName="/word/media/image38.gif" ContentType="image/gif"/>
  <Override PartName="/word/media/image12.jpeg" ContentType="image/jpeg"/>
  <Override PartName="/word/media/image35.gif" ContentType="image/gif"/>
  <Override PartName="/word/media/image7.jpeg" ContentType="image/jpeg"/>
  <Override PartName="/word/media/image6.jpeg" ContentType="image/jpeg"/>
  <Override PartName="/word/media/image15.gif" ContentType="image/gif"/>
  <Override PartName="/word/media/image5.jpeg" ContentType="image/jpeg"/>
  <Override PartName="/word/media/image4.jpeg" ContentType="image/jpeg"/>
  <Override PartName="/word/media/image25.jpeg" ContentType="image/jpeg"/>
  <Override PartName="/word/media/image18.jpeg" ContentType="image/jpeg"/>
  <Override PartName="/word/media/image22.gif" ContentType="image/gif"/>
  <Override PartName="/word/media/image1.jpeg" ContentType="image/jpeg"/>
  <Override PartName="/word/media/image27.gif" ContentType="image/gif"/>
  <Override PartName="/word/media/image14.gif" ContentType="image/gif"/>
  <Override PartName="/word/media/image16.gif" ContentType="image/gif"/>
  <Override PartName="/word/media/image17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>Washington, D.C. 20549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 xml:space="preserve">Proxy Statement Pursuant to Section 14(a)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(Amendment No.  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Filed by the Registrant </w:t>
      </w:r>
      <w:r>
        <w:rPr>
          <w:caps w:val="false"/>
          <w:smallCaps w:val="false"/>
        </w:rPr>
        <w:t>☒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Filed by a Party other than the Registrant </w:t>
      </w:r>
      <w:r>
        <w:rPr>
          <w:caps w:val="false"/>
          <w:smallCaps w:val="false"/>
        </w:rPr>
        <w:t>☐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Check the appropriate box: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Preliminary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Definitive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Definitive Additional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Soliciting Material Pursuant to §240.14a-12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36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Payment of Filing Fee (Check the appropriate box):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☒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No fee required.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Fee paid previously with preliminary materials.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☐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Fee computed on table in exhibit required by Item 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7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41"/>
        <w:gridCol w:w="4651"/>
      </w:tblGrid>
      <w:tr>
        <w:trPr/>
        <w:tc>
          <w:tcPr>
            <w:tcW w:w="5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1" w:type="dxa"/>
            <w:vMerge w:val="restart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0" cy="140271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8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8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80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141" w:type="dxa"/>
            <w:vMerge w:val="continue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 xml:space="preserve">Notice of Annual Meeting of Shareholders </w:t>
            </w:r>
          </w:p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 xml:space="preserve">and </w:t>
            </w:r>
          </w:p>
        </w:tc>
      </w:tr>
      <w:tr>
        <w:trPr/>
        <w:tc>
          <w:tcPr>
            <w:tcW w:w="5141" w:type="dxa"/>
            <w:vMerge w:val="continue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51" w:type="dxa"/>
            <w:tcBorders>
              <w:left w:val="single" w:sz="8" w:space="0" w:color="000000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>June 12, 2025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>|  Dallas, Texas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286000" cy="100203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00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One Lincoln Centre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5400 LBJ Freeway, Suite 1500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Dallas, Texas 75240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www.matadorresources.com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NOTICE OF ANNUAL MEETING OF SHAREHOLDERS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To Be Held on June 12, 2025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To the Matador Resources Company Shareholders: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Please join us for the 2025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Annual Meeting of Shareholders of Matador Resources Company. The meeting will be held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The Westin Galleria Dallas, Fort Worth Ballroom, 13340 Dallas Parkway, Dallas, Texas 75240, on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Thursday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June 12,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,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at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9:30 a.m., Central Daylight Time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At the meeting, you will hear a report on our business and act on the following matters: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(1)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Election of the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four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nominees for director named in the attached Proxy Statement;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(2)Advisory vote to approve the compensation of our named executive officers as described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the atta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ched Proxy Statement;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(3)Ratification of the appointment of KPMG LLP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as the Company’s independent registered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public accounting firm for the year ending December 31, 2025; and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(4)Any other matters that may properly come before the meeting.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All shareholders of record at the close of business on April 16, 2025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are entitled to vote at the meeting or 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postponement or adjournment of the meeting. A list of the shareholders of record is available at the Company’s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offices in Dallas, Texas.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By Order of the Board of Directors,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57375" cy="3333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Joseph Wm. Foran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Chairman and Chief Executive Officer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28, 2025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YOUR VOTE IS IMPORTANT!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Whether or not you will attend the meeting, please vote as promptly as possible by using the Internet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or telephone or by signing, dating and returning your proxy card to the address listed on the card.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Important Notice Regarding the Availability of Proxy Materials for the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Annual Meeting of Shareholders to Be Held on June 12, 2025: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Our Proxy Statement and the Annual Report to Shareholders for the fiscal year ended December 31, 2024</w:t>
            </w:r>
            <w:r>
              <w:rPr>
                <w:caps w:val="false"/>
                <w:smallCaps w:val="false"/>
                <w:strike w:val="false"/>
                <w:dstrike w:val="false"/>
                <w:color w:val="231F20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 xml:space="preserve">available for viewing, printing and downloading at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color w:val="231F20"/>
                <w:sz w:val="20"/>
                <w:u w:val="single"/>
              </w:rPr>
              <w:t>https://materials.proxyvote.com/576485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31F20"/>
                <w:sz w:val="20"/>
                <w:u w:val="none"/>
                <w:effect w:val="none"/>
              </w:rPr>
              <w:t>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TABLE OF CONTENTS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TABLE OF CONTENTS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53"/>
        <w:gridCol w:w="556"/>
        <w:gridCol w:w="4494"/>
        <w:gridCol w:w="602"/>
      </w:tblGrid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</w:tc>
        <w:tc>
          <w:tcPr>
            <w:tcW w:w="4494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Proxy Statement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Letter to Shareholders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Proxy Summary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 Compensation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47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Information About the Annual Meeting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9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3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Proposal 1 | Election of Directors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Strategic Planning and Compensation Committee Report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65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kills &amp; Experience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Summary Compensation Table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65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3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Nominees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3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Grants of Plan-Based Awards Table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5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65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4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4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17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Outstanding Equity Awards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at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December 31, 2024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5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Directors Continuing in Office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5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18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Option Exercises and Stock Vested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68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Corporate Governance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Potential Payments upon Termination or Change in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Control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69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Independence of Directors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Chief Executive Officer Pay Ratio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6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73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Majority Vote in Director Elections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7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Pay Versus Performance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74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Leadership Structure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Compensation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78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Committees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27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2024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-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7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Board's Role in Risk Oversight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8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32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Stock Ownership Guidelines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79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Environmental, Social and Governance Practices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Equity Compensation Plan Information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80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Shareholder Engagement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7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Transactions with Related Persons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8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81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Communications with Directors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7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Security Ownership of Certain Beneficial Owners and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Management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85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Strategic Planning and Compensation Committee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Interlocks and Insider Participation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94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Additional Information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87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Executive Officers and Other Senior Officers of the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Company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0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Shareholder Proposals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for the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Proxy Statement</w:t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99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Proposal 2 | Advisory Vote to Approve Named Executive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Officer Compensation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Director Nominations or Other Business for Presentation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at the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Annual Meeting</w:t>
            </w:r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87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06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Annual Report on Form 10-K 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87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Proposal 3 | Ratification of the Appointment of KPMG LLP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Business</w:t>
              </w:r>
            </w:hyperlink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0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Fees of Independent Registered Public Accounting Firm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for Fiscal Years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and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2023</w:t>
            </w:r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1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Annex A Non-GAAP Financial Measures</w:t>
              </w:r>
            </w:hyperlink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21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5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Report of the Audit Committee</w:t>
              </w:r>
            </w:hyperlink>
          </w:p>
        </w:tc>
        <w:tc>
          <w:tcPr>
            <w:tcW w:w="5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18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44</w:t>
              </w:r>
            </w:hyperlink>
          </w:p>
        </w:tc>
        <w:tc>
          <w:tcPr>
            <w:tcW w:w="449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Vote Required</w:t>
              </w:r>
            </w:hyperlink>
          </w:p>
        </w:tc>
        <w:tc>
          <w:tcPr>
            <w:tcW w:w="5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0ba49e35038848938278809799065b2a_121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45</w:t>
              </w:r>
            </w:hyperlink>
          </w:p>
        </w:tc>
        <w:tc>
          <w:tcPr>
            <w:tcW w:w="449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www.matadorresources.com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PROXY STATEMENT For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 OF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To Be Held on June 12, 2025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 Proxy Statement is being mailed on or about April 28,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the shareholders of Matador Resources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(“Matador” or the “Company”) in connection with the solicitation of proxies by the Board of Directors (the “Board”)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to be voted at the Annual Meeting of Shareholders of the Company to be held at The Westin Galleria Dallas,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Fort Worth Ballroom, 13340 Dallas Parkway, Dallas, Texas 75240, on June 12, 2025, at 9:30 a.m., Central Daylight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(the “Annual Meeting” or the “2025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Meeting”), or at any postponement or adjournment thereof, for the purposes set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forth in the accompanying Notice of Annual Meeting of Shareholders. The address of the Company’s principal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office is One Lincoln Centre, 5400 LBJ Freeway, Suite 1500, Dallas, Texas 75240.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If you are a shareholder of record, you may vote in person by attending the meeting, by completing and returning a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mail or by using the Internet or telephone. You may vote your proxy by mail by marking your vote on the enclosed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proxy card and following the instructions on the card. To vote your proxy using the Internet or telephone, see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instructions on the proxy form and have the proxy form available when you access the Internet website or place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telephone call.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named proxies will vote your shares according to your directions. If you sign and return your proxy but do not make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of the selections, the named proxies will vote your shares: (i)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election of the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nominees for director as set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forth in this Proxy Statement, (ii)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approval, on an advisory basis, of the compensation of the Company’s named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officers as disclosed in this Proxy Statement and (iii)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ratification of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the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registered public accounting firm of the Company for the year ending December 31, 2025. Your proxy may be revoked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time before it is exercised by filing with the Company a written revocation addressed to the Corporate Secretary,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executing a proxy bearing a later date or by attending the Annual Meeting and voting in person.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cost of soliciting proxies will be borne by the Company. In addition to the use of postal services and the Internet,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proxies may be solicited by directors, officers and employees of the Company (none of whom will receive any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for any assistance they may provide in the solicitation of proxies) in person or by telephone.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outstanding voting securities of the Company consist of issued and outstanding common stock, par value $0.01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 (the “Common Stock”). The record date for the determination of the shareholders entitled to notice of and to vote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Annual Meeting, or any postponement or adjournment thereof, has been established by the Board as the close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on April 16,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(the “Record Date”). As of the Record Date, there were 125,201,846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and entitled to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presence, in person or by proxy, of the holders of record of a majority of the outstanding shares entitled to vote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necessary to constitute a quorum for the transaction of business at the Annual Meeting, but if a quorum should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present, the meeting may be adjourned from time to time until a quorum is obtained. A holder of Common Stock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entitled to one vote per share on each matter properly brought before the meeting. Cumulative voting is not permitted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proxy card provides space for a shareholder to abstain with respect to any or all nominees for the Board.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affirmative vote of a majority of the votes cast by holders of shares present in person or represented by proxy and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vote on the election of directors at the Annual Meeting is required for the election of each nominee for director.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 to the election of directors in an uncontested election, such as that being held at the Annual Meeting, “majority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votes cast” means the number of votes cast “for” the election of such nominee exceeds the number of votes cast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against” such nominee. See “Corporate Governance—Majority Vote in Director Elections” for additional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regarding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other proposals require the affirmative vote of a majority of the shares of Common Stock present in person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represented by proxy and entitled to vote at the meeting. Shares held by a shareholder who abstains from voting on any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all proposals will be included for the purpose of determining the presence of a quorum. Other than with respect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election of directors, an abstention will effectively count as a vote cast against the remaining proposals.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any matter as to which the broker has indicated on the proxy that it does not have discretionary authority to vote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treated as shares not entitled to vote with respect to that matter. However, such shares will be considered present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vote for quorum purposes so long as they are entitled to vote on at least one other matter.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This summary highlights information contained elsewhere in this Proxy Statement. This summary does not contain all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information that you should consider, and you should read the entire Proxy Statement carefully prior to voting.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more complete information regarding our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performance, please review our Annual Report on Form 10-K for the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December 31, 2024.</w:t>
      </w:r>
    </w:p>
    <w:p>
      <w:pPr>
        <w:pStyle w:val="TextBody"/>
        <w:bidi w:val="0"/>
        <w:spacing w:lineRule="atLeast" w:line="2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589"/>
          <w:sz w:val="26"/>
          <w:u w:val="none"/>
          <w:effect w:val="none"/>
        </w:rPr>
        <w:t>Annual Meeting of Shareholders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86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61"/>
        <w:gridCol w:w="109"/>
        <w:gridCol w:w="2026"/>
        <w:gridCol w:w="109"/>
        <w:gridCol w:w="1771"/>
        <w:gridCol w:w="109"/>
        <w:gridCol w:w="2386"/>
      </w:tblGrid>
      <w:tr>
        <w:trPr/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DATE AND TIME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LOCATION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RECORD DATE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2"/>
                <w:u w:val="none"/>
                <w:effect w:val="none"/>
              </w:rPr>
              <w:t>VOTING</w:t>
            </w:r>
          </w:p>
        </w:tc>
      </w:tr>
      <w:tr>
        <w:trPr/>
        <w:tc>
          <w:tcPr>
            <w:tcW w:w="216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June 12, 2025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at 9:30 a.m.,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Central Daylight Time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The Westin Galleria Dallas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Fort Worth Ballroom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13340 Dallas Parkway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Dallas, Texas 75240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April 16, 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6" w:type="dxa"/>
            <w:tcBorders/>
            <w:shd w:fill="8192B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Shareholders as of the close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of business on the Record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Date are entitled to vote. Each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share of Common Stock is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 xml:space="preserve">entitled to one vote at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Annual Meeting.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739"/>
        <w:gridCol w:w="2466"/>
      </w:tblGrid>
      <w:tr>
        <w:trPr/>
        <w:tc>
          <w:tcPr>
            <w:tcW w:w="7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739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Proposal</w:t>
            </w:r>
          </w:p>
        </w:tc>
        <w:tc>
          <w:tcPr>
            <w:tcW w:w="24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Board Recommendation</w:t>
            </w:r>
          </w:p>
        </w:tc>
      </w:tr>
      <w:tr>
        <w:trPr/>
        <w:tc>
          <w:tcPr>
            <w:tcW w:w="77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Election of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Four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Director Nominees (page </w:t>
            </w:r>
            <w:hyperlink w:anchor="i0ba49e35038848938278809799065b2a_2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13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2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  <w:tr>
        <w:trPr/>
        <w:tc>
          <w:tcPr>
            <w:tcW w:w="773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Advisory Vote to Approve Named Executive Officer Compensation (page </w:t>
            </w:r>
            <w:hyperlink w:anchor="i0ba49e35038848938278809799065b2a_103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42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)                                      </w:t>
            </w:r>
          </w:p>
        </w:tc>
        <w:tc>
          <w:tcPr>
            <w:tcW w:w="2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  <w:tr>
        <w:trPr/>
        <w:tc>
          <w:tcPr>
            <w:tcW w:w="773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Ratification of the Appointment of KPMG LLP as the Company’s Independent Registered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Accounting Firm 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(page </w:t>
            </w:r>
            <w:hyperlink w:anchor="i0ba49e35038848938278809799065b2a_112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43</w:t>
              </w:r>
            </w:hyperlink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2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8"/>
                <w:u w:val="none"/>
                <w:effect w:val="none"/>
              </w:rPr>
              <w:t>FOR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00548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Business Highlights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 are pleased to report that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another exceptional year for Matador, including record operational and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results, a growing Delaware Basin acreage position, record proved oil and natural gas reserves and a fixed dividend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 again in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Acquisition and Integration of Ameredev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key highlight in 2024 was the acquisition of Ameredev Stateline II, LLC ("Ameredev") from affiliates of EnCap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Investments L.P. (“EnCap”) for cash consideration of approximately $1.8 billion, which amount is subject to customary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post-closing adjustments (the “Ameredev Acquisition”). The Ameredev Acquisition added approximately 33,500 contiguous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net acres in the core of the northern Delaware Basin, provided a significant increase in our drilling inventory with 431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gross (371 net) operated locations, including prospective targets throughout the Wolfcamp and Bone Spring formations,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more than 25,000 BOE per day in production. Since closing the transaction on September 18, 2024, we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hard at work integrating the Ameredev properties, and our efforts have already resulted in at least $4 million in drilling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completion cost synergies. Over the next five years, we expect additional drilling and completion cost synergies of over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$150 million. In addition, we estimate that we have reduced lease operating expenses on the Ameredev acreage by 35%,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more than $2 million per month, since we began operating the Ameredev assets. The Ameredev Acquisition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included an approximate 19% equity interest in the parent company of Piñon Midstream, LLC (“Piñon”).  Piñon 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acquired by Enterprise Products Partners L.P. on October 28, 2024, and Matador received approximately $115 million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its share of the sale proceeds in 2024.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Growing Midstream Business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significant upstream growth, our midstream business remains a critical part of Matador's success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.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December 2024, Matador contributed Pronto Midstream, LLC ("Pronto") to San Mateo Midstream, LLC ("San Mateo"),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resulted in Matador receiving $219.8 million in cash and the ability to earn up to $75 million in additional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incentives (the "Pronto Transaction").</w:t>
      </w: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Pronto Transaction included Pronto's interest in its existing Marlan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natural gas processing plant (the "Marlan Plant") with a designed inlet capacity of 60 million cubic feet per day of natural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gas. The Marlan Plant expansion will add an additional plant with a designed inlet capacity of 200 million cubic feet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natural gas per day. The Marlan Plant expansion remains on time and on budget and is expected to be online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second quarter of 2025. In addition to the financial benefits mentioned above, the Pronto Transaction also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increased flow assurance for Matador’s production, primarily in Lea County, New Mexico, and accelerates filling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Marlan Plant to capacity.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Operational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Matador achieved record growth in 2024 while continuing to demonstrate excellence in capital efficiency improvement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technical innovation.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  <w:t>Production Growth</w:t>
      </w:r>
    </w:p>
    <w:tbl>
      <w:tblPr>
        <w:tblW w:w="56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81"/>
        <w:gridCol w:w="109"/>
        <w:gridCol w:w="2131"/>
        <w:gridCol w:w="109"/>
        <w:gridCol w:w="1906"/>
      </w:tblGrid>
      <w:tr>
        <w:trPr/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8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33%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26%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30%</w:t>
            </w:r>
          </w:p>
        </w:tc>
      </w:tr>
      <w:tr>
        <w:trPr/>
        <w:tc>
          <w:tcPr>
            <w:tcW w:w="138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natural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6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increase</w:t>
            </w:r>
            <w:r>
              <w:rPr>
                <w:caps w:val="false"/>
                <w:smallCaps w:val="false"/>
                <w:strike w:val="false"/>
                <w:dstrike w:val="false"/>
                <w:color w:val="00548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in 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daily oil equivalent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Matador's operational highlights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oil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36.5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barrels (“Bbl”) of oil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27.5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Bbl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oil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natural gas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155.8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cubic feet (“Bcf”) of natural gas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123.4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Bcf of natural gas produced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30%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 in average daily oil equivalent production to a record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170,751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BOE per day, including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99,808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Bbl of oil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 day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425.7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cubic feet (“MMcf”) of natural gas per day,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131,813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BOE per day, including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75,457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Bbl of oil per day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338.1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MMcf of natural gas per day,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Continued drilling of longer laterals, with an average completed lateral length for operated wells turned to sales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9,300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feet.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expenditures for drilling, completing and equipping wells (“D/C/E capital expenditures”)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$1.32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billion,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within our estimated range for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D/C/E capital expenditures of $1.15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 to $1.35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billion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provided on October 22, 2024.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Increased efficiencies and capital savings through the introduction of “trimul-frac” operations and continued use of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simul-frac” operations.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Capital Resources and Financial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Matador finished 2024 in the best financial shape in its history with nearly $1.6 billion in liquidity under the Company's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reserved-based lending credit facility (the "Credit Agreement") and a leverage ratio of 1.05x. As a result of this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strength and our commitment to return value to shareholders, in the fourth quarter of 2024, the Board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 Matador’s annual dividend to $1.00 per year from its prior annual dividend of $0.80 per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20"/>
          <w:u w:val="none"/>
          <w:effect w:val="none"/>
        </w:rPr>
        <w:t>Financial Strength</w:t>
      </w:r>
    </w:p>
    <w:tbl>
      <w:tblPr>
        <w:tblW w:w="64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41"/>
        <w:gridCol w:w="109"/>
        <w:gridCol w:w="2341"/>
        <w:gridCol w:w="109"/>
        <w:gridCol w:w="1516"/>
      </w:tblGrid>
      <w:tr>
        <w:trPr/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$1.6 Billion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$1.00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8" w:space="0" w:color="00548B"/>
              <w:left w:val="single" w:sz="8" w:space="0" w:color="00548B"/>
              <w:right w:val="single" w:sz="8" w:space="0" w:color="00548B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40"/>
                <w:u w:val="none"/>
                <w:effect w:val="none"/>
              </w:rPr>
              <w:t>1.05x</w:t>
            </w:r>
          </w:p>
        </w:tc>
      </w:tr>
      <w:tr>
        <w:trPr/>
        <w:tc>
          <w:tcPr>
            <w:tcW w:w="234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Liquidity under our Credit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Agreement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1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annualized dividend per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share in the fourth quarter</w:t>
            </w:r>
          </w:p>
        </w:tc>
        <w:tc>
          <w:tcPr>
            <w:tcW w:w="109" w:type="dxa"/>
            <w:tcBorders>
              <w:left w:val="single" w:sz="8" w:space="0" w:color="00548B"/>
              <w:right w:val="single" w:sz="8" w:space="0" w:color="00548B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left w:val="single" w:sz="8" w:space="0" w:color="00548B"/>
              <w:bottom w:val="single" w:sz="8" w:space="0" w:color="00548B"/>
              <w:right w:val="single" w:sz="8" w:space="0" w:color="00548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Leverage Ratio 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Matador's capital resources and financial highlights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generation of free cash flow in all four quarters of 2024.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our dividend policy in the fourth quarter of 2024, pursuant to which we increased the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dividend from $0.20 per share of Common Stock to $0.25 per share of Common Stock.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receipt of $219.8 million in special distributions from San Mateo as a result of the Pronto Transaction.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receipt of $23.8 million in performance incentives directly from Five Point Energy, LLC, our joint venture partner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San Mateo ("Five Point").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underwritten public offering of 5,250,000 shares of Common Stock.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repurchase of all of the aggregate principal amount of approximately $699.2 million of outstanding senior notes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due 2026 (the "2026 Notes") through our cash tender offer and subsequent exercise of our optional redemption right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April 2024.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issuance of $900.0 million in aggregate principal amount of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6.50% senior notes due 2032 (the “2032 Notes”).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issuance of $750.0 million in aggregate principal amount of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6.25% senior notes due 2033 (the “2033 Notes”).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spring and fall redeterminations under, and amendments of, our Credit Agreement to collectively (i) increase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base to $3.25 billion, as compared to $2.50 billion at December 31, 2023, (ii) increase the elected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commitment to $2.25 billion, as compared to $1.325 billion at December 31, 2023, (iii) increase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maximum facility amount to $3.50 billion, as compared to $2.00 billion at December 31, 2023, (iv) extend the maturity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 from October 31, 2026 to March 22, 2029 and (v) add five new banks to our lending group.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San Mateo's secured revolving credit facility (the "San Mateo Credit Facility") in November 2024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(i) increase the lender commitments from $535.0 million to $800.0 million, (ii) extend the maturity date from December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9, 2026 to November 26, 2029 and (iii) add six new banks to San Mateo’s lending group.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Environmental, Social and Governance Practices (page </w:t>
      </w:r>
      <w:hyperlink w:anchor="i0ba49e35038848938278809799065b2a_91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548B"/>
            <w:sz w:val="26"/>
            <w:u w:val="single"/>
            <w:effect w:val="none"/>
          </w:rPr>
          <w:t>32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Matador, we are committed to creating long-term value in a responsible manner. Our aim is to reliably and profitably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 the energy that society needs in a manner that is safe, protects the environment and is consistent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industry’s best practices and the highest applicable regulatory and legal standards. In alignment with this goal, Matador's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ESG-related initiatives are embedded into our operational plans and governance principles. Furthermore, they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overseen and supported by senior management and the Board’s Environmental, Social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Committee. Each year we issue Matador’s Sustainability Report, which includes quantitative metrics aligned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standards developed by the Sustainability Accounting Standards Board (“SASB”). For additional information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ESG-related efforts and performance, see “Corporate Governance—Environmental, Social and Governance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Practices” on page </w:t>
      </w:r>
      <w:hyperlink w:anchor="i0ba49e35038848938278809799065b2a_91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32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 Information included in our Sustainability Report is not incorporated into this Proxy Statement.</w:t>
      </w:r>
    </w:p>
    <w:p>
      <w:pPr>
        <w:pStyle w:val="TextBody"/>
        <w:bidi w:val="0"/>
        <w:spacing w:lineRule="atLeast" w:line="2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Director Nominees (page </w:t>
      </w:r>
      <w:hyperlink w:anchor="i0ba49e35038848938278809799065b2a_3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548B"/>
            <w:sz w:val="26"/>
            <w:u w:val="single"/>
            <w:effect w:val="none"/>
          </w:rPr>
          <w:t>14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currently has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members and is divided into three classes of directors, designated Class I, Class II and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III. Directors are elected for three-year terms. The table below provides certain summary information about each nominee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director named in this Proxy Statement: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0"/>
        <w:gridCol w:w="496"/>
        <w:gridCol w:w="983"/>
        <w:gridCol w:w="5724"/>
        <w:gridCol w:w="1532"/>
      </w:tblGrid>
      <w:tr>
        <w:trPr/>
        <w:tc>
          <w:tcPr>
            <w:tcW w:w="1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7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Name</w:t>
            </w:r>
          </w:p>
        </w:tc>
        <w:tc>
          <w:tcPr>
            <w:tcW w:w="49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Age</w:t>
            </w:r>
          </w:p>
        </w:tc>
        <w:tc>
          <w:tcPr>
            <w:tcW w:w="98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Director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Since</w:t>
            </w:r>
          </w:p>
        </w:tc>
        <w:tc>
          <w:tcPr>
            <w:tcW w:w="5724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Principal Occupation</w:t>
            </w:r>
          </w:p>
        </w:tc>
        <w:tc>
          <w:tcPr>
            <w:tcW w:w="1532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Memberships</w:t>
            </w:r>
          </w:p>
        </w:tc>
      </w:tr>
      <w:tr>
        <w:trPr/>
        <w:tc>
          <w:tcPr>
            <w:tcW w:w="14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Shelley F. Appel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</w:t>
            </w:r>
          </w:p>
        </w:tc>
        <w:tc>
          <w:tcPr>
            <w:tcW w:w="9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2023</w:t>
            </w:r>
          </w:p>
        </w:tc>
        <w:tc>
          <w:tcPr>
            <w:tcW w:w="57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 xml:space="preserve">Former Senior Investors Relations Officer and Mergers &amp; Acquisitions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Manager, Royal Dutch Shell PLC</w:t>
            </w:r>
          </w:p>
        </w:tc>
        <w:tc>
          <w:tcPr>
            <w:tcW w:w="15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CM,MM,P</w:t>
            </w:r>
          </w:p>
        </w:tc>
      </w:tr>
      <w:tr>
        <w:trPr/>
        <w:tc>
          <w:tcPr>
            <w:tcW w:w="14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R. Gaines Baty*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</w:t>
            </w:r>
          </w:p>
        </w:tc>
        <w:tc>
          <w:tcPr>
            <w:tcW w:w="9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2016</w:t>
            </w:r>
          </w:p>
        </w:tc>
        <w:tc>
          <w:tcPr>
            <w:tcW w:w="57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CEO, R. Gaines Baty Associates, Inc.</w:t>
            </w:r>
          </w:p>
        </w:tc>
        <w:tc>
          <w:tcPr>
            <w:tcW w:w="15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ESG,E,SPC</w:t>
            </w:r>
          </w:p>
        </w:tc>
      </w:tr>
      <w:tr>
        <w:trPr/>
        <w:tc>
          <w:tcPr>
            <w:tcW w:w="147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Paul W. Harvey*</w:t>
            </w:r>
          </w:p>
        </w:tc>
        <w:tc>
          <w:tcPr>
            <w:tcW w:w="4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</w:t>
            </w:r>
          </w:p>
        </w:tc>
        <w:tc>
          <w:tcPr>
            <w:tcW w:w="9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2025</w:t>
            </w:r>
          </w:p>
        </w:tc>
        <w:tc>
          <w:tcPr>
            <w:tcW w:w="572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Former Chief Investment Officer, Vaquero Private Wealth</w:t>
            </w:r>
          </w:p>
        </w:tc>
        <w:tc>
          <w:tcPr>
            <w:tcW w:w="153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A,CM,MM</w:t>
            </w:r>
          </w:p>
        </w:tc>
      </w:tr>
      <w:tr>
        <w:trPr/>
        <w:tc>
          <w:tcPr>
            <w:tcW w:w="14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Susan M. Ward*</w:t>
            </w:r>
          </w:p>
        </w:tc>
        <w:tc>
          <w:tcPr>
            <w:tcW w:w="4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</w:t>
            </w:r>
          </w:p>
        </w:tc>
        <w:tc>
          <w:tcPr>
            <w:tcW w:w="9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2024</w:t>
            </w:r>
          </w:p>
        </w:tc>
        <w:tc>
          <w:tcPr>
            <w:tcW w:w="572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Former Head, M&amp;A and Commercial Finance, Shell Oil Company</w:t>
            </w:r>
          </w:p>
        </w:tc>
        <w:tc>
          <w:tcPr>
            <w:tcW w:w="15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A,ESG,MM,O,P</w:t>
            </w:r>
          </w:p>
        </w:tc>
      </w:tr>
    </w:tbl>
    <w:tbl>
      <w:tblPr>
        <w:tblW w:w="5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6"/>
        <w:gridCol w:w="5281"/>
      </w:tblGrid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Independent Director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Audit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CM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 Markets and Finance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ESG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Environmental, Social and Corporate Governance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MM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Midstream and Marketing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Operations and Engineering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Prospect Committee</w:t>
            </w:r>
          </w:p>
        </w:tc>
      </w:tr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SPC</w:t>
            </w:r>
          </w:p>
        </w:tc>
        <w:tc>
          <w:tcPr>
            <w:tcW w:w="52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Strategic Planning and Compensation Committee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Executive Compensation Highlights (page </w:t>
      </w:r>
      <w:hyperlink w:anchor="i0ba49e35038848938278809799065b2a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548B"/>
            <w:sz w:val="26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)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Our Executive Compensation Philosophy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compensation program is designed to reward, in both the short term and the long term, performance that contributes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implementation of our business strategies, maintenance of our culture and values and achievement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objectives. We reward qualities that we believe help achieve our business strategies such as: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teamwork;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recruiting and mentoring future leaders within Matador to drive long-term shareholder value;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individual performance in light of general economic and industry-specific conditions;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relationships with shareholders and vendors;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level of job responsibility;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industry experience;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general professional growth;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ability to: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manage and enhance production from our existing assets;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explore new opportunities to increase oil and natural gas production;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identify and acquire additional acreage;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improve total shareholder returns;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increase year-over-year proved reserves;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control unit production costs;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pursue midstream opportunities.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a discussion of our executive compensation program, see “Executive Compensation—Compensation Discussion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and Analysis” beginning on page </w:t>
      </w:r>
      <w:hyperlink w:anchor="i0ba49e35038848938278809799065b2a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INFORMATION ABOUT THE ANNUAL MEETING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furnishing you this Proxy Statement in connection with the solicitation of proxies by the Board to be used at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and any adjournment thereof. The Annual Meeting will be held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Thursday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12,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9:30 a.m.,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Central Daylight Time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We are sending this Proxy Statement to our shareholders on or about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28,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references in this Proxy Statement to “we,” “our,” “us,” “Matador” or the “Company” refer to Matador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Company, including our subsidiaries and affiliates.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is the purpose of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At the Annual Meeting, shareholders will act upon the following matters outlined in the Annual Meeting notice: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election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nominees for director named in this Proxy Statement;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 advisory vote to approve the compensation of our named executive officers as described herein;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the Company’s independent registered public accounting firm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other matters that may properly come before the meeting.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are the Board’s voting recommendations?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election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four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nominees for director named in this Proxy Statement;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approval, on an advisory basis, of the compensation of the Company’s named executive officers;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as the Company’s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firm for the year ending December 31, 2025.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is entitled to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as of the close of business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eligible to vote their shares at the Annual Meeting.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Record Date, there were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125,201,846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our Common Stock outstanding. Each share of Common Stock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one vote at the Annual Meeting.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Why did I receive a Notice Regarding the Internet Availability of Proxy Materials in the mail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instead of a full set of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and Exchange Commission (“SEC”) rules allow companies to furnish proxy materials over the Internet.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elected to send a separate Notice of Internet Availability of Proxy Materials (the “Notice”) to most of our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instead of a paper copy of the proxy materials. This approach conserves natural resources and reduces the costs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printing and distributing our proxy materials while providing shareholders with a convenient way to access our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materials. Instructions on how to access the proxy materials over the Internet or to request a paper copy of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materials, including a proxy card or voting instruction form, may be found in the Notice. In addition, shareholders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request to receive future proxy materials in printed form by mail or electronically by email by following the instructions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Notice. A shareholder’s election to receive proxy materials by mail or email will remain in effect until the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terminates it.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do I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You may: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attend the Annual Meeting and vote in person;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dial the toll-free number listed on the Notice, proxy card or voting instruction form provided by your broker. Easy-to-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follow voice prompts allow you to vote your shares and confirm that your voting instructions have been properly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recorded. Telephone voting will be available 24 hours a day and will close at 11:59 p.m., Eastern Daylight Time,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June 11, 2025;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go to the website www.proxyvote.com and follow the instructions, then confirm that your voting instructions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properly recorded. If you vote using the website, you can request electronic delivery of future proxy materials. Internet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voting will be available 24 hours a day and will close at 11:59 p.m., Eastern Daylight Time, on June 11, 2025;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if you received a paper copy of your proxy materials and elect to vote by written submission, mark your selections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proxy card, date and sign it, and return the card in the pre-addressed, postage-paid envelope provided.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Why did I receive paper copies of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providing certain shareholders with paper copies of the proxy materials instead of a separate Notice. If you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a paper copy and would no longer like to receive printed proxy materials, you may consent to receive all future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proxy materials electronically via email or the Internet. To sign up for electronic delivery, please follow the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in your proxy materials. When prompted, indicate that you agree to receive or access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communications electronically in the future.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Will each shareholder in our household receive proxy materials?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Generally, no. To the extent you are receiving printed proxy materials, we try to provide only one set of proxy materials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 delivered to multiple shareholders sharing an address, unless you have given us other instructions. Any shareholder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shared address may request delivery of single or multiple copies of printed proxy materials for future meetings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contacting us at: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Attention: Investor Relations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Email: investors@matadorresources.com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Telephone: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(972) 371-5200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undertake to deliver promptly, upon written or oral request, a copy of proxy materials to a shareholder at a shared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address to which a single copy of the proxy materials was delivered. Requests should be directed to Investor Relations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address or phone number set forth above.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will be admitted to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Admission to the Annual Meeting will be limited to our shareholders of record, persons holding proxies from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shareholders, beneficial owners of our Common Stock and our employees. If your shares are registered in your name,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verify your ownership at the meeting in our list of shareholders as of the Record Date. If your shares are held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broker, bank or other nominee, you must bring proof of your ownership of the shares. This proof could consist of,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example, a bank or brokerage firm account statement or a letter from your bank or broker confirming your ownership as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Record Date. You may also send proof of ownership to us at Matador Resources Company, Attention: Corporate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Secretary,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or email: investors@matadorresources.com, before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Meeting, and we will send you an admission card.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If I vote via telephone or the Internet or by mailing my proxy card, may I still attend the Annual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Yes.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if I want to change my vote?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may revoke your proxy before it is voted by submitting a new proxy with a later date (by mail, telephone 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Internet), by voting at the Annual Meeting or by filing a written revocation with our Corporate Secretary. Your attendance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Annual Meeting will not automatically revoke your proxy.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What constitutes a quorum?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majority of the shares entitled to vote, present in person or represented by proxy, constitutes a quorum. If you vote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telephone or Internet or by returning your proxy card, you will be considered part of the quorum. The Inspector of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treat shares represented by a properly executed proxy as present at the meeting. Abstentions and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counted for purposes of determining a quorum. A broker non-vote occurs when a nominee holding shares for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 owner submits a proxy but does not vote on a particular proposal because the nominee does not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discretionary voting power for that item and has not received instructions from the beneficial owner.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many votes will be required to approve a proposal?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a majority of the votes cast by holders of shares of Common Stock present in person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represented by proxy and entitled to vote on the election of directors at the Annual Meeting is required for the election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nominee for director. With respect to the election of directors in an uncontested election, such as that being held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Annual Meeting, “majority of the votes cast” means the number of votes cast “for” such nominee exceeds the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votes cast “against” such nominee.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respect to all other matters, the affirmative vote of the holders of a majority of the shares of Common Stock,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person or represented by proxy and entitled to vote at the Annual Meeting, is required.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Shares cannot be voted at the Annual Meeting unless the holder of record is present in person or represented by proxy.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Can brokers who hold shares in street name vote those shares if they have received no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instructions?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rules of the New York Stock Exchange (“NYSE”), brokers may not vote the shares held by them in street name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their customers and for which they have not received instructions, except with respect to a routine matter. The only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 to be voted on at the Annual Meeting that is considered routine for these purposes is the ratification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appointment of our independent registered public accounting firm. Accordingly, brokers may not vote your shares on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matter if you have not given specific instructions as to how to vote. Please be sure to give specific voting instructions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your broker so that your vote will be counted.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How will you treat abstentions and broker non-votes?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a shareholder who abstains from voting on any or all proposals will be included for the purpose of determining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presence of a quorum. Other than with respect to the election of directors, an abstention will effectively count as a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cast against the remaining proposals. Broker non-votes on any matter, as to which the broker has indicated on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it does not have discretionary authority to vote, will be treated as shares not entitled to vote with respect to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matter. However, such shares will be considered present and entitled to vote for quorum purposes so long as they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entitled to vote on at least one other matter.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Who pays the solicitation expenses?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bear the cost of solicitation of proxies. Proxies may be solicited by mail or personally by our directors, officers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employees, none of whom will receive additional compensation for such solicitation. Those holding shares of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of record for the benefit of others, or nominee holders, are being asked to distribute proxy soliciting materials to,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request voting instructions from, the beneficial owners of such shares. We will reimburse nominee holders for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reasonable out-of-pocket expenses.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Where can I find the voting results of the Annual Meeting?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announce preliminary voting results at the Annual Meeting, and we will publish final results in a Current Report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 8-K that will be filed with the SEC within four business days of the Annual Meeting. You may obtain a copy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other reports free of charge at www.matadorresources.com, by contacting our Investor Relations Department at (972)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371-5200 or investors@matadorresources.com or by accessing the SEC’s website at www.sec.gov.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Will the Company’s independent registered public accounting firm be available at the Annual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Meeting to respond to questions?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5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Yes. The Audit Committee of the Board has appointed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serve 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accounting firm for the year ending December 31, 2025. Representatives of KPMG LLP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will be present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Meeting. They will have an opportunity to make a statement, if they desire to do so, and will be available to respond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appropriate questions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Where can I contact the Company?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6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mailing address is: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Matador Resources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Attention: Investor Relations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telephone number is (972) 371-5200.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1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| ELECTION OF DIRECTORS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currently consists of 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members and is divided into three classes of directors, designated Class I, Class II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Class III, with the term of office of each director ending on the date of the third annual meeting following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meeting at which such director’s class was elected. The number of directors in each class will be as nearly equal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possible. The Class I directors are William M. Byerley, Monika U. Ehrman and Kenneth L. Stewart, the terms of whom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continue until the 2027 Annual Meeting of Shareholders or his or her earlier death, retirement, resignation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removal. The Class II directors are Shelley F. Appel, R. Gaines Baty, Paul W. Harvey, James M. Howard and Susan M.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Ward.  Each of Mmes. Appel and Ward and Messrs. Baty and Harvey is a Class II director nominee at the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Meeting, in each case, to hold office until the 2028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 of Shareholders or his or her earlier death, retirement,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resignation or removal. Mr. Howard’s term will expire at the 2025 Annual Meeting. The Class III directors are Joseph Wm.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Foran, Reynald A. Baribault and Timothy E. Parker, the terms of whom will each continue until the 2026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Shareholders or his earlier death, retirement, resignation or removal.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believes that each of the director nominees possesses the qualifications described below in “Corporate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Governance—Board Committees—Nominating Committee.” That is, the Board believes that each nominee possesses: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deep experience at the policy making level in business, government or education;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availability and willingness to devote adequate time to Board duties;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character, judgment and ability to make independent analytical, probing and other inquiries;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 willingness to exercise independent judgment along with a willingness to listen and learn from others;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business knowledge and experience that provides a balance with the other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independence;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excellent past performance on the 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Skills &amp; Experience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7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04"/>
        <w:gridCol w:w="616"/>
        <w:gridCol w:w="676"/>
        <w:gridCol w:w="511"/>
        <w:gridCol w:w="616"/>
        <w:gridCol w:w="916"/>
        <w:gridCol w:w="766"/>
        <w:gridCol w:w="826"/>
        <w:gridCol w:w="736"/>
        <w:gridCol w:w="796"/>
        <w:gridCol w:w="811"/>
        <w:gridCol w:w="631"/>
      </w:tblGrid>
      <w:tr>
        <w:trPr/>
        <w:tc>
          <w:tcPr>
            <w:tcW w:w="2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Foran</w:t>
            </w:r>
          </w:p>
        </w:tc>
        <w:tc>
          <w:tcPr>
            <w:tcW w:w="67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Parker</w:t>
            </w:r>
          </w:p>
        </w:tc>
        <w:tc>
          <w:tcPr>
            <w:tcW w:w="51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Baty</w:t>
            </w:r>
          </w:p>
        </w:tc>
        <w:tc>
          <w:tcPr>
            <w:tcW w:w="6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Appel</w:t>
            </w:r>
          </w:p>
        </w:tc>
        <w:tc>
          <w:tcPr>
            <w:tcW w:w="91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Baribault</w:t>
            </w:r>
          </w:p>
        </w:tc>
        <w:tc>
          <w:tcPr>
            <w:tcW w:w="76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Byerley</w:t>
            </w:r>
          </w:p>
        </w:tc>
        <w:tc>
          <w:tcPr>
            <w:tcW w:w="82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Ehrman</w:t>
            </w:r>
          </w:p>
        </w:tc>
        <w:tc>
          <w:tcPr>
            <w:tcW w:w="73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Harvey</w:t>
            </w:r>
          </w:p>
        </w:tc>
        <w:tc>
          <w:tcPr>
            <w:tcW w:w="796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Howard</w:t>
            </w:r>
          </w:p>
        </w:tc>
        <w:tc>
          <w:tcPr>
            <w:tcW w:w="81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Stewart</w:t>
            </w:r>
          </w:p>
        </w:tc>
        <w:tc>
          <w:tcPr>
            <w:tcW w:w="631" w:type="dxa"/>
            <w:tcBorders>
              <w:bottom w:val="single" w:sz="8" w:space="0" w:color="1B60AE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Ward</w:t>
            </w:r>
          </w:p>
        </w:tc>
      </w:tr>
      <w:tr>
        <w:trPr/>
        <w:tc>
          <w:tcPr>
            <w:tcW w:w="10205" w:type="dxa"/>
            <w:gridSpan w:val="12"/>
            <w:tcBorders>
              <w:top w:val="single" w:sz="8" w:space="0" w:color="1B60AE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 Skills &amp; Experience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Leadership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Energy Industry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Finance &amp; Accounting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Human Capital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Management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Legal, Regulatory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Environmental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Risk Assessment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Management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Strategic Planning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Corporate Governance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Ethics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1B60AE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 Markets &amp; M&amp;A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0205" w:type="dxa"/>
            <w:gridSpan w:val="12"/>
            <w:tcBorders>
              <w:top w:val="single" w:sz="8" w:space="0" w:color="1B60AE"/>
              <w:bottom w:val="single" w:sz="8" w:space="0" w:color="1B60AE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Demographic Background</w:t>
            </w:r>
          </w:p>
        </w:tc>
      </w:tr>
      <w:tr>
        <w:trPr/>
        <w:tc>
          <w:tcPr>
            <w:tcW w:w="2304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Board Tenure</w:t>
            </w:r>
          </w:p>
        </w:tc>
        <w:tc>
          <w:tcPr>
            <w:tcW w:w="61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</w:t>
            </w:r>
          </w:p>
        </w:tc>
        <w:tc>
          <w:tcPr>
            <w:tcW w:w="67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511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61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91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76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82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73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  <w:tc>
          <w:tcPr>
            <w:tcW w:w="796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811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631" w:type="dxa"/>
            <w:tcBorders>
              <w:top w:val="single" w:sz="8" w:space="0" w:color="1B60AE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04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Age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1</w:t>
            </w:r>
            <w:r>
              <w:rPr>
                <w:caps w:val="false"/>
                <w:smallCaps w:val="false"/>
              </w:rPr>
              <w:t xml:space="preserve"> 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</w:t>
            </w:r>
          </w:p>
        </w:tc>
        <w:tc>
          <w:tcPr>
            <w:tcW w:w="67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</w:t>
            </w:r>
          </w:p>
        </w:tc>
        <w:tc>
          <w:tcPr>
            <w:tcW w:w="5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</w:t>
            </w:r>
          </w:p>
        </w:tc>
        <w:tc>
          <w:tcPr>
            <w:tcW w:w="6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</w:t>
            </w:r>
          </w:p>
        </w:tc>
        <w:tc>
          <w:tcPr>
            <w:tcW w:w="91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</w:t>
            </w:r>
          </w:p>
        </w:tc>
        <w:tc>
          <w:tcPr>
            <w:tcW w:w="7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</w:t>
            </w:r>
          </w:p>
        </w:tc>
        <w:tc>
          <w:tcPr>
            <w:tcW w:w="82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73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  <w:tc>
          <w:tcPr>
            <w:tcW w:w="79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</w:t>
            </w:r>
          </w:p>
        </w:tc>
        <w:tc>
          <w:tcPr>
            <w:tcW w:w="8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</w:t>
            </w:r>
          </w:p>
        </w:tc>
        <w:tc>
          <w:tcPr>
            <w:tcW w:w="6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 As of April 16, 2025.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Nominees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28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information provided below is biographical information about each of the nominees, as well as a description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experience, qualifications, attributes or skills that led the Board to conclude that the individual should be nominated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election as a director of the Company. No director currently holds any other directorships with public companies.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387"/>
        <w:gridCol w:w="933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S.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HELLEY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F. 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PPEL</w:t>
            </w:r>
          </w:p>
        </w:tc>
        <w:tc>
          <w:tcPr>
            <w:tcW w:w="6387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Senior Investors Relations Officer and Mergers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Acquisitions Manager, Royal Dutch Shell PLC</w:t>
            </w:r>
          </w:p>
        </w:tc>
        <w:tc>
          <w:tcPr>
            <w:tcW w:w="93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7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802130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02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Appel was appointed to the Board in 2023 after serving as a Special Advisor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the Board since October 2022. Since January 2021, Ms. Appel has also served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Matador’s ESG Coordinator. As ESG Coordinator, Ms. Appel is the primary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author of the Company’s annual sustainability report. Following her graduation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business school at the University of Chicago, Ms. Appel joined Royal Dutch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Shell PLC in August 2017 in the Mergers &amp; Acquisitions group, where she served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manager with responsibility for financial analysis—including valuation,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structuring, negotiation and due diligence—for over $18 billion of acquisition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divestment opportunities. In December 2019, Ms. Appel was promoted to Senior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Investor Relations Officer. In this role, Ms. Appel had responsibility for Shell’s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global Upstream business narrative. She also served as an authorized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spokesperson for Shell at investor meetings and conferences and managed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relationships with North America based investors and research analysts. Following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graduation from Yale and prior to attending the University of Chicago, Ms. Appel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began her career at the parent company of the New York Stock Exchange, NYSE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Euronext, as a business analyst in its Corporate Strategy group. She participated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the evaluation and implementation of its $11 billion merger with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Intercontinental Exchange Group and continued in the Corporate Strategy group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the combined company until June 2015. Ms. Appel holds a Bachelor of Arts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degree, with honors, in Cognitive Science from Yale University and a Master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Administration degree from the Booth School of Business (University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Chicago). Ms. Appel served as Co-Chair of the Energy Group while attending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University of Chicago.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Director since: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2023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35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Appel’s extensive knowledge and experience with the Company’s ESG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initiatives and investor relations experience provides the Board valuable insight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leadership on these matters.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5989"/>
        <w:gridCol w:w="1346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R. G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AINES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ATY</w:t>
            </w:r>
          </w:p>
        </w:tc>
        <w:tc>
          <w:tcPr>
            <w:tcW w:w="5989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CEO, R. Gaines Baty Associates, Inc.</w:t>
            </w:r>
          </w:p>
        </w:tc>
        <w:tc>
          <w:tcPr>
            <w:tcW w:w="134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 was appointed to the Board in 2016. He serves as deputy lead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 director and is chair of the Board’s Strategic Planning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Committee. Mr. Baty is CEO of R. Gaines Baty Associates, Inc.,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leading executive search firm he founded in 1982 after working with the IBM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Corporation. With over 30 years of experience, Mr. Baty has provided companies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across the country and in a variety of industries with executive search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advisory services. Mr. Baty has served as a two-term President of the Society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Recruiting Consultants and a two-term President of the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Recruiter Group. Mr. Baty is also a published author. Mr. Baty received a Bachelor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Business Administration degree from Texas Tech University, where he was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football team letterman, captain and, later, graduate assistant coach.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Deputy Lead Independent </w:t>
            </w:r>
          </w:p>
        </w:tc>
        <w:tc>
          <w:tcPr>
            <w:tcW w:w="733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2016</w:t>
            </w:r>
          </w:p>
        </w:tc>
        <w:tc>
          <w:tcPr>
            <w:tcW w:w="733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3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Baty’s experience and expertise in executive leadership and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provide our Board with an important and unique perspective on these matters,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Baty assists the Board and the Company with recruitment,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administration, compensation and growth strategies.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74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 (Chair)</w:t>
            </w:r>
          </w:p>
        </w:tc>
        <w:tc>
          <w:tcPr>
            <w:tcW w:w="733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</w:t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301"/>
        <w:gridCol w:w="1004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P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AUL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W. H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ARVEY</w:t>
            </w:r>
          </w:p>
        </w:tc>
        <w:tc>
          <w:tcPr>
            <w:tcW w:w="630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Former Chief Investment Officer, Vaquero Private Wealth</w:t>
            </w:r>
          </w:p>
        </w:tc>
        <w:tc>
          <w:tcPr>
            <w:tcW w:w="100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  <w:r>
              <w:rPr>
                <w:caps w:val="false"/>
                <w:smallCaps w:val="false"/>
                <w:strike w:val="false"/>
                <w:dstrike w:val="false"/>
                <w:color w:val="5087C6"/>
                <w:sz w:val="24"/>
                <w:u w:val="none"/>
                <w:effect w:val="none"/>
              </w:rPr>
              <w:t xml:space="preserve">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5410" cy="2075815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207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Harvey was appointed to the Board in 2025. Mr. Harvey is a Private Wealth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Advisor and former Chief Investment Officer of Vaquero Private Wealth. 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Harvey has more than four decades of investment experience as both a portfolio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manager and private wealth advisor with extensive experience in investment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selection, asset allocation and portfolio construction. Before joining Vaquero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Private Wealth, Mr. Harvey was a Managing Director of BlackRock, Inc., leading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large team of investment professionals responsible for high-net-worth individuals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institutions in twenty-nine states. In this capacity, he supported the design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investment solutions that included multi-asset strategies combining active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passive portfolios along with alternative investments. Previously, he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Regional Director and Portfolio Manager with Merrill Lynch Asset Management,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where he developed customized portfolios for individual clients and oversaw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regional team of portfolio managers.  Mr. Harvey earned his Master of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Administration degree with a concentration in Finance from Southern Methodist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University’s Cox School of Business and his Bachelor of Business Administration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degree in Finance from the University of Texas at Austin. He holds the Chartered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Analyst designation and has earned the Certified Private Wealth Advisor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66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0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Harvey's experience as an investment professional provides the Company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with valuable insight, particularly with respect to investor relations and capital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markets.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21"/>
        <w:gridCol w:w="6420"/>
        <w:gridCol w:w="975"/>
        <w:gridCol w:w="154"/>
      </w:tblGrid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 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USAN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M. 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ARD</w:t>
            </w:r>
          </w:p>
        </w:tc>
        <w:tc>
          <w:tcPr>
            <w:tcW w:w="6420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Head, M&amp;A and Commercial Finance, Shell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Company</w:t>
            </w:r>
          </w:p>
        </w:tc>
        <w:tc>
          <w:tcPr>
            <w:tcW w:w="975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Ward was appointed to the Board in 2024 and is co-chair of the Board's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Marketing and Midstream Committee. Ms. Ward is a former 12-year Senior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of Shell Oil Company (“Shell”) with over 20 years of service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retirement in 2019. Her senior roles at Shell included Head, M&amp;A and Commercial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Finance for all of Shell’s businesses in the Americas; Vice President,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Officer and Board member of Shell Midstream Partners, which she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helped take public for Shell in 2014; and Vice President, Upstream Commercial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Finance, Shell International Exploration &amp; Production B.V. while based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Hague for Royal Dutch Shell. She also served as a Board member of Shell’s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deepwater drillship joint venture with Noble Corporation. Ms. Ward has been 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independent, non-executive Board member of Crescent Midstream (“Crescent”)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since July 2023. Crescent is an independent energy company providing offshore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onshore crude oil services in the Gulf of Mexico and Louisiana. She also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served as an Independent Director of publicly traded TransAlta Renewables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headquartered in Calgary, Canada from May 2021 until October 2023 when it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purchased by its parent, TransAlta Corporation.  Prior to joining Shell in 1998, Ms.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Ward worked as an investment banker in the energy sector for 11 years,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Managing Director in the Natural Resources and Energy investment banking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group of UBS Securities. She began her career working for Exxon as a refining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process engineer and subsequently worked in Mobil’s Finance organization at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New York City headquarters. Ms. Ward earned a Bachelor of Chemical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 degree from Villanova University with honors and a Master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 Administration in Finance with distinction from the Wharton School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of Pennsylvania. She has served on Villanova’s Board of Trustees since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2018. She has been a member of the National Association of Corporate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since 2016.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Director since: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2024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Age: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66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Marketing and Midstream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(Co-Chair)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Ms. Ward’s extensive experience as a senior executive in the energy industry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midstream experience in particular provide our Board with industry,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leadership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3" name="Image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3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a majority of the votes cast by holders of shares present in person or represented by proxy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entitled to vote on the election of directors at the Annual Meeting is required for the election of each nominee for director.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respect to the election of directors in an uncontested election, such as that being held at the Annual Meeting,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majority of the votes cast” means the number of votes cast “for” such nominee exceeds the number of votes cast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against” such nominee. If you hold your shares through a broker and you do not instruct the broker how to vote,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 will not have the authority to vote your shares. Abstentions and broker non-votes will each be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purposes of determining the presence of a quorum.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The Board of Directors recommends that you vote FOR each of the nominees.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4" name="Image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1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Directors Continuing in Office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35" name="Image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35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Biographical information for our directors who are continuing in office is provided below.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1"/>
        <w:gridCol w:w="6252"/>
        <w:gridCol w:w="1128"/>
        <w:gridCol w:w="154"/>
      </w:tblGrid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J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 xml:space="preserve">OSEPH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6"/>
                <w:u w:val="none"/>
                <w:effect w:val="none"/>
              </w:rPr>
              <w:t xml:space="preserve">ORAN </w:t>
            </w:r>
          </w:p>
        </w:tc>
        <w:tc>
          <w:tcPr>
            <w:tcW w:w="6252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Chairman and CEO, Matador Resources Company</w:t>
            </w:r>
          </w:p>
        </w:tc>
        <w:tc>
          <w:tcPr>
            <w:tcW w:w="1128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2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Foran founded Matador Resources Company in July 2003 and since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founding has served as Chairman of the Board and Chief Executive Officer 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through March 31, 2022, Secretary. He is also chair of the Board’s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Committee. Mr. Foran began his career as an oil and natural gas independent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1983 when he and his wife, Nancy, founded Foran Oil Company with $270,000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contributed capital from 17 of his closest friends and neighbors. Foran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Company was later contributed into Matador Petroleum Corporation upon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formation by Mr. Foran in 1988, and Mr. Foran served as Chairman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Officer of that company from inception until the time of its sale to Tom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Brown, Inc. in June 2003 for an enterprise value of $388 million in an all-cash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transaction on a Friday. On the following Monday, Mr. Foran founded Matador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 (Matador II). Today, Matador is one of the top 20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exploration and production companies in the country by market capitalization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one of the top 10 oil and natural gas producers in New Mexico. Mr. Foran 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originally from Amarillo, Texas, where his family owned a pipeline construction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business. From 1980 to 1983, he was Vice President and General Counsel of J.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Cleo Thompson and James Cleo Thompson, Jr., Oil Producers, a large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independent producer. Prior to that time, he was a briefing attorney to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Justice Joe R. Greenhill of the Supreme Court of Texas. Mr. Foran graduated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 Bachelor of Science degree in Accounting from the University of Kentucky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highest honors and a law degree from the Southern Methodist University Dedman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School of Law, where he was a Hatton W. Sumners scholar and the Leading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Articles Editor on the Southwestern Law Review. He is currently active as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member of various industry and civic organizations, including his church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various youth activities. In 2002, Mr. Foran was honored as the Ernst &amp; Young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Entrepreneur of the Year” for the Southwest Region. In 2015, he was inducted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into the University of Kentucky Gatton College of Business and Economics Hall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Fame. In 2019, Mr. Foran received the SMU Dedman School of Law Distinguished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Alumni Award for Corporate Service and was named D CEO Magazine’s 2019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Upstream CEO of the Year. In 2020, he was inducted into the Philosophical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Society of Texas. He was also named to Institutional Investors’ All-American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Team as one of the top chief executive officers in the Small Cap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Division in 2021. In 2024, at D CEO Magazine’s Energy Awards ceremony,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Foran was awarded the prestigious Legacy Award for lifetime achievement.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Chairman of the Board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2003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72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(Chair)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the founder, Chairman of the Board and Chief Executive Officer of Matador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Company, Mr. Foran provides Board leadership, industry experience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long relationships with many of our shareholders.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8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19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15"/>
        <w:gridCol w:w="5938"/>
        <w:gridCol w:w="1196"/>
        <w:gridCol w:w="156"/>
      </w:tblGrid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EYNALD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A. 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ARIBAULT </w:t>
            </w:r>
          </w:p>
        </w:tc>
        <w:tc>
          <w:tcPr>
            <w:tcW w:w="5938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President and CEO, IPR Energy Partners LLC</w:t>
            </w:r>
          </w:p>
        </w:tc>
        <w:tc>
          <w:tcPr>
            <w:tcW w:w="11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2005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was elected to the Board in 2014 and is chair of the Board’s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Operations and Engineering Committee and Prospect Committee. He served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lead independent director of the Board from 2016 to 2019. In 2007, he co-founded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North Plains Energy, LLC, which operated in the North Dakota Williston Basin,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served as its Vice President until the successful sale of its assets in 2012. In 2014,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helped co-found NP Resources, LLC, which also operated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North Dakota Williston Basin, and served as its Executive Vice President /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Engineering, helping oversee the sale of its assets in late 2021. In addition, he co-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founded and serves as President and Chief Executive Officer of IPR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Partners, LLC, a Plano, Texas-based oil and natural gas production operator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current operations in the Fort Worth Basin. As the President and CEO of IPR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Partners, LLC, Mr. Baribault is tasked with specific risk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responsibilities. Prior to co-founding North Plains Energy, NP Resources and IPR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Partners, Mr. Baribault served as Vice President, Supervisor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Petroleum Engineering Consultant with Netherland, Sewell &amp; Associates, Inc.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their Dallas office from 1990 to 2002. Mr. Baribault began his professional career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a reservoir engineer with Exxon Company in 1985 in the New Orleans Eastern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Division Office. Mr. Baribault received his Bachelor of Science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Petroleum Engineering from Louisiana State University in 1985 and is a Licensed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Professional Engineer in the State of Texas.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2014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61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Operations and Engineering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 (Chair)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134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Nominating</w:t>
            </w:r>
          </w:p>
        </w:tc>
        <w:tc>
          <w:tcPr>
            <w:tcW w:w="7134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134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Baribault provides valuable insight to our Board on our drilling, completions,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and reservoir engineering operations, as well as growth strategies,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midstream operations and administration.</w:t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34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6313"/>
        <w:gridCol w:w="932"/>
        <w:gridCol w:w="154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W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ILLIAM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M. B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YERLEY</w:t>
            </w:r>
          </w:p>
        </w:tc>
        <w:tc>
          <w:tcPr>
            <w:tcW w:w="631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Retired Partner, PricewaterhouseCoopers LLP (PwC)</w:t>
            </w:r>
          </w:p>
        </w:tc>
        <w:tc>
          <w:tcPr>
            <w:tcW w:w="932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92960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Byerley was appointed to the Board in 2016 and is chair of the Board’s Audit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Committee. Mr. Byerley retired from PricewaterhouseCoopers LLP (PwC) in 2014.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1988 through 2014, Mr. Byerley was a Partner with PwC, serving as 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Assurance Partner on various audit engagements primarily for energy sector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clients. From 1988 through 1990, Mr. Byerley served in the PwC National Office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Accounting Services Group. Mr. Byerley received a Bachelor of Business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Administration degree in 1975 and a Master of Business Administration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1976, both from Southern Methodist University. He is a licensed Certified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Accountant.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4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2016</w:t>
            </w:r>
          </w:p>
        </w:tc>
        <w:tc>
          <w:tcPr>
            <w:tcW w:w="724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24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Byerley’s extensive experience in public accounting and longtime service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energy sector clients of PwC provide the Board with invaluable financial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accounting expertise, particularly for oil and natural gas companies,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strong accounting and financial oversight and risk management expertise.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71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 (Chair)</w:t>
            </w:r>
          </w:p>
        </w:tc>
        <w:tc>
          <w:tcPr>
            <w:tcW w:w="724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 (</w:t>
            </w:r>
            <w:r>
              <w:rPr>
                <w:rFonts w:ascii="Arial;sans-serif" w:hAnsi="Arial;sans-serif"/>
                <w:b w:val="false"/>
                <w:i/>
                <w:sz w:val="18"/>
              </w:rPr>
              <w:t>Ex Officio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)</w:t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21"/>
        <w:gridCol w:w="6457"/>
        <w:gridCol w:w="863"/>
        <w:gridCol w:w="154"/>
      </w:tblGrid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S.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ONIKA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U. 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HRMAN</w:t>
            </w:r>
          </w:p>
        </w:tc>
        <w:tc>
          <w:tcPr>
            <w:tcW w:w="6457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Professor of Law, Southern Methodist University Dedman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School of Law</w:t>
            </w:r>
          </w:p>
        </w:tc>
        <w:tc>
          <w:tcPr>
            <w:tcW w:w="863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7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86690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8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Professor Ehrman was appointed to the Board in 2019 and is chair of the Board's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Environmental, Social and Corporate Governance Committee. She is Professor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Law, Southern Methodist University Dedman School of Law, and a Professor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 (by courtesy), Southern Methodist University Lyle School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Engineering. Prior to joining SMU, in 2023, she was Associate Professor of Law,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of North Texas at Dallas College of Law and a tenured Professor of Law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the University of Oklahoma College of Law, where she led the Oil &amp; Gas,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Resources, and Energy (ONE) Program and served as the Faculty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Director of the ONE Center. While at OU, she taught in the J.D. and graduate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programs at the College of Law and in the Executive Energy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Program at the Price College of Business. Professor Ehrman joined the University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Oklahoma College of Law in 2013 as Associate Professor of Law. Prior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teaching, she served as in-house legal counsel for two oil and natural gas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companies from 2008 to 2012 and as an associate oil and natural gas attorney 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 international law firm from 2005 to 2008. Before law school, Professor Ehrman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worked as a petroleum engineer in the upstream, midstream and pipeline sectors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the energy industry. In addition to serving on various oil and natural gas law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committees, she also served as an Editor of the Oil and Gas Reporter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Institute for Energy Law. Professor Ehrman is currently Chair of the Association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American Law Schools' Section on Natural Resources and Energy, a Trustee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Foundation for Natural Resources and Energy Law and she is on the Editorial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Board of the Journal of World Energy Law &amp; Business (published by Oxford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Press). Professor Ehrman received her Bachelor of Science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Petroleum Engineering from the University of Alberta; J.D. from Southern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Methodist University Dedman School of Law; and Master of Laws degree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Yale Law School. 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2019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47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Marketing and Midstream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Nominating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Operations and Engineering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Professor Ehrman provides valuable insight to our Board on our engineering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midstream operations as well as legal and governance matters.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96"/>
        <w:gridCol w:w="6321"/>
        <w:gridCol w:w="954"/>
        <w:gridCol w:w="154"/>
      </w:tblGrid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. T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IMOTHY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2"/>
                <w:u w:val="none"/>
                <w:effect w:val="none"/>
              </w:rPr>
              <w:t>E. P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 xml:space="preserve">ARKER </w:t>
            </w:r>
          </w:p>
        </w:tc>
        <w:tc>
          <w:tcPr>
            <w:tcW w:w="6321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Former Portfolio Manager and Analyst—Natural Resources,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T. Rowe Price &amp; Associates</w:t>
            </w:r>
          </w:p>
        </w:tc>
        <w:tc>
          <w:tcPr>
            <w:tcW w:w="95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III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1945005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94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was appointed to the Board in 2018, serves as lead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director and is chair of the Board’s Capital Markets and Finance Committee.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Parker currently serves as a contractor in charge of research for Brightworks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Wealth Management, LLC. Mr. Parker retired in 2017 as Portfolio Manager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Analyst—Natural Resources for T. Rowe Price &amp; Associates. Mr. Parker joined T.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Rowe Price in 2001 as an equity analyst before becoming a portfolio manager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2010. He managed the New Era fund from 2010 to 2013 and managed the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natural resources portions of T. Rowe Price’s Small Cap Value, Small Cap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and New Horizons funds from 2013 to 2017. Prior to joining T. Rowe Price,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 was an investment banking analyst at Robert W. Baird &amp; Co., Inc.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Parker holds a Bachelor of Science degree in Commerce from the University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Virginia and a Master of Business Administration degree from the Darden School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of Graduate Business (University of Virginia).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Lead Independent Director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2018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27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50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275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Capital Markets and Finance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(Chair)</w:t>
            </w:r>
          </w:p>
        </w:tc>
        <w:tc>
          <w:tcPr>
            <w:tcW w:w="7275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Parker’s experience with a large institutional shareholder and his extensive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familiarity with the oil and natural gas industry and capital markets provide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Company with valuable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Audit</w:t>
            </w:r>
          </w:p>
        </w:tc>
        <w:tc>
          <w:tcPr>
            <w:tcW w:w="727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</w:t>
            </w:r>
          </w:p>
        </w:tc>
        <w:tc>
          <w:tcPr>
            <w:tcW w:w="7275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Nominating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Prospect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1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  <w:gridCol w:w="6586"/>
        <w:gridCol w:w="824"/>
        <w:gridCol w:w="154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M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. 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ENNETH</w:t>
            </w:r>
            <w:r>
              <w:rPr>
                <w:caps w:val="false"/>
                <w:smallCaps w:val="false"/>
                <w:strike w:val="false"/>
                <w:dstrike w:val="false"/>
                <w:color w:val="00558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20"/>
                <w:u w:val="none"/>
                <w:effect w:val="none"/>
              </w:rPr>
              <w:t>L. 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589"/>
                <w:sz w:val="18"/>
                <w:u w:val="none"/>
                <w:effect w:val="none"/>
              </w:rPr>
              <w:t>TEWART</w:t>
            </w:r>
          </w:p>
        </w:tc>
        <w:tc>
          <w:tcPr>
            <w:tcW w:w="6586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Retired EVP, Compliance and Legal Affairs, Children’s Health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 xml:space="preserve">System of Texas; Retired Partner, Chair—United States,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6D6E71"/>
                <w:sz w:val="20"/>
                <w:u w:val="none"/>
                <w:effect w:val="none"/>
              </w:rPr>
              <w:t>Norton Rose Fulbright US LLP</w:t>
            </w:r>
          </w:p>
        </w:tc>
        <w:tc>
          <w:tcPr>
            <w:tcW w:w="824" w:type="dxa"/>
            <w:tcBorders>
              <w:top w:val="single" w:sz="8" w:space="0" w:color="00548B"/>
              <w:bottom w:val="single" w:sz="8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087C6"/>
                <w:sz w:val="20"/>
                <w:u w:val="none"/>
                <w:effect w:val="none"/>
              </w:rPr>
              <w:t>Class I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6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top w:val="single" w:sz="8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2077720"/>
                  <wp:effectExtent l="0" t="0" r="0" b="0"/>
                  <wp:docPr id="41" name="Image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Biographical Information:</w:t>
            </w:r>
          </w:p>
        </w:tc>
        <w:tc>
          <w:tcPr>
            <w:tcW w:w="8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Stewart was appointed to the Board in 2017 and is chair of the Board's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Nominating Committee and Shareholder Advisory Committee for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Nominations. Mr. Stewart was most recently employed as 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President, Compliance and Legal Affairs, for Children’s Health System of Texas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January 1, 2019 until he retired on January 2, 2021. At that time, Children’s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Health System of Texas and its affiliates constituted one of the ten largest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pediatric hospital systems in the United States. Previously, effective December 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2018, Mr. Stewart retired from Norton Rose Fulbright US LLP, the United States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operations of Norton Rose Fulbright, an international legal practice, which then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had over 3,700 legal professionals in over 50 cities worldwide. At his retirement,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Stewart was a Partner with Norton Rose Fulbright and held the position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Chair—United States. Mr. Stewart began his legal career with Fulbright &amp; Jaworski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LLP, the predecessor to Norton Rose Fulbright US LLP, and previously held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positions of Global Chair of the international organization, Managing Partner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United States region and Partner-in-Charge of the Dallas office. Prior to entering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into full-time management for his firm in 2012, he engaged in a domestic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international transactional legal practice, focusing principally on merger,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acquisition, financing and joint venture activities for both public and privately-held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entities. Mr. Stewart has extensive experience representing and advising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companies and their executive officers and boards of directors engaged in oil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gas exploration and midstream activities. Since his retirement from Norton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Rose Fulbright, Mr. Stewart has acted, and from time to time continues to act, on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limited basis as an independent contractor senior business consultant to family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offices for which he provided services during his legal career. Mr. Stewart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graduated from the University of Arkansas School of Business in 1976 with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Bachelor of Science in Business Administration degree in Accounting and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licensed as a Certified Public Accountant in Texas in 1981 (certificate now on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practice status). He graduated with honors from Vanderbilt Law School in 1979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was a member of the Order of the Coif. Mr. Stewart has been active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numerous civic and professional organizations in the Dallas area in the past,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including among others, the Dallas Regional Chamber, The Center for American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International Law and the Dallas Citizens Council.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Director since: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2017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Independent: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Yes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Age: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71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Committees: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Nominating (Chair)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Capital Markets and Finance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Environmental, Social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Corporate Governance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Executive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 xml:space="preserve">Strategic Planning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Compensation</w:t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Qualifications: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restart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Stewart’s extensive experience representing public companies,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particularly oil and natural gas companies, along with his years of management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experience, provide our Board with important legal, corporate governance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leadership insight.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0" w:type="dxa"/>
            <w:gridSpan w:val="2"/>
            <w:vMerge w:val="continue"/>
            <w:tcBorders/>
            <w:shd w:fill="E5ED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business affairs of Matador are managed under the direction of the Board in accordance with the Texas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Organizations Code, the Company’s Amended and Restated Certificate of Formation (the “Certificate of Formation”)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its Amended and Restated Bylaws (the “Bylaws”), each as amended to date. The Board has adopted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Guidelines, which are reviewed annually by the Environmental, Social and Corporate Governance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Board. The Company has a Code of Ethics and Business Conduct for Officers, Directors and Employees (“Code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Ethics”), which is applicable to all officers, directors and employees of the Company. The Company intends to post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amendments to, and may post any waivers of, its Code of Ethics on the Company’s website to the extent applicable to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or a director of the Company. The Corporate Governance Guidelines and the Code of Ethics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available on the Company’s website at www.matadorresources.com under the heading “Investor Relations—Corporate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holds regular and special meetings and spends such time on the affairs of the Company as its duties require.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Board held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meetings. The Board also meets regularly in non-management executive sessions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accordance with NYSE regulations. The Corporate Governance Guidelines provide that one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 should serve as lead independent director at any time when the Chief Executive Officer serves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Chairman of the Board. The lead independent director presides over executive sessions of the non-management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and the independent members of the Board (the “Independent Board”), serves as a liaison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Chairman of the Board and the independent directors and performs such additional duties as the Board may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 and delegate. Because Mr. Foran serves as Chairman of the Board and Chief Executive Officer,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 have appointed Mr. Parker to serve as lead independent director and Mr. Baty to serve as deputy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lead independent director.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all incumbent directors of the Company attended at least 75% of the meetings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and the committees on which they served. It is our policy that each of our directors is expected to attend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meetings of shareholders, except if unusual circumstances make attendance impractical. All of our directors attended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Independence of Directors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2" name="Image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makes all determinations with respect to director independence in accordance with the NYSE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rules and regulations promulgated by the SEC. The actual determination of whether a director is independent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made by the Board on a case-by-case basis.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its preparation for the Annual Meeting, the Board undertook its annual review of director independence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considered transactions and relationships between each director or any member of his or her immediate family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and its subsidiaries and affiliates. In making its determination, the Board applied the NYSE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SEC rules and regulations.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reviewed the independence of our directors and considered whether any director has a material relationship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us that could compromise his or her ability to exercise independent judgment in carrying out his or 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responsibilities. After this review, our Board determined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current directors are “independent directors”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defined under the rules of the SEC and the NYSE: Mmes. Ehrman and Ward and Messrs. Baribault, Baty, Byerley, Harvey,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Howard, Parker and Stewart.  No member of our Board other than Ms. Appel and Mr. Foran has a family relationship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executive officer or other members of our Board.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Majority Vote in Director Elections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3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December 21, 2016, the Board amended the Bylaws to implement a majority voting standard in uncontested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elections. Pursuant to the Bylaws, in an election of directors at a meeting of shareholders at which a quorum is present,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(i) if the number of nominees exceeds the number of directors to be elected (a “contested election”), directors shall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elected by a plurality of the votes cast by the holders of shares present in person or represented by proxy and entitled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on the election of directors at such meeting and (ii) in an election of directors that is not a contested election (an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uncontested election”), such as that being held at the Annual Meeting, directors shall be elected by a majority of the 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cast by the holders of shares present in person or represented by proxy and entitled to vote on the election of directors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meeting. For purposes of the Bylaws, in an uncontested election, a “majority of the votes cast” means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of shares voted “for” a director must exceed the number of votes cast “against” that director. Prior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 of the Bylaws, directors were elected by a plurality of the votes cast, whether or not the election was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contested election.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the amendment to the Bylaws, the Board approved and adopted an amendment to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Governance Guidelines to implement a resignation policy for directors who fail to receive the required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votes in an uncontested election in accordance with the Bylaws. Pursuant to the Corporate Governance Guidelines,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amended, in an uncontested election, any nominee for director who receives a greater number of votes “against”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election than votes “for” such election (a “majority against vote”) shall promptly tender his or her resignation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certification of the shareholder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Committee shall promptly consider the resignation offer and a range of possible responses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circumstances that led to the majority against vote, if known, and make a recommendation to the Board concerning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to accept or reject such resignation. The Board shall act on the Nominating Committee’s recommendation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publicly disclose its decision with respect to such resignation offer within 90 days following certification of the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vote. The resignation, if accepted by the Board, will be effective at the time specified by the Board when it determines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accept the resignation, which effective time may be deferred until a replacement director is identified and appointed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 Leadership Structure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4" name="Image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4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Foran serves as Chairman of the Board and Chief Executive Officer of the Company. As stated in the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Guidelines, the Board does not believe that the offices of Chairman of the Board and Chief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must be separate. The members of the Board possess experience and unique knowledge of the challenges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opportunities the Company faces. They are, therefore, in the best position to evaluate the current and future needs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and to judge how the capabilities of the directors and senior managers can be most effectively organized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 those needs. Given Mr. Foran’s deep knowledge of the Company and experience in leading it, the Board currently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believes that the most effective leadership structure for the Company is to have Mr. Foran serve as Chairman of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Chief Executive Officer.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Nine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are independent under the rules of the SEC and the NYSE. After considering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recommendations of our Strategic Planning and Compensation Committee, the independent directors determine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Foran’s compensation. Further, the Company has five standing committees, a lead independent director (Mr. Parker)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deputy lead independent director (Mr. Baty). The Board believes that each of these measures counterbalances any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may exist in having Mr. Foran serve as Chairman of the Board and Chief Executive Officer. For these reasons,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 believes that this leadership structure is effective for the Company.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 lead independent director, Mr. Parker has the following roles and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chairs the executive sessions of the non-management and independent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leads the independent directors in the evaluation of the Chief Executive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facilitates communication among the independent directors;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acts as a liaison between the independent directors and the Chief Executive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Parker, as lead independent director, may also perform such other duties as the Board or the Environmental, Social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Corporate Governance Committee from time to time may assign, which may include, but are not limited to,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following: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help develop Board agendas and ensure critical issues are included;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determine quality, quantity and timeliness of information from management;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make recommendations about retaining consultants or advisors for the Board;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interview Board candidates;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oversee Board and director evaluations;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help improve communications and processes by and between management and the Board and the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Baty, as deputy lead independent director, may also carry out the above duties in the absence of or at the direction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Mr. Parker, as lead independent director.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 Committees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5" name="Imag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5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standing committees of the Board are the Audit Committee, Environmental, Social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Committee, Executive Committee, Nominating Committee and Strategic Planning and Compensation Committee.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Board has also established the following advisory committees: Capital Markets and Finance Committee, Marketing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Midstream Committee, Operations and Engineering Committee and Prospect Committee. Each of the standing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committees is governed by a charter, and a copy of the charters of each of these committees is available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website at www.matadorresources.com under the heading “Investor Relations—Corporate Governance.”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Director membership of all of our standing and advisory committees is identified below, as of April 16, 2025. Mr. Howard's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term as a director, and as a member of the committees noted below, will expire at the 2025 Annual Meeting.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85"/>
        <w:gridCol w:w="541"/>
        <w:gridCol w:w="1350"/>
        <w:gridCol w:w="931"/>
        <w:gridCol w:w="1066"/>
        <w:gridCol w:w="1321"/>
        <w:gridCol w:w="821"/>
        <w:gridCol w:w="991"/>
        <w:gridCol w:w="1111"/>
        <w:gridCol w:w="888"/>
      </w:tblGrid>
      <w:tr>
        <w:trPr/>
        <w:tc>
          <w:tcPr>
            <w:tcW w:w="1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Director</w:t>
            </w:r>
          </w:p>
        </w:tc>
        <w:tc>
          <w:tcPr>
            <w:tcW w:w="5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135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Environmental,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Social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9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Executive</w:t>
            </w:r>
          </w:p>
        </w:tc>
        <w:tc>
          <w:tcPr>
            <w:tcW w:w="10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Nominating</w:t>
            </w:r>
          </w:p>
        </w:tc>
        <w:tc>
          <w:tcPr>
            <w:tcW w:w="132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Strategic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Planning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82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and Finance</w:t>
            </w:r>
          </w:p>
        </w:tc>
        <w:tc>
          <w:tcPr>
            <w:tcW w:w="99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Midstream</w:t>
            </w:r>
          </w:p>
        </w:tc>
        <w:tc>
          <w:tcPr>
            <w:tcW w:w="111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Operations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Engineering</w:t>
            </w:r>
          </w:p>
        </w:tc>
        <w:tc>
          <w:tcPr>
            <w:tcW w:w="888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Prospect</w:t>
            </w:r>
          </w:p>
        </w:tc>
      </w:tr>
      <w:tr>
        <w:trPr/>
        <w:tc>
          <w:tcPr>
            <w:tcW w:w="1185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54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066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88" w:type="dxa"/>
            <w:tcBorders>
              <w:bottom w:val="single" w:sz="8" w:space="0" w:color="00548B"/>
            </w:tcBorders>
            <w:shd w:fill="E0E2E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Shelley F. Appel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Reynald A. Baribault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R. Gaines Baty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William M. Byerley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Monika U. Ehrman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Paul W. Harvey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James M. Howard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Timothy E. Parker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Kenneth L. Stewart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85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Susan M. Ward</w:t>
            </w:r>
          </w:p>
        </w:tc>
        <w:tc>
          <w:tcPr>
            <w:tcW w:w="54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350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93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111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888" w:type="dxa"/>
            <w:tcBorders>
              <w:top w:val="single" w:sz="8" w:space="0" w:color="00548B"/>
              <w:bottom w:val="single" w:sz="8" w:space="0" w:color="00548B"/>
            </w:tcBorders>
            <w:shd w:fill="E0E2E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</w:tr>
    </w:tbl>
    <w:tbl>
      <w:tblPr>
        <w:tblW w:w="38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"/>
        <w:gridCol w:w="1561"/>
        <w:gridCol w:w="196"/>
        <w:gridCol w:w="1861"/>
      </w:tblGrid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</w:t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 Chair</w:t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Committee Member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Audit Committee assists the Board in monitoring: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integrity of our financial statements and disclosures;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compliance with legal and regulatory requirements;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qualifications and independence of our independent auditor;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performance of our internal audit function and our independent auditor;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internal control systems.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addition, the Audit Committee is charged with the (i) review of compliance with our Code of Ethics and (ii)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guidelines and policies to govern the process by which risk assessment and risk management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undertaken by management, including with respect to corporate governance, financial, accounting, operational,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environmental, health and safety, regulatory and cybersecurity risks.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April 16, 2025, the Audit Committee consisted of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Ward and Messrs. Baribault, Byerley, Harvey, Howard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Parker, each of whom is independent under the rules of the SEC and the NYSE. Mr. Byerley is the chair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Committee. SEC rules require a public company to disclose whether or not its audit committee has an “audit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expert” as defined by applicable SEC rules and regulations. Our Board has determined that each of Ms. Ward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Messrs. Byerley and Parker is an “audit committee financial expert.”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Howard's term as a director, and as a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 of the Audit Committee, will expire at the 2025 Annual Meeting.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2024, the Audit Committee met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Environmental, Social and Corporate Governance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Environmental, Social and Corporate Governance Committee is responsible for reviewing and evaluating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Governance Guidelines and Code of Ethics and making recommendations for changes thereto to the Board,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assessing any other matters related to our corporate governance, unless the authority to conduct such assessment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been retained by the Board or delegated to another committee, and overseeing the process for evaluation of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management. The Environmental, Social and Corporate Governance Committee (formerly the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Committee), in conjunction with the Company’s Chief Executive Officer, also oversees and makes recommendations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Board regarding ESG-related matters relevant to the Company’s operations.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Environmental, Social and Corporate Governance Committee consisted of Mmes. Ehrman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Ward and Messrs. Baty, Byerley, Howard, Parker and Stewart, each of whom is independent under the rules of the SEC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NYSE. Ms. Ehrman is the chair of the Environmental, Social and Corporate Governance Committee. Mr. Howard's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 as a director, and as a member of the Environmental, Social and Corporate Governance Committee, will expire at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 Annual Meeting. 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Environmental, Social and Corporate Governance Committee met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two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times.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Executive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has authority to discharge all the responsibilities of the Board in the management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 and affairs of the Company, except where action of the full Board is required by statute or by our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Formation or Bylaws, each as amended to date.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the Executive Committee consisted of Ms. Ehrman and Messrs. Foran, Baribault, Baty, Byerley (</w:t>
      </w:r>
      <w:r>
        <w:rPr>
          <w:rFonts w:ascii="Arial;sans-serif" w:hAnsi="Arial;sans-serif"/>
          <w:b w:val="false"/>
          <w:i/>
          <w:sz w:val="20"/>
        </w:rPr>
        <w:t xml:space="preserve">ex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z w:val="20"/>
        </w:rPr>
        <w:t>officio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Parker and Stewart. Mr. Foran is the chair of the Executive Committee.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Executive Committee did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not meet.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Nominating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Nominating Committee has the following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identifies and recommends to the Board individuals qualified to be nominated for election to the Board consistent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criteria approved by the Board;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recommends to the Board the members and chair of each committee of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Nominating Committee charter, no director may serve on the Nominating Committee if such director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subject to re-election to the Board at the next 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Nominating Committee consisted of Ms. Ehrman and Messrs. Baribault, Parker and Stewart,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of whom is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independent under the rules of the SEC and the NYSE. Mr. Stewart is the chair of the Nominating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Committee. During 2024, the Nominating Committee met five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has also established a Shareholder Advisory Committee for Board Nominations (the “Advisory Committee”)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is charged with receiving and considering possible nominees for election to the Board by shareholders.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Advisory Committee charter, this committee is comprised of eight to 12 persons selected by the Nominating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Committee and consists of at least: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two members of the Nominating Committee;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two former members of or special advisors to the Board;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two shareholders who beneficially own Common Stock having a market value of at least $1.0 million (such value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the market value of the Common Stock immediately prior to designation of such shareholders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Advisory Committee); and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29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two shareholders who have beneficially owned Common Stock continuously for at least the five years prior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shareholder’s designation to the Advisory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current members of the Advisory Committee are Messrs. Stewart and Parker, Walter Fister, Julie Forrester Rogers,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Robert Garrett, Kevin Grevey, David Lancaster and George Yates.  Mr. Stewart is the chair of the Advisory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2024, the Advisory Committee met one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Advisory Committee makes recommendations based on its conclusions to the Nominating Committee for 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consideration and review.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Committee and the Advisory Committee consider individuals recommended by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to serve on the Board in accordance with the advance notice provisions of the Bylaws and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rules and regulations of the SEC and the NYSE. In considering candidates submitted by shareholders, the Advisory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and the Nominating Committee take into consideration the needs of the Board and the qualifications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candidate. To have a candidate considered by the Advisory Committee and the Nominating Committee, a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must submit the recommendation in writing and must include the following information: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 and address of the shareholder, evidence of the person’s ownership of Common Stock or derivatives,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the number of shares owned, a description of all arrangements or understandings regarding the right to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the Company, any short interest in any security of the Company, any rights to dividends that are separated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separable from the underlying shares, any proportionate interest in shares or derivatives held by a general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limited partnership whereby the shareholder is a general partner or beneficially owns an interest in the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partner, any performance-related fees (other than an asset-based fee) that the shareholder is entitled to based on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 in the value of the shares or derivatives, any other information relating to the shareholder that would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to be disclosed in connection with solicitations of proxies for the election of directors in a contested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a statement whether or not the shareholder will deliver a proxy to shareholders;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name, age and business and residence addresses of the candidate, the candidate’s résumé or a listing of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qualifications to be a director of the Company, the person’s consent to be a director if selected by the Nominating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Committee, nominated by the Board and elected by the shareholders and any other information that would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required to be disclosed in solicitations of proxies for the election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shareholder recommendation and information described above, and in more detail in our Bylaws, must be sent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Secretary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must be received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Corporate Secretary not fewer than 45 nor more than 75 days prior to the one year anniversary date of the date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proxy statement was mailed in connection with the previous year’s 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Nominating Committee believes that a potential director of the Company must demonstrate that such candidate has: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relevant knowledge and a depth and diversity of background and experience at the policy-making level in business,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government or education;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 balance of the business interest and experience of the incumbent or nominated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availability and willingness to devote adequate time to Board duties;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any unfilled expertise needed on the Board or one of its committees;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ability to make independent analytical, probing and other inquiries;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personal qualities of leadership, character, judgment and a reputation in the community at large of integrity, trust,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respect, competence and adherence to the highest ethical standards;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willingness to exercise independent judgment while remaining willing to listen and learn from the other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Company’s staff; and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independence to ensure such candidate will not be financially dependent on director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case of an incumbent director, the Nominating Committee will also consider such director’s past performance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Nominating Committee or the Advisory Committee may identify potential nominees by asking, from time to time,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current directors and executive officers for their recommendation of persons meeting the criteria described above who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might be available to serve on the Board. The Nominating Committee or the Advisory Committee may also engage firms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specialize in identifying director candidates. As described above, the Nominating Committee and Advisory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also consider candidates recommended by shareholders.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Once a person has been identified by the Nominating Committee or the Advisory Committee as a potential candidate,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Committee or the Advisory Committee will make an initial determination regarding the need for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members to fill vacancies or expand the size of the Board. If the Nominating Committee or the Advisory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determines that additional consideration is warranted, the Nominating Committee or the Advisory Committee will review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information and conduct interviews as it deems necessary to fully evaluate each director candidate. In addition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qualifications of a candidate, the Nominating Committee or the Advisory Committee will consider such relevant factors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it deems appropriate, including the current composition of the Board, the evaluations of other prospective nominees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need for any required expertise on the Board or one of its committees. Although the Nominating Committee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a formal diversity policy, the Nominating Committee considers a number of factors to advance a diverse mix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viewpoints, professional backgrounds, education, specialized skills and acumen, breadth of experience in oil and natural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gas exploration and production, midstream and marketing, executive leadership, accounting, finance or law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individual qualities and attributes that contribute to a variety of perspectives among the members of the Board.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Committee does not discriminate based upon race, religion, gender, national origin, age, disability, citizenship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any other legally protected status. The Nominating Committee’s evaluation process will not vary based on whether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not a candidate is recommended by a shareholder.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Strategic Planning and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Strategic Planning and Compensation Committee (the “Compensation Committee”) has the following responsibilities: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assists the Board and the Independent Board in the discharge of their fiduciary responsibilities relating to the fair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competitive compensation of our executive officers;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provides overall guidance with respect to the establishment, maintenance and administration of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programs, including stock and benefit plans;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oversees and advises the Board and the Independent Board on the adoption of policies that govern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recommends to the Board the strategic, tactical and performance goals of the Company, including those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tactical goals that relate to performance-based compensation, including but not limited to goals for production,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reserves, cash flows and shareholder value;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conjunction with the Company’s CEO, oversees management succession planning;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produces and approves the annual Compensation Committee Report on executive compensation for inclusion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Annual Report on Form 10-K and/or annual proxy statement in accordance with applicable rules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regulations of the SEC and the NYSE.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Compensation Committee has the authority to form and delegate authority and responsibilities to subcommittees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its members, so long as any subcommittee consists of at least two members of the Compensation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of April 16, 2025, the Compensation Committee consisted of Ms. Ehrman and Messrs. Baribault, Baty, Parker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Stewart, each of whom is independent under the rules of the SEC and the NYSE and a “non-employee director”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Rule 16b-3 of the Securities Exchange Act of 1934, as amended (the “Exchange Act”). Mr. Baty is the chair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Committee. During 2024, the Compensation Committee met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Capital Markets and Finance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Capital Markets and Finance Committee provides oversight of the Company’s financial objectives, financial policies,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structure and financing requirements.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Capital Markets and Finance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were Ms. Appel and Messrs. Foran, Harvey, Howard, Parker and Stewart. Mr. Parker is the chair of the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Markets and Finance Committee. Mr. Howard's term as a director, and as a member of the Capital Markets and Finance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Committee, will expire at the 2025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Marketing and Midstream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Marketing and Midstream Committee provides oversight of the Company’s marketing and midstream activities,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projects, joint ventures and plans. As of April 16, 2025, the members of the Marketing and Midstream Committee were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Mmes.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Appel, Ehrman and Ward and Messrs. Byerley, Harvey and Howard. Ms. Ward and Mr. Howard serve as co-chairs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Marketing and Midstream Committee.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Howard's term as a director, and as a member of the Marketing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Midstream Committee, will expire at the 2025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Operations and Engineering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Operations and Engineering Committee provides oversight of the development of our prospects, our drilling,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completions and production operations and associated costs. In addition, the Operations and Engineering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provides oversight of the amount and classifications of our reserves and the design of our completion techniques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hydraulic fracturing operations and various other reservoir engineering matters.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Operations and Engineering Committee were Mmes.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Ehrman and Ward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Messrs. Baribault and Foran. Mr. Baribault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chair of the Operations and Engineering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Prospect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Prospect Committee provides oversight of the technical analysis, evaluation and selection of our oil and natural gas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prospects.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members of the Prospect Committee were Mmes. Appel, Ehrman and Ward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Messrs. Baribault, Foran and Parker. Mr. Baribault is the chair of the Prospect Committee.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Board’s Role in Risk Oversight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6" name="Image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Committee has the responsibility to oversee the Company’s guidelines and policies to govern the process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risk assessment and risk management are undertaken by management, including with respect to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governance, financial, accounting, operational, environmental, health and safety, regulatory and cybersecurity risks.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connection with the Audit Committee’s oversight responsibility, executive management regularly engages with employees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various levels of seniority to identify risks facing the Company. The risks identified in these multidisciplinary reviews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aggregated and evaluated to determine the appropriate set of key risks for that period. Management then, on a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basis, provides the Audit Committee with an assessment of these risks and a discussion of any new developments.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Audit Committee’s oversight, management maintains a commercial insurance program for the Company’s benefit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covering casualty, property, workers’ compensation, well operations and cybersecurity risks, among others.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Environmental, Social and Corporate Governance Committee further supports the Board's oversight role by monitoring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assessing risks specifically related to environmental laws and regulations, corporate governance and other ESG-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issues.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has the responsibility to oversee that our incentive pay does not encourage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unnecessary risk taking and to review and discuss the relationship between risk management policies and practices,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corporate strategy and senior executive 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Environmental, Social and Governance Practices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7" name="Image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7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Affirmation of Our Commitment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Matador, we are committed to creating long-term value in a responsible manner. This commitment extends across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operations and includes a dedication to excellence with respect to environmental, social and governance matters.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guiding focus on good stewardship is reflected in our Code of Ethics and in our Corporate Governance Guidelines,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reviewed annually by the Environmental, Social and Corporate Governance Committee of the Board. See “Corporate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Governance” on page </w:t>
      </w:r>
      <w:hyperlink w:anchor="i0ba49e35038848938278809799065b2a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24</w:t>
        </w:r>
      </w:hyperlink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additional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Oversight and Coordination of ESG-Related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Matador's management team is responsible for the day-to-day management of ESG-related matters and regularly updates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full Board on Matador's efforts and performance in these areas.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Environmental, Social and Corporate Governance Committee is responsible for overseeing sustainability-related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matters and monitoring the effectiveness of systems necessary to ensure compliance with ESG-related legislation,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regulatory requirements, industry standards and internal policies, programs and practices. In conjunction with senior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management, the committee has direct accountability to review and evaluate sustainability practices, risks and strategies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to make recommendations to the full Board regarding sustainability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also has responsibility through its role overseeing risk assessment and risk management processes,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with respect to operational, environmental, health and safety and regulatory risks.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Reporting on ESG-Related Practices and 2024 Performance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 issues an annual Sustainability Report that describes Matador's ESG-related policies and practices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documents our ESG-related results with quantitative metrics aligned with standards developed by the Sustainability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Standards Board (SASB). Highlights from the Company’s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ESG practices are shown below.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48" name="Image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8" descr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1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The data utilized in calculating these metrics is subject to certain reporting rules, regulatory reviews, definitions, calculation methodologies, estimates,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adjustments and other factors. As a result, these metrics are subject to change from time to time as updated data or other information becomes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available. The metrics provided reflect both Matador’s gross operated exploration &amp; production operations and gross operated midstream operations 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a consolidated basis, except where otherwise noted or immaterial in scope.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2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Emissions and flared volumes are calculated in accordance with Environmental Protection Agency standards and reflect only Matador’s gross operated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exploration &amp; production operations.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3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 xml:space="preserve">Fresh water is defined as &lt;1,000 mg/L total dissolved solids and includes Matador’s gross operated volumes for hydraulic fracturing and completion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</w:rPr>
        <w:t>operations, as well as estimates for Matador’s other operations.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As of April 16, 2025.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0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36"/>
        <w:gridCol w:w="3666"/>
        <w:gridCol w:w="4149"/>
      </w:tblGrid>
      <w:tr>
        <w:trPr/>
        <w:tc>
          <w:tcPr>
            <w:tcW w:w="2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51" w:type="dxa"/>
            <w:gridSpan w:val="3"/>
            <w:tcBorders>
              <w:top w:val="single" w:sz="8" w:space="0" w:color="003263"/>
              <w:left w:val="single" w:sz="8" w:space="0" w:color="003263"/>
              <w:bottom w:val="single" w:sz="8" w:space="0" w:color="003263"/>
              <w:right w:val="single" w:sz="8" w:space="0" w:color="003263"/>
            </w:tcBorders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6"/>
                <w:u w:val="none"/>
                <w:effect w:val="none"/>
              </w:rPr>
              <w:t>ENVIRONMENTAL, SOCIAL &amp; GOVERNANCE HIGHLIGHTS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EMISSIONS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4"/>
                <w:u w:val="none"/>
                <w:effect w:val="none"/>
              </w:rPr>
              <w:t>2</w:t>
            </w:r>
          </w:p>
        </w:tc>
        <w:tc>
          <w:tcPr>
            <w:tcW w:w="3666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&gt;60%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Reduction in E&amp;P direct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greenhouse gas intensity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from 2019 to 2024</w:t>
            </w:r>
          </w:p>
        </w:tc>
        <w:tc>
          <w:tcPr>
            <w:tcW w:w="4149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&gt;85%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Reduction in E&amp;P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methane intensity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from 2019 to 2024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WATER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MANAGEMENT</w:t>
            </w:r>
          </w:p>
        </w:tc>
        <w:tc>
          <w:tcPr>
            <w:tcW w:w="3666" w:type="dxa"/>
            <w:tcBorders>
              <w:top w:val="single" w:sz="8" w:space="0" w:color="003263"/>
              <w:bottom w:val="single" w:sz="8" w:space="0" w:color="003263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&gt;95%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total water consumed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in 2024 was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non-fresh water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3</w:t>
            </w:r>
          </w:p>
        </w:tc>
        <w:tc>
          <w:tcPr>
            <w:tcW w:w="4149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&gt;50%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total hydraulic fracturing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fluid volume in 2024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recycled produced water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PIPELINE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TRANSPORTATION</w:t>
            </w:r>
          </w:p>
        </w:tc>
        <w:tc>
          <w:tcPr>
            <w:tcW w:w="3666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96%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operated produced oil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barrels transported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pipeline in 2024</w:t>
            </w:r>
          </w:p>
        </w:tc>
        <w:tc>
          <w:tcPr>
            <w:tcW w:w="4149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99%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operated produced water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barrels transported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pipeline in 2024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SAFETY &amp;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WORKFORCE</w:t>
            </w:r>
          </w:p>
        </w:tc>
        <w:tc>
          <w:tcPr>
            <w:tcW w:w="3666" w:type="dxa"/>
            <w:tcBorders>
              <w:top w:val="single" w:sz="8" w:space="0" w:color="003263"/>
              <w:bottom w:val="single" w:sz="8" w:space="0" w:color="003263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ZERO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Employee lost time incidents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per 200,000 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man-hours in 2024</w:t>
            </w:r>
          </w:p>
        </w:tc>
        <w:tc>
          <w:tcPr>
            <w:tcW w:w="4149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50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Approximate average hours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continuing education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per employee in 2024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ALIGNMENT</w:t>
            </w:r>
          </w:p>
        </w:tc>
        <w:tc>
          <w:tcPr>
            <w:tcW w:w="3666" w:type="dxa"/>
            <w:tcBorders>
              <w:top w:val="single" w:sz="8" w:space="0" w:color="003263"/>
              <w:bottom w:val="single" w:sz="8" w:space="0" w:color="003263"/>
            </w:tcBorders>
            <w:shd w:fill="AAB6D1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5.8%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common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held by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and executive officers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4</w:t>
            </w:r>
          </w:p>
        </w:tc>
        <w:tc>
          <w:tcPr>
            <w:tcW w:w="4149" w:type="dxa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48"/>
                <w:u w:val="none"/>
                <w:effect w:val="none"/>
              </w:rPr>
              <w:t>95%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Matador employees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participating in Employee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Purchase Plan (ESPP) in 2024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SKILLED,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ENGAGED BOARD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We continually assess whether our Board's composition appropriately relates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Matador's current and evolving strategic needs.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This extensive vetting process has yielded experienced and skilled directors who 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dedicated to Matador and do not serve on any other public company boards.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shd w:fill="AAB6D1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INDEPENDENT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OVERSIGHT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lead independent director serves as a liaison between the Chairman of the Board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and the independent directors and fulfills other duties as set forth in our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Governance Guidelines.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Our independent directors meet privately in executive session on a regular basis.</w:t>
            </w:r>
          </w:p>
        </w:tc>
      </w:tr>
      <w:tr>
        <w:trPr/>
        <w:tc>
          <w:tcPr>
            <w:tcW w:w="2236" w:type="dxa"/>
            <w:tcBorders>
              <w:top w:val="single" w:sz="8" w:space="0" w:color="003263"/>
              <w:left w:val="single" w:sz="8" w:space="0" w:color="003263"/>
              <w:bottom w:val="single" w:sz="8" w:space="0" w:color="003263"/>
            </w:tcBorders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 xml:space="preserve">CANDID BOARD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EVALUATIONS</w:t>
            </w:r>
          </w:p>
        </w:tc>
        <w:tc>
          <w:tcPr>
            <w:tcW w:w="7815" w:type="dxa"/>
            <w:gridSpan w:val="2"/>
            <w:tcBorders>
              <w:top w:val="single" w:sz="8" w:space="0" w:color="003263"/>
              <w:bottom w:val="single" w:sz="8" w:space="0" w:color="003263"/>
              <w:right w:val="single" w:sz="8" w:space="0" w:color="003263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Board and committees conduct annual evaluations of the Board, its committees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and directors, including self-evaluations.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Our directors provide feedback on Board and committee effectiveness, including areas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such as Board composition.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Shareholder Engagement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49" name="Image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49" descr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Matador, we seek to maintain strong, transparent relationships with our investors. In 2024, consistent with Matador's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regular practice, members of our Board and management team had conversations with investors on a variety of topics,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our business, strategy, operational innovations, Company performance, executive compensation,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and corporate governance matters. As a result of these engagement efforts, we met or reached out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shareholders representing more than an estimated 70%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outstanding shares of our Common Stock (excluding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held by our executive officers and directors) as of December 31, 2024. In addition, members of our management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team attended 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investor conferences, hosted nine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roadshows and participated in various investor presentation events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calls. Five conferences or roadshows were attended for either the first time or first time in several years. In total, we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hosted over 100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meetings in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met with over 175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professionals.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Feedback from these conversations was shared with the full Board and served as a valuable input to our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practices. We appreciate the relationship building and insights into investors' priorities that result from cultivating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open dialogues and remain committed to engaging shareholders regularly.</w:t>
      </w:r>
    </w:p>
    <w:tbl>
      <w:tblPr>
        <w:tblW w:w="84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2731"/>
        <w:gridCol w:w="2776"/>
      </w:tblGrid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48" w:type="dxa"/>
            <w:gridSpan w:val="3"/>
            <w:tcBorders>
              <w:top w:val="single" w:sz="8" w:space="0" w:color="003263"/>
              <w:left w:val="single" w:sz="8" w:space="0" w:color="003263"/>
              <w:bottom w:val="single" w:sz="8" w:space="0" w:color="003263"/>
              <w:right w:val="single" w:sz="8" w:space="0" w:color="003263"/>
            </w:tcBorders>
            <w:shd w:fill="AAB6D1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22"/>
                <w:u w:val="none"/>
                <w:effect w:val="none"/>
              </w:rPr>
              <w:t>SHAREHOLDER ENGAGEMENT IN 2024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3263"/>
                <w:sz w:val="16"/>
                <w:u w:val="none"/>
                <w:effect w:val="none"/>
              </w:rPr>
              <w:t>(excluding shares held by our executive officers and directors)</w:t>
            </w:r>
          </w:p>
        </w:tc>
      </w:tr>
      <w:tr>
        <w:trPr/>
        <w:tc>
          <w:tcPr>
            <w:tcW w:w="2941" w:type="dxa"/>
            <w:tcBorders>
              <w:top w:val="single" w:sz="8" w:space="0" w:color="003263"/>
              <w:left w:val="single" w:sz="8" w:space="0" w:color="003263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contacted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  <w:tc>
          <w:tcPr>
            <w:tcW w:w="2731" w:type="dxa"/>
            <w:tcBorders>
              <w:top w:val="single" w:sz="8" w:space="0" w:color="003263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met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with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  <w:tc>
          <w:tcPr>
            <w:tcW w:w="2776" w:type="dxa"/>
            <w:tcBorders>
              <w:top w:val="single" w:sz="8" w:space="0" w:color="003263"/>
              <w:right w:val="single" w:sz="8" w:space="0" w:color="003263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22"/>
                <w:u w:val="none"/>
                <w:effect w:val="none"/>
              </w:rPr>
              <w:t>met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 xml:space="preserve">with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2"/>
              </w:rPr>
              <w:t>representing</w:t>
            </w:r>
          </w:p>
        </w:tc>
      </w:tr>
      <w:tr>
        <w:trPr/>
        <w:tc>
          <w:tcPr>
            <w:tcW w:w="2941" w:type="dxa"/>
            <w:tcBorders>
              <w:left w:val="single" w:sz="8" w:space="0" w:color="003263"/>
              <w:bottom w:val="single" w:sz="8" w:space="0" w:color="003263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&gt;70%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</w:tc>
        <w:tc>
          <w:tcPr>
            <w:tcW w:w="2731" w:type="dxa"/>
            <w:tcBorders>
              <w:bottom w:val="single" w:sz="8" w:space="0" w:color="003263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&gt;65%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</w:tc>
        <w:tc>
          <w:tcPr>
            <w:tcW w:w="2776" w:type="dxa"/>
            <w:tcBorders>
              <w:bottom w:val="single" w:sz="8" w:space="0" w:color="003263"/>
              <w:right w:val="single" w:sz="8" w:space="0" w:color="003263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80" w:before="0" w:after="0"/>
              <w:jc w:val="left"/>
              <w:rPr>
                <w:sz w:val="4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>&gt;80%</w:t>
            </w:r>
            <w:r>
              <w:rPr>
                <w:caps w:val="false"/>
                <w:smallCaps w:val="false"/>
                <w:strike w:val="false"/>
                <w:dstrike w:val="false"/>
                <w:color w:val="0060A9"/>
                <w:sz w:val="4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of our top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50 shareholders</w:t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000" cy="2139950"/>
            <wp:effectExtent l="0" t="0" r="0" b="0"/>
            <wp:docPr id="50" name="Image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0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000" cy="2139950"/>
            <wp:effectExtent l="0" t="0" r="0" b="0"/>
            <wp:docPr id="51" name="Image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51" descr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286635" cy="2138680"/>
            <wp:effectExtent l="0" t="0" r="0" b="0"/>
            <wp:docPr id="52" name="Image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2" descr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Communications with Directors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3" name="Image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53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has established a process to receive communications from shareholders and other interested parties by mail.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and other interested parties may contact any member of the Board, any Board committee or the entire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Board. To communicate with the Board, any individual director or any committee, correspondence should be addressed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c/o Corporate Secretary”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Shareholders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should mark the envelope containing any such communication as “Shareholder Communication with Directors” and clearly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identify the intended recipient or recipients of the communication. The Corporate Secretary will review and forward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correspondence to the appropriate person or persons as expeditiously as reasonably practicable. However, any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 will not be forwarded if it does not fall within the scope of matters generally considered by the Board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fails to comply with the requirements of any applicable policy adopted by the Board relating to the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 of communications.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communications to the Company from one of the Company’s officers or directors will not be considered “shareholder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communications.” Communications to the Company from one of the Company’s employees or agents will only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considered “shareholder communications” if they are made solely in such employee’s or agent’s capacity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shareholder. Any shareholder proposal submitted pursuant to Rule 14a-8 promulgated under the Exchange Act will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viewed as “shareholder communications.”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Strategic Planning and Compensation Committee Interlocks and Insider Participation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4" name="Image5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4" descr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Ms. Ehrman and Messrs. Baribault, Baty, Parker and Stewart served on the Compensation Committee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None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these individuals is or was previously one of our officers or employees. None of our executive officers serve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of directors or compensation committee of a company that has an executive officer that serves on our Board 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Committee. No member of our Board serves as an executive officer of a company in which 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 serves as a member of the board of directors or compensation committee of that company. There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compensation committee interlocks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Mr. Baribault’s sister-in-law is an employee of the Company. For more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on this related person transaction, see “Transactions with Related Persons.”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Executive Officers and Other Senior Officers of the Company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5" name="Image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55" descr="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sets forth the names, ages and positions of our executive officers and certain of our other senior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0"/>
        <w:gridCol w:w="526"/>
        <w:gridCol w:w="7439"/>
      </w:tblGrid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Age</w:t>
            </w:r>
          </w:p>
        </w:tc>
        <w:tc>
          <w:tcPr>
            <w:tcW w:w="743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Positions Held With Us</w:t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Officers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Chairman of the Board and Chief Executive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President—Land, Acquisitions &amp; Divestitures and Planning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Chief Financial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President—Marketing &amp; Midstream Strategy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Christopher P. Calvert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Chief Operating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W. Thomas Elsener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President—Reservoir Engineering and Senior Asset Manager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President, General Counsel and Head of M&amp;A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Glenn W. Stetson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President—Production</w:t>
            </w:r>
          </w:p>
        </w:tc>
      </w:tr>
      <w:tr>
        <w:trPr/>
        <w:tc>
          <w:tcPr>
            <w:tcW w:w="10205" w:type="dxa"/>
            <w:gridSpan w:val="3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Senior Officers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Michael D. Frenzel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Treasurer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Robert T. Macalik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Chief Accounting Officer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Jonathan J. Filbert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President—Land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Jordan M. Ellington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 and Asset Manager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M. Cliff Humphreys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President—Completions</w:t>
            </w:r>
          </w:p>
        </w:tc>
      </w:tr>
      <w:tr>
        <w:trPr/>
        <w:tc>
          <w:tcPr>
            <w:tcW w:w="224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Joshua D. Passauer</w:t>
            </w:r>
          </w:p>
        </w:tc>
        <w:tc>
          <w:tcPr>
            <w:tcW w:w="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</w:t>
            </w:r>
          </w:p>
        </w:tc>
        <w:tc>
          <w:tcPr>
            <w:tcW w:w="743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Vice President—Drilling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biographies describe the business experience of our executive officers and the senior officers listed above.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Each officer serves at the discretion of our Board. There are no family relationships among any of our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Executive Officers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8"/>
        <w:gridCol w:w="8277"/>
      </w:tblGrid>
      <w:tr>
        <w:trPr/>
        <w:tc>
          <w:tcPr>
            <w:tcW w:w="19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Joseph Wm. Foran</w:t>
            </w:r>
          </w:p>
        </w:tc>
      </w:tr>
      <w:tr>
        <w:trPr/>
        <w:tc>
          <w:tcPr>
            <w:tcW w:w="19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Chairman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Board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Executive Officer</w:t>
            </w:r>
          </w:p>
        </w:tc>
        <w:tc>
          <w:tcPr>
            <w:tcW w:w="82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Please see the biography of Mr. Foran on page </w:t>
            </w:r>
            <w:hyperlink w:anchor="i0ba49e35038848938278809799065b2a_55">
              <w:r>
                <w:rPr>
                  <w:rStyle w:val="InternetLink"/>
                  <w:rFonts w:ascii="sans-serif" w:hAnsi="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20"/>
                  <w:u w:val="single"/>
                  <w:effect w:val="none"/>
                </w:rPr>
                <w:t>18</w:t>
              </w:r>
            </w:hyperlink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 this Proxy Statement.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Van H. Singleton, II</w:t>
            </w:r>
          </w:p>
        </w:tc>
      </w:tr>
      <w:tr>
        <w:trPr/>
        <w:tc>
          <w:tcPr>
            <w:tcW w:w="19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President—Land,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Acquisitions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Divestitures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Planning</w:t>
            </w:r>
          </w:p>
        </w:tc>
        <w:tc>
          <w:tcPr>
            <w:tcW w:w="82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Singleton joined Matador Resources Company in August 2007 as a Landman and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Senior Staff Landman in 2009 and then to General Land Manager in 2011. In September 2013,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Singleton became Vice President of Land, and he was promoted to Executive Vice President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Land in February 2015. He became the Company’s President—Land, Acquisitions &amp; Divestitures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Planning in March 2022. Prior to joining Matador, Mr. Singleton founded and was President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VanBrannon and Associates, LLC and Southern Escrow and Title of Mississippi, LLC from 1998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2003, which provided full-spectrum land title work and title insurance in Mississippi, Louisiana,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Texas and Arkansas. From 2003 until joining Matador in 2007, he served as general manager of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family’s real estate brokerage in Houston, Texas. Mr. Singleton received a Bachelor of Arts degree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the University of Mississippi in 2000. He is an active member of the American Association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Professional Landmen, the New Mexico Landman Association, the Permian Basin Landman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Association and the Dallas Association of Petroleum Landmen.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Brian J. Willey</w:t>
            </w:r>
          </w:p>
        </w:tc>
      </w:tr>
      <w:tr>
        <w:trPr/>
        <w:tc>
          <w:tcPr>
            <w:tcW w:w="192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Financial Officer</w:t>
            </w:r>
          </w:p>
        </w:tc>
        <w:tc>
          <w:tcPr>
            <w:tcW w:w="827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Willey joined Matador Resources Company in February 2014 as its Deputy General Counsel.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January 2016, Mr. Willey was appointed as Co-General Counsel, and in August 2016,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Vice President and Co-General Counsel. Mr. Willey became Senior Vice 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Co-General Counsel in July 2018, and in March 2022, he was promoted to President of San Mateo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Senior Vice President, President and General Counsel of Midstream. In October 2022,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Willey was promoted to President and General Counsel of Midstream Operations and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President. In February 2023, Mr. Willey was promoted to Executive Vice 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Financial Officer. Prior to joining Matador, Mr. Willey was an attorney with Dean Foods Company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where he most recently served as Vice President, Chief Counsel – Corporate. Before Dean Foods,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Willey served as a senior associate in the Dallas office of Baker Botts L.L.P. Mr. Willey’s practice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focused on corporate matters, including mergers and acquisitions, public and private securities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offerings, venture capital transactions and SEC compliance matters as well as board of director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corporate governance matters. Mr. Willey received a Bachelor of Science degree in Accounting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2002 from Brigham Young University. He received his law degree in 2005 from The University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Texas School of Law, where he graduated with High Honors and was a member of the Order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Coif in addition to being named a Chancellor and an Associate Editor on the Texas Law Review.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Willey also served a church mission in the Philippines from 1995 to 1997.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55"/>
        <w:gridCol w:w="8150"/>
      </w:tblGrid>
      <w:tr>
        <w:trPr/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G. Gregg Krug</w:t>
            </w:r>
          </w:p>
        </w:tc>
      </w:tr>
      <w:tr>
        <w:trPr/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President—Marketing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&amp; Midstream Strategy</w:t>
            </w:r>
          </w:p>
        </w:tc>
        <w:tc>
          <w:tcPr>
            <w:tcW w:w="815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Krug joined Matador Resources Company in April 2012 as its Marketing Manager. In September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2013 he was named Vice President of Marketing for the Company and Vice President of Longwood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Gathering &amp; Disposal Systems, LP, and he was promoted to Senior Vice President—Marketing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Midstream in February 2016. He was promoted to Executive Vice President—Marketing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Midstream Strategy in April 2019. He has overall responsibility for Matador’s marketing activities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its oil and natural gas, as well as responsibility for all business aspects for Longwood Gathering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Disposal Systems, LP. Previously, Mr. Krug was with Unit Petroleum Company, an exploration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company based in Tulsa, Oklahoma, as Marketing Manager, having joined in 2006.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his staff were responsible for marketing, gas measurement, contract administration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reporting in their core areas of Oklahoma, the Texas Panhandle, East Texas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Northwestern Louisiana. From 2005 to 2006, Mr. Krug served as Marketing Manager with Matador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Company. From 2000 to 2005, Mr. Krug served as Gas Scheduling Supervisor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Samson Resources in Tulsa, Oklahoma where he and his staff were responsible for scheduling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natural gas sales as well as procurement of natural gas supply on Samson-owned gathering systems.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1983 to 2000, Mr. Krug served with The Williams Companies in various capacities including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Kansas Hugoton Field in Ulysses, Kansas and Tulsa, Oklahoma for Williams Natural Gas Pipeline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on the trading floor in Tulsa, Oklahoma for Williams Energy Services Company. Mr. Krug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received a Bachelor of Business Administration degree from Oklahoma City University in 1996.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Christopher P. Calvert</w:t>
            </w:r>
          </w:p>
        </w:tc>
      </w:tr>
      <w:tr>
        <w:trPr/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Operating Officer</w:t>
            </w:r>
          </w:p>
        </w:tc>
        <w:tc>
          <w:tcPr>
            <w:tcW w:w="815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Calvert joined Matador Resources Company in October 2014 as a Senior Completions Engineer.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July 2018, he was named Vice President of Completions for the Company, and he was promoted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Senior Vice President—Operations in October 2019. Mr. Calvert was promoted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Co-Chief Operating Officer in April 2022.  In February 2023, Mr. Calvert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Executive Vice President and Co-Chief Operating Officer. In April 2024, Mr. Calvert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became Executive Vice President and Chief Operating Officer.  Prior to joining Matador, Mr. Calvert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worked as a Staff Reservoir Engineer in Chesapeake Energy Corporation’s South Texas—Eagle Ford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group focusing on A&amp;D evaluations and production and completions optimization. At Chesapeake,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Calvert also held roles as a Senior Asset Manager responsible for completions and operations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Niobrara Shale, a Senior Completions Engineer responsible for Bakken/Three Forks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development and a Senior Operations Engineer focused on production and facility optimization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Texas Gulf Coast. Prior to Chesapeake, Mr. Calvert worked as an Operations Engineer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Williams Production Company. In addition to his oil and natural gas industry experience, Mr. Calvert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has worked in corporate financial controls as an internal Sarbanes-Oxley compliance auditor.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Calvert received Bachelor of Science degrees in Finance and Petroleum Engineering from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University of Wyoming in 2002 and 2008, respectively. He is a member of the Society of Petroleum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Engineers.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7"/>
        <w:gridCol w:w="8178"/>
      </w:tblGrid>
      <w:tr>
        <w:trPr/>
        <w:tc>
          <w:tcPr>
            <w:tcW w:w="20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W. Thomas Elsener</w:t>
            </w:r>
          </w:p>
        </w:tc>
      </w:tr>
      <w:tr>
        <w:trPr/>
        <w:tc>
          <w:tcPr>
            <w:tcW w:w="202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President—Reservoir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Engineering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Senior Asset Manager</w:t>
            </w:r>
          </w:p>
        </w:tc>
        <w:tc>
          <w:tcPr>
            <w:tcW w:w="817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Elsener joined Matador Resources Company in April 2013 as an Engineer. In June 2017, he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Vice President—Engineering and Asset Manager, and he was promoted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President—Reservoir Engineering and Senior Asset Manager in October 2019. Mr. Elsener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named Executive Vice President—Reservoir Engineering and Senior Asset Manager in April 2022.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to joining Matador, Mr. Elsener served in various engineering roles at Encana Oil &amp; Gas (USA)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Dallas, Texas from 2007 to 2013, including reservoir, completions, drilling, business development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new ventures. While at Encana, Mr. Elsener was involved with the exploration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development of assets in the Barnett shale, Deep Bossier, Haynesville shale and other new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domestic ventures. Mr. Elsener received a Bachelor of Science degree in Petroleum Engineering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from Texas A&amp;M University in 2007. He is a member of the Society of Petroleum Engineers.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Bryan A. Erman</w:t>
            </w:r>
          </w:p>
        </w:tc>
      </w:tr>
      <w:tr>
        <w:trPr/>
        <w:tc>
          <w:tcPr>
            <w:tcW w:w="202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President, General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Counsel and Head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M&amp;A</w:t>
            </w:r>
          </w:p>
        </w:tc>
        <w:tc>
          <w:tcPr>
            <w:tcW w:w="817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Erman joined Matador Resources Company in January 2016 as its Co-General Counsel.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August 2016, Mr. Erman was promoted to Vice President and Co-General Counsel. He became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Vice President and Co-General Counsel in July 2018. In March 2022, Mr. Erman became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Senior Vice President and General Counsel and in October 2022, Mr. Erman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Executive Vice President, General Counsel and Head of M&amp;A. Prior to joining Matador, Mr. Erman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a Partner at Carrington, Coleman, Sloman &amp; Blumenthal, L.L.P. in Dallas, having joined the firm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2010. From 2003 to 2010, he was an associate in the Dallas and Washington, D.C. offices of Baker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Botts L.L.P. Mr. Erman’s practice focused on litigation matters, including oil and natural gas,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securities and other commercial litigation, as well as corporate governance matters. Before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attending law school, Mr. Erman worked for Oklahoma Governor Frank Keating. Mr. Erman received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 Bachelor of Arts degree in Political Science in 1999 from the University of Oklahoma. He received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his law degree in 2003 from Southern Methodist University Dedman School of Law, where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graduated cum laude and was a Hatton W. Sumners Scholar, a member of the Order of the Coif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 Articles Editor on the SMU Law Review.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Glenn W. Stetson</w:t>
            </w:r>
          </w:p>
        </w:tc>
      </w:tr>
      <w:tr>
        <w:trPr/>
        <w:tc>
          <w:tcPr>
            <w:tcW w:w="202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Production</w:t>
            </w:r>
          </w:p>
        </w:tc>
        <w:tc>
          <w:tcPr>
            <w:tcW w:w="817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Stetson joined Matador Resources Company in August 2014 as a Production Engineer, and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July 2015, he was promoted to Asset Manager. Mr. Stetson was promoted to the role of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Asset Manager in July 2018 and to Senior Vice President of Production and Asset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Manager in October 2019. Mr. Stetson was promoted to the role of Executive Vice 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Production in April 2022.  Prior to joining Matador, Mr. Stetson worked at Chesapeake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Corporation from 2008 to 2014, holding multiple positions in both the production and completions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departments. Most of his time at Chesapeake was spent in the Barnett shale in North Texas,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although he also spent some time working in northern Pennsylvania managing the northeast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portion of Chesapeake’s Marcellus shale operated production. Mr. Stetson graduated Cum Laude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Oklahoma State University in 2007, receiving a Bachelor of Science degree in Mechanical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Engineering Technology. Mr. Stetson is a Licensed Professional Engineer in the State of Oklahoma.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39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4"/>
        <w:gridCol w:w="8321"/>
      </w:tblGrid>
      <w:tr>
        <w:trPr/>
        <w:tc>
          <w:tcPr>
            <w:tcW w:w="1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Senior Officers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Michael D. Frenzel</w:t>
            </w:r>
          </w:p>
        </w:tc>
      </w:tr>
      <w:tr>
        <w:trPr/>
        <w:tc>
          <w:tcPr>
            <w:tcW w:w="188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Treasurer</w:t>
            </w:r>
          </w:p>
        </w:tc>
        <w:tc>
          <w:tcPr>
            <w:tcW w:w="83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Frenzel was named Executive Vice President and Treasurer in April 2022.  Mr. Frenzel’s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responsibilities include treasury, financial planning and forecasting, budgeting, capital markets,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hedging, financial reporting and investor relations, and he has served as the primary financial officer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 San Mateo, Matador’s midstream joint venture, since San Mateo’s formation in 2017.  In March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2022, Matador’s Board and CEO asked Mr. Frenzel to act as the Company’s principal financial officer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until a new CFO was appointed in February 2023.  Mr. Frenzel first worked for Matador’s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predecessor company, Matador Petroleum Corporation, as an intern in the summers of 2000, 2001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2002. From 2006 to 2010, Mr. Frenzel worked as a Senior Financial Analyst before leaving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obtain his Master of Business Administration degree in 2010 from Duke University’s Fuqua School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Business. Mr. Frenzel rejoined Matador in 2013 as its Senior Strategy and Financial Analyst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Assistant Treasurer and was promoted to Finance Director and Assistant Treasurer in January 2017.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August 2018, Mr. Frenzel was promoted to Vice President and Treasurer. Mr. Frenzel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Senior Vice President and Treasurer in October 2020. Before rejoining Matador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2013, Mr. Frenzel worked as an Investment Associate for Hamm Capital, LLC and as a Financial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Analyst and Assistant to the CEO at Continental Resources. In addition to his energy industry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experience, Mr. Frenzel also has consulting experience with Deloitte Consulting LLP. Mr. Frenzel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graduated summa cum laude from Vanderbilt University in 2004, receiving a Bachelor of Arts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degree in Economics and Mathematics, and earned the designation of Fuqua Scholar while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receiving a Master of Business Administration degree from Duke University’s Fuqua School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Business in 2012.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Robert T. Macalik</w:t>
            </w:r>
          </w:p>
        </w:tc>
      </w:tr>
      <w:tr>
        <w:trPr/>
        <w:tc>
          <w:tcPr>
            <w:tcW w:w="188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Accounting Officer</w:t>
            </w:r>
          </w:p>
        </w:tc>
        <w:tc>
          <w:tcPr>
            <w:tcW w:w="83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Macalik joined Matador Resources Company in July 2015 as Vice President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Accounting Officer. He was promoted to Senior Vice President and Chief Accounting Officer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November 2017. Mr. Macalik was named Executive Vice President and Chief Accounting Officer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April 2022.  Prior to joining Matador, from 2012 to 2015, Mr. Macalik worked at Pioneer Natural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Resources Company as Corporate Controller and, previously, as Director of Technical Accounting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Financial Reporting. At Pioneer, Mr. Macalik supervised corporate accounting and financial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reporting functions. Prior to joining Pioneer, he was a Senior Manager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PricewaterhouseCoopers (PwC), joining the public accounting firm in 2002. During his tenure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PwC, Mr. Macalik conducted and managed audits for various companies, primarily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companies in the oil and natural gas industry, and managed numerous client relationships.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Macalik received a Bachelor of Arts degree in History, a Bachelor of Business Administration degree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a Master of Professional Accounting degree all from The University of Texas at Austin in 2002.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He is a licensed Certified Public Accountant in the State of Texas.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1"/>
        <w:gridCol w:w="8254"/>
      </w:tblGrid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Jonathan J. Filbert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President—Land</w:t>
            </w:r>
          </w:p>
        </w:tc>
        <w:tc>
          <w:tcPr>
            <w:tcW w:w="82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Filbert joined Matador Resources Company in February 2013 as a Senior Staff Landman. In April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2015, he was promoted to General Land Manager, and in December 2017, he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General Land Manager and Director of Acquisitions. Mr. Filbert was promoted to the role of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of Land in July 2018 and to Senior Vice President—Land in October 2020. Mr. Filbert was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promoted to his current role of Executive Vice President—Land in October 2023. Prior to joining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Matador, Mr. Filbert worked as a landman at Chesapeake Energy Corporation from 2010 to 2013.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Most of his time at Chesapeake was spent working with the new ventures team on their Utica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Marcellus shale assets in Ohio and northern Pennsylvania. Mr. Filbert graduated from the University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Oklahoma in 2010, receiving a Bachelor of Business Administration degree in Energy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Management and Finance. He is an active member of the American Association of Professional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Landmen, the New Mexico Landman Association, the Permian Basin Landman Association and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Dallas Association of Petroleum Landmen.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Jordan M. Ellington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President and Asset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Manager</w:t>
            </w:r>
          </w:p>
        </w:tc>
        <w:tc>
          <w:tcPr>
            <w:tcW w:w="82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Ellington joined Matador Resources Company in November 2018 as a Drilling Engineer.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October 2019, Mr. Ellington was promoted to Senior Drilling Engineer and MaxOps Coordinator.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promoted to Vice President and Asset Manager in April 2021, and then to Senior Vice Present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Asset Manager in February 2023. Mr. Ellington was promoted to the role of 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and Asset Manager in February 2024. Prior to joining Matador, Mr. Ellington worked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Chevron from 2014 to 2018 in various roles within the drilling and completions department. Most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his time at Chevron was spent focusing on operations and the execution of major capital projects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exploration and appraisal wells in the Deepwater Gulf of Mexico. Mr. Ellington graduated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summa cum laude from Texas A&amp;M University in 2014, receiving a Bachelor of Science degree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Mechanical Engineering. He is an active member of the Society of Petroleum Engineers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American Association of Drilling Engineers.</w:t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M. Cliff Humphreys</w:t>
            </w:r>
          </w:p>
        </w:tc>
      </w:tr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Completions</w:t>
            </w:r>
          </w:p>
        </w:tc>
        <w:tc>
          <w:tcPr>
            <w:tcW w:w="82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Humphreys joined Matador Resources Company in March 2014 as a Completions Engineer.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December 2018, Mr. Humphreys was promoted to Area Completions Manager. He was promoted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Vice President—Completions in October 2019, and then to Senior Vice President—Completions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April 2022. Mr. Humphreys was promoted to his current role of Executive Vice 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Completions in October 2023. Prior to joining Matador, Mr. Humphreys was an Engineer for Encana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Oil &amp; Gas (USA), primarily assisting with hydraulic fracturing operations in the company’s East Texas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and Louisiana developments. In his time at Matador, Mr. Humphreys has overseen completion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operations in both the Delaware Basin and Eagle Ford assets and has directed the company’s efforts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 recycling produced water for completion operations. Mr. Humphreys received a Bachelor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Science degree in Mechanical Engineering from The University of Texas at Austin in 2013. He is 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active member of the Society of Petroleum Engineers and American Association of Drilling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Engineers, and serves on the scholarship selection committee for the Wichita Falls Area Community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Foundation.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94"/>
        <w:gridCol w:w="8411"/>
      </w:tblGrid>
      <w:tr>
        <w:trPr/>
        <w:tc>
          <w:tcPr>
            <w:tcW w:w="1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Mr. Joshua D. Passauer</w:t>
            </w:r>
          </w:p>
        </w:tc>
      </w:tr>
      <w:tr>
        <w:trPr/>
        <w:tc>
          <w:tcPr>
            <w:tcW w:w="179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Executive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President—Drilling</w:t>
            </w:r>
          </w:p>
        </w:tc>
        <w:tc>
          <w:tcPr>
            <w:tcW w:w="84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Mr. Passauer joined Matador Resources Company in January 2012 as a Drilling Engineer. In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initial role at Matador, he managed drilling rigs in the Eagle Ford and Austin Chalk plays. In 2013,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was part of Matador’s transition to the Delaware basin. In January 2017, he was promoted to Area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Drilling Manager. In July 2018 he was promoted to Vice President of Drilling and then to Senior Vice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President of Drilling in April 2022. He also had the opportunity to work alongside management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creating the MAXCOM team, including overseeing the technology and layout components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MAXCOM room. Mr. Passauer was promoted to his current role of Executive Vice President—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Drilling in October 2023. Prior to joining Matador, Mr. Passauer was an Advanced Services Engineer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with Schlumberger from 2010 to 2012, working in-house with Exco Resources in their drilling group.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While at Exco, he partnered with a team to create an innovative horizontal drill bit design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optimized the most important portion of a horizontal well. This unique bit design won an innovation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 from British Gas, and he was honored to receive that award in London. He also co-authored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 associated article that was published in Oilfield Technology magazine. Prior to Schlumberger,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Passauer worked for Smith International in-house with Samson in Tulsa, Oklahoma.  He began 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career in the oil and gas business in Midland, TX, spending two years in a field role with Smith. This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role with Smith gave him valuable field experience as he was able to visit a wide array of drilling rigs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throughout the Delaware and Midland basins. Mr. Passauer graduated from Baylor University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2006 with a Bachelor of Science degree in Mechanical Engineering and a minor in mathematics. 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 an active member of the Society of Petroleum Engineers and the American Association of Drilling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Engineers.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</w:rPr>
        <w:t>Mr. Joseph Wm. Foran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PROPOSAL 2</w:t>
      </w: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2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 xml:space="preserve">| ADVISORY VOTE TO APPROVE NAMED EXECUTIVE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OFFICER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accordance with the requirements of Section 14A of the Exchange Act, the Company seeks a non-binding advisory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its shareholders to approve the compensation of its Named Executive Officers (as defined below) as described in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Proxy Statement.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believe the Company’s future success and ability to create long-term value for our shareholders depends on our 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attract, retain and motivate highly qualified individuals in the oil and natural gas industry. Additionally, we believe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success also depends on the continued contributions of our Named Executive Officers. The Company’s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system plays a significant role in its ability to attract, motivate and retain a high-quality workforce. As described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Discussion and Analysis (the "CD&amp;A"), the Company’s compensation program for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is designed to reward, in both the short term and the long term, performance that contributes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implementation of our business strategies, maintenance of our culture and values and achievement of our objectives.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proposal provides shareholders the opportunity to endorse or not endorse the Company’s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 through approval of the following resolution: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Resolved, that the compensation paid to the Company’s Named Executive Officers, as disclosed pursuant to Item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402 of Regulation S-K, including the Compensation Discussion and Analysis, compensation tables and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narrative discussion, is hereby approved.”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above-referenced CD&amp;A and accompanying disclosures appear on pages </w:t>
      </w:r>
      <w:hyperlink w:anchor="i0ba49e35038848938278809799065b2a_12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47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-</w:t>
      </w:r>
      <w:hyperlink w:anchor="i0ba49e35038848938278809799065b2a_151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65</w:t>
        </w:r>
      </w:hyperlink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this Proxy Statement.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Because this is an advisory vote, it will not be binding upon the Board. However, the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the Independent Board will take into account the outcome of the vote when considering future executive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compensation arrangements.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6" name="Image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6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of the shares present in person or represented by proxy and entitled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at the Annual Meeting is required to approve this resolution on a non-binding advisory basis. If you hold your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a broker and you do not instruct the broker how to vote, your broker will not have the authority to vote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shares. Abstentions will have the effect as a vote cast against the proposal. Broker non-votes will be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purposes of determining the presence of a quorum but will have no effect upon the outcome of the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our 2024 Annual Meeting of Shareholders, our shareholders approved a non-binding, advisory proposal to hold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advisory votes to approve our executive compensation every year. In consideration of the results of this advisory vote,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has maintained its policy of providing for annual advisory votes to approve executive compensation. Unless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modifies its current policy, the next advisory vote to approve executive compensation following this vote will be held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The Board of Directors recommends that you vote FOR approval of this resolution.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7" name="Image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57" descr="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PROPOSAL 3</w:t>
      </w:r>
      <w:r>
        <w:rPr>
          <w:caps w:val="false"/>
          <w:smallCaps w:val="false"/>
          <w:strike w:val="false"/>
          <w:dstrike w:val="false"/>
          <w:color w:val="005589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 xml:space="preserve">| RATIFICATION OF THE APPOINTMENT OF KPMG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32"/>
          <w:u w:val="none"/>
          <w:effect w:val="none"/>
        </w:rPr>
        <w:t>LLP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has appointed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 as the independent registered public accounting firm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for 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the Board has directed that such appointment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submitted to our shareholders for ratification at the Annual Meeting.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concluded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 provision of non-audit services, such as tax services, does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compromise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 independence.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the shareholders do not 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Audit Committee will consider whether to engage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different independent registered public accounting firm but will not be obligated to do so.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has been advised that representatives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present at the Annual Meeting and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available to respond to appropriate questions and make a statement if they desire to do so.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Fees of Independent Registered Public Accounting Firm for Fiscal Years 2024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and 2023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8" name="Image5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8" descr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fees for professional audit services rendered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audit of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financial statements for the years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fees for other services rendered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by KPMG during those periods:</w:t>
      </w:r>
    </w:p>
    <w:tbl>
      <w:tblPr>
        <w:tblW w:w="45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76"/>
        <w:gridCol w:w="1336"/>
        <w:gridCol w:w="1381"/>
      </w:tblGrid>
      <w:tr>
        <w:trPr/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3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$2,750,000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$2,020,000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Audit-related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$55,000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Tax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$560,000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$420,000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fees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$3,365,000</w:t>
            </w:r>
          </w:p>
        </w:tc>
        <w:tc>
          <w:tcPr>
            <w:tcW w:w="13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$2,490,000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Services rendered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connection with the fees presented above were as follows: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consisted of fees associated with the audit of the Company’s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statements, including the audit of the effectiveness of the Company’s internal control over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reporting, required reviews of our quarterly condensed consolidated financial statements and consultation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significant accounting matters. Audit fees also included fees paid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 San Mateo for the audit of its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statements.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Audit-Related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Audit-related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to fees for assurance and related services for subsidiary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audits that are not included in the audit fees listed above.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Tax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Tax fees for fiscal years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to permitted tax planning services.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All Other Fees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did not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incur any other fees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pre-approves all audit and permissible non-audit services provided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These services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may include audit services, audit-related services, tax services and other services. The Audit Committee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authorized the chair of the Audit Committee to pre-approve audit and permissible non-audit services provided by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KPMG up to $750,000. Pursuant to this delegation, the decisions of the chair must be presented to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Committee at its next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Report of the Audit Committee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59" name="Image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59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a standing committee comprised of independent directors as currently defined by SEC regulations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listing standards of the NYSE. The Board has determined that at least one of the members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is an “audit committee financial expert” as defined by applicable SEC rules and regulations. We operate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a written charter adopted by the Board. A copy of the charter is available free of charge on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website at www.matadorresources.com under “Investor Relations—Corporate 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annually select the Company’s independent registered public accounting firm. If the shareholders do not ratify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Annual Meeting, the Audit Committee will consider whether to engage a different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independent registered public accounting firm but will not be obligated to do so.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is responsible for the Company’s internal controls and the financial reporting process.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 is responsible for performing an independent audit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consolidated financial statements in accordance with the standards of the United States Public Company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Oversight Board (the “PCAOB”) and issuing a report thereon. As provided in our charter, our responsibilities include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monitoring and oversight of these processes.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our charter responsibilities, we have met and held discussions with management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firm. In this context, management and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 represented to us that the Company’s consolidated financial statements for the fiscal year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were prepared in accordance with U.S. generally accepted accounting principles. We reviewed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discussed the consolidated financial statements with management and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 and discussed with the independent registered public accounting firm matters required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discussed by the applicable requirements of the PCAOB and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independent registered public accounting firm has also provided to us the written disclosures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letter required by applicable requirements of the PCAOB regarding the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firm’s communications with the Audit Committee, and we discussed with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accounting firm that firm’s independence.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upon our reviews and discussions with management and the independent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our review of the representation of management and the report of the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 to the Audit Committee, we recommended that the Board include the audited consolidated financial statements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Company’s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filed with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Audit Committee,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William M. Byerley, Chair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Reynald A. Baribault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Paul W. Harvey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James M. Howard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Timothy E. Parker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Susan M. Ward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Vote Required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0" name="Image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60" descr="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of the shares present in person or represented by proxy and entitled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vote at the Annual Meeting is required for the 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registered public accounting firm for the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the shareholders do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Audit Committee will consider whether to engage a different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 but will not be obligated to do so. Abstentions will have the effect as a vote cast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against the proposal.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 xml:space="preserve">The Board of Directors recommends that you vote FOR the ratification of the appointment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of KPMG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as the Company’s independent registered public accounting firm for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005589"/>
          <w:sz w:val="20"/>
          <w:u w:val="none"/>
          <w:effect w:val="none"/>
        </w:rPr>
        <w:t>year ending December 31, 2025.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1" name="Image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61" descr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63040" cy="641350"/>
            <wp:effectExtent l="0" t="0" r="0" b="0"/>
            <wp:docPr id="62" name="Image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62" descr="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Dear Fellow Shareholders,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behalf of the Board and the Compensation Committee, thank you for your continued support of Matador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and for entrusting us with your investment. We are pleased to report that 2024 was another record year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Matador, reflecting not only operational and financial excellence but also the strategic vision and leadership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team.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Thanks to their direction and execution, Matador achieved record oil and natural gas production, reaching an average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over 170,000 barrels of oil equivalent per day. We reported net income of $885 million, delivered $2.3 billion of Adjusted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EBITDA (a non-GAAP financial measure) and generated free cash flow in all four quarters of 2024. These results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underscore the strength of our assets, the quality of our operations, and most importantly, the skill and dedication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team and staff.  While achieving these record results, our executive officers also drove meaningful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improvements in operational efficiency and innovation, including the increased use of 'simul-frac' and 'trimul-frac'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completions and drilling 'U-Turn' wells.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2024 also marked the successful closing of the Ameredev Acquisition, which significantly expanded our position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Delaware Basin and added high-quality inventory in the core of our operating area. Our ability to evaluate, close,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begin integrating this large-scale transaction reflects the deep experience and coordination across Matador’s leadership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team. Additionally, our executive team led the strategic combination of Pronto, our wholly-owned midstream business,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San Mateo, our midstream joint venture, into a unified platform—enhancing operational efficiencies, positioning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midstream segment for future growth and reinforcing our long-term midstream advantage.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Board was also pleased to approve a 25% increase in our quarterly dividend in 2024, which has been increased six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times in the last four years, further demonstrating our commitment to returning capital to shareholders. This achievement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 a direct result of our executive leadership’s disciplined capital management and long-term focus on profitable growth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steady pace.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always, the Compensation Committee is guided by a “pay for performance” philosophy and believes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of our executive officers should reflect the Company’s success and their individual contributions to it.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are proud of what Matador accomplished in 2024 under their leadership and confident in the team’s ability to continue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driving value for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appreciate your trust and support and look forward to continuing our dialogue with you in the year ahead. We hope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you will join us at the 2025 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Sincerely,</w:t>
      </w:r>
    </w:p>
    <w:tbl>
      <w:tblPr>
        <w:tblW w:w="52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01"/>
        <w:gridCol w:w="109"/>
        <w:gridCol w:w="2746"/>
      </w:tblGrid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523875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0080" cy="36703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0" cy="628650"/>
                  <wp:effectExtent l="0" t="0" r="0" b="0"/>
                  <wp:docPr id="65" name="Image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Timothy E. Parker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R. Gaines Baty</w:t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Lead Independent Director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Chair, Strategic Planning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Committee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Compensation Discussion and Analysis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66" name="Image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66" descr="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Compensation Discussion and Analysis, or CD&amp;A, provides a general description of our compensation program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specific information about its various components for the following “Named Executive Officers” or "NEOs"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Joseph Wm. Foran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Chairman of the Board and Chief Executive Officer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Van H. Singleton, II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President—Land, Acquisitions &amp; Divestitures and Planning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Brian J. Willey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Vice President and Chief Financial Officer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G. Gregg Krug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Vice President—Marketing &amp; Midstream Strategy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Bryan A. Erman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Vice President, General Counsel and Head of M&amp;A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exceptional efforts of our executive officers and staff led to yet another record year for Matador in 2024.  Highlights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year included significant upstream and midstream transactions, record operational and financial results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continued return of value to our shareholders through our fixed dividend, which increased again in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Acquisition and Integration of Ameredev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key highlight in 2024 was the Ameredev Acquisition, which added approximately 33,500 contiguous net acres in the core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northern Delaware Basin, provided a significant increase in our drilling inventory with 431 gross (371 net) operated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locations, including prospective targets throughout the Wolfcamp and Bone Spring formations, and more than 25,000 BOE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day in production. Since closing the transaction on September 18, 2024, we have been hard at work integrating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Ameredev properties and our efforts have already resulted in at least $4 million in drilling and completion cost synergies.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Over the next five years, we expect additional drilling and completion cost synergies of over $150 million. In addition,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estimate that we have reduced lease operating expenses on the Ameredev acreage by 35%, or more than $2 million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month, since we began operating the Ameredev assets. The Ameredev Acquisition also included an approximate 19%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interest in the parent company of Piñon.  Piñon was acquired by Enterprise Products Partners L.P. on October 28,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2024, and Matador received approximately $115 million in 2024 from its share of the sale proceeds.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Growing Midstream Business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significant upstream growth, our midstream business remains a critical part of Matador's success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.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December 2024, Matador contributed Pronto to San Mateo,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which resulted in Matador receiving $219.8 million in cash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ability to earn up to $75 million in additional performance incentives.</w:t>
      </w: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Pronto Transaction included Pronto's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interest in the existing Marlan Plant with a designed inlet capacity of 60 million cubic feet per day of natural gas.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Marlan Plant expansion will add an additional plant with a designed inlet capacity of 200 million cubic feet of natural gas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per day. The Marlan Plant expansion remains on time and on budget and is expected to be online in the second quarter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2025. In addition to the financial benefits mentioned above, the Pronto Transaction also provides increased flow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assurance for Matador’s production, primarily in Lea County, New Mexico, and accelerates filling the Marlan Plant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capacity.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Record Operational and Financial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These transactions contributed to record operational and financial results in 2024.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year ended December 31,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2024, we achieved record oil, natural gas and average daily oil and natural gas equivalent production. In 2024, we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produced 36.5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33%, as compared to 27.5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Bbl of oil produced in 2023. We also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produced 155.8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Bcf of natural gas,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26%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123.4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Bcf of natural gas produced in 2023. Our average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daily oil and natural gas equivalent production for the year ended December 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170,751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BOE per day,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99,808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 per day and 425.7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MMcf of natural gas per day, an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30%, as compared to 131,813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BOE per day, including 75,457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Bbl of oil per day and 338.1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MMcf of natural gas per day, for the year ended December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31, 2023. The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oil and natural gas production was primarily attributable to the Ameredev Acquisition and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ongoing delineation and development drilling activities in the Delaware Basin throughout 2024, which offset declining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production in the Eagle Ford shale and Northwest Louisiana. Oil production comprised 58%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57%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our total oil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natural gas production (using a conversion ratio of one Bbl of oil per six thousand cubic feet of natural gas) for the years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December 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2023, respectively.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charts below show the five-year growth experienced by both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exploration and production business and our midstream business. </w:t>
      </w:r>
    </w:p>
    <w:tbl>
      <w:tblPr>
        <w:tblW w:w="87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31"/>
        <w:gridCol w:w="109"/>
        <w:gridCol w:w="2671"/>
        <w:gridCol w:w="109"/>
        <w:gridCol w:w="2836"/>
      </w:tblGrid>
      <w:tr>
        <w:trPr/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 xml:space="preserve">TOTAL OIL EQUIVALENT PRODUCTION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TOTAL PROVED OIL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THIRD-PARTY MIDSREAM SERVICES</w:t>
            </w:r>
          </w:p>
        </w:tc>
      </w:tr>
      <w:tr>
        <w:trPr/>
        <w:tc>
          <w:tcPr>
            <w:tcW w:w="3031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(MMBOE)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EQUIVALENT RESERVES (MMBOE)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36" w:type="dxa"/>
            <w:tcBorders>
              <w:bottom w:val="single" w:sz="4" w:space="0" w:color="1F497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F497D"/>
                <w:sz w:val="15"/>
                <w:u w:val="none"/>
                <w:effect w:val="none"/>
              </w:rPr>
              <w:t>REVENUES ($ millions)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7" name="Image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67" descr="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8" name="Image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68" descr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28800" cy="3200400"/>
            <wp:effectExtent l="0" t="0" r="0" b="0"/>
            <wp:docPr id="69" name="Image6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69" descr="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2024, we achieved several operational milestones in the Delaware Basin. These milestones were each achieved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when we turned to sales: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21 Antelope Ridge wells on properties acquired in our 2023 acquisition of Advance Energy Partners Holdings, LLC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first half of 2024, which matched the largest single batch development project in our history;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Five U-Turn wells in the second half of 2024, with significantly reduced drilling time as compared to our initial U-Turn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wells that we turned to sales in 2023;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increased efficiencies and capital savings through the introduction of "trimul-frac" operations and continued use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"simul-frac" operations.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49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 to achieving these key operational milestones, other operational highlights in the Delaware Basin in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continued drilling of longer laterals, with average completed lateral length for operated wells turned to sales in 2024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9,300 feet;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D/C/E capital expenditures for 2024 of $1.32 billion, which was within our estimated range for 2024 D/C/E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expenditures of $1.15 billion to $1.35 billion as provided on October 22,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 finished 2024 in the best financial shape in our history with nearly $1.6 billion in liquidity under our Credit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 and a leverage ratio of 1.05x. We returned value to shareholders through the generation of free cash flow in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four quarters of 2024 and an increase to our quarterly dividend, which we have increased six times in the last four years.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also completed several important financing transactions in 2024 that increased our operational flexibility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preserving the strength of our balance sheet and improving our liquidity position.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70" name="Image7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70" descr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Highlights of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value-generating items include: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generation of free cash flow in all four quarters of 2024.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our dividend policy in the fourth quarter of 2024, pursuant to which we increased the quarterly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dividend from $0.20 per share of Common Stock to $0.25 per share of Common Stock.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receipt of $219.8 million in special distributions from San Mateo as a result of the Pronto Transaction.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receipt of $23.8 million in performance incentives directly from Five Point in 2024.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underwritten public offering of 5,250,000 shares of Common Stock.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repurchase of all of the aggregate principal amount of approximately $699.2 million of our 2026 Notes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cash tender offer and subsequent exercise of our optional redemption right in April 2024.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issuance of $900.0 million in aggregate principal amount of our 2032 Notes.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issuance of $750.0 million in aggregate principal amount of our 2033 Notes.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spring and fall redeterminations under, and amendments of, our Credit Agreement to collectively (i) increase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base to $3.25 billion, as compared to $2.50 billion at December 31, 2023, (ii) increase the elected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borrowing commitment to $2.25 billion, as compared to $1.325 billion at December 31, 2023, (iii) increase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maximum facility amount to $3.50 billion, as compared to $2.00 billion at December 31, 2023, (iv) extend the maturity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 from October 31, 2026 to March 22, 2029 and (v) add five new banks to our lending group.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amendment of the San Mateo Credit Facility in November 2024 to (i) increase the lender commitments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$535.0 million to $800.0 million, (ii) extend the maturity date from December 9, 2026 to November 26, 2029 and (iii)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 six new banks to San Mateo’s lending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ESG Highlights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2024, we also executed in key ESG-related performance areas and continued to publish voluntary ESG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disclosures. Among other items, our ESG achievements included the following: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low rate of per-barrel emissions, including the substantial reduction in direct greenhouse gas emissions intensity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from 2019 levels; the significant use of non-fresh water, including recycled water; and a high percentage of oil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water transportation by pipeline.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conscientious safety record, including zero employee lost time incidents per 200,000 employee man-hours in 2024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net spill rates of 0.001%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our oil production and 0.003%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our water production.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Approximately 22,500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hours of employee continuing education, equating to approximately 50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hours per employee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2024, and management’s continued focus on risk management and cybersecurity, including quarterly reports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management to the Audit Committee.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publishing of our annual Sustainability Report, which provides Matador’s investors and other interested parties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quantitative metrics for evaluating the Company’s sustainability practices and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Compensation Program Objectives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has a “pay for performance” philosophy and recognizes the leadership of our executive officers in contributing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Company’s achievements. Our future success and ability to create long-term value for our shareholders depend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ability to attract, retain and motivate highly qualified individuals in the oil and natural gas industry. In furtherance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these goals, our executive compensation program is designed to meet the following key objectives: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fair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both the executive and the Company and be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competitive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comparable positions at companies in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peer group;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attract and retain talented and experienced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executives in light of the intense competition for talent in our industry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areas of operation, including from peers and larger industry competitors;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align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interests of our executives with the interests of our shareholders and with the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performance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 for long-term value creation;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provide financial incentives to our executives to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achieve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key corporate and individual objectives with an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appropriate mix of fixed and variable pay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foster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a shared commitment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among executives by coordinating their corporate and individual goals;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provide compensation that takes into consideration the education, professional experience, knowledge,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commitment and dedication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is specific to each job and the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unique qualities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each executive possesses.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Say-on-Pay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support for our executive compensation program remained strong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94%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approval.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took this support into account as one of many factors it considered in connection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discharge of its responsibilities in exercising its judgment in establishing and overseeing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arrangements throughout the year, but did not make any changes to our compensation program as a direct result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2024 vote.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Compensation Program Best Practices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4777"/>
        <w:gridCol w:w="271"/>
        <w:gridCol w:w="482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Do:</w:t>
            </w:r>
          </w:p>
        </w:tc>
        <w:tc>
          <w:tcPr>
            <w:tcW w:w="27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Don't Do: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We pay for performance—approximately 78% of our CEO’s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target total compensation for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was variable and at risk,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with approximately 50% performance-based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do not permit hedging of Company stock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maintain robust stock ownership guidelines for officers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provide a gross-up for excise taxes for severance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or change in control payments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Our Compensation Committee engages an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consultant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do not guarantee bonuses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use competitive benchmarking in setting compensation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reprice stock options without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approval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conduct annual risk assessments of 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practices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have no defined benefit or supplemental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retirement plans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conduct regular shareholder engagement to gather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feedback on compensation practices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allow pledging of Company stock, except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limited circumstances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 hold an annual say-on-pay vote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pay dividends on unvested phantom units,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restricted stock units (“RSUs”) or performance stock units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(“PSUs”)</w:t>
            </w:r>
          </w:p>
        </w:tc>
      </w:tr>
      <w:tr>
        <w:trPr/>
        <w:tc>
          <w:tcPr>
            <w:tcW w:w="3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✓</w:t>
            </w:r>
          </w:p>
        </w:tc>
        <w:tc>
          <w:tcPr>
            <w:tcW w:w="477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cap PSU payouts at target if absolute total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return is negative</w:t>
            </w:r>
          </w:p>
        </w:tc>
        <w:tc>
          <w:tcPr>
            <w:tcW w:w="2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×</w:t>
            </w:r>
          </w:p>
        </w:tc>
        <w:tc>
          <w:tcPr>
            <w:tcW w:w="48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do not pay dividends on unvested restricted stock,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which accumulate and only settle once the underlying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 have vested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z w:val="20"/>
        </w:rPr>
        <w:t xml:space="preserve">Elements of </w:t>
      </w: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Compensation Program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executive compensation program places a considerable amount of an executive’s compensation at risk in the form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or equity-based compensation, which can be variable from year to year. We also seek to provide an appropriate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balance between annual incentives and long-term incentives to ensure that each executive is motivated to consider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longer-term Company performance over short-term results.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our management compensation program was comprised of the following primary elements: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04"/>
        <w:gridCol w:w="3929"/>
        <w:gridCol w:w="3972"/>
      </w:tblGrid>
      <w:tr>
        <w:trPr/>
        <w:tc>
          <w:tcPr>
            <w:tcW w:w="2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Element</w:t>
            </w:r>
          </w:p>
        </w:tc>
        <w:tc>
          <w:tcPr>
            <w:tcW w:w="392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Key Features</w:t>
            </w:r>
          </w:p>
        </w:tc>
        <w:tc>
          <w:tcPr>
            <w:tcW w:w="3972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Why We Include This Element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Base Salary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Fixed level of cash compensation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Compensates each executive for his assigned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responsibilities, experience, leadership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expected future contributions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Annual Cash 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Payments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Variable, annual, performance-based cash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compensation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Focuses and motivates management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achieve key corporate and individual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objectives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Rewards achievements over the prior year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Approximately 50% of target total annual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 equity award value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Vests ratably in annual installments over three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years from grant date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Phantom Units settle in cash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Directly aligns executive and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interests by tying the cash received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settlement to the Company’s stock price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Retains executives over vesting period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Cash settlement of Phantom Units avoids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dilution of Common Stock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Performance Stock Units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Approximately 50% of target total annual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 equity award value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Vests between 0% and 200% following a three-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year performance period ending December 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based on the Company’s relative total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shareholder return ranking as compared to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peers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If absolute total shareholder return is negative,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payout is capped at target (100%)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Focuses executives on the Company’s long-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term performance as award is tied to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Company’s total shareholder return relative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total shareholder return of its peers over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three-year performance period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Settlement in shares of the Company’s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increases alignment between executives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shareholders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Retains executives over vesting period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Severance and Change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Control Benefits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Specified severance pay and benefits 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provided under each Named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Officer’s employment agreement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connection with termination events, including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after a change in control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Provides an incentive for executives to remain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the Company despite the uncertainties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 potential or actual change in control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Provides a measure of financial security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event an executive’s employment is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terminated without cause</w:t>
            </w:r>
          </w:p>
        </w:tc>
      </w:tr>
      <w:tr>
        <w:trPr/>
        <w:tc>
          <w:tcPr>
            <w:tcW w:w="230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Benefits</w:t>
            </w:r>
          </w:p>
        </w:tc>
        <w:tc>
          <w:tcPr>
            <w:tcW w:w="392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Broad-based 401(k) retirement, 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stock purchase plan and health and welfare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benefits offered to all eligible employees</w:t>
            </w:r>
          </w:p>
        </w:tc>
        <w:tc>
          <w:tcPr>
            <w:tcW w:w="397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Provides market competitive benefits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Protects employees against catastrophic loss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encourages a healthy lifestyle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our compensation program objectives, we provide our executive officers with a significant portion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total compensation in the form of variable, rather than fixed, compensation. Importantly, a significant portion of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is also performance-based. The percentages shown below reflect each executive’s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opportunity determined by the Compensation Committee and the Independent Board and do not reflect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actual payments made to the executives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534285" cy="1807210"/>
            <wp:effectExtent l="0" t="0" r="0" b="0"/>
            <wp:docPr id="71" name="Image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71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196850"/>
            <wp:effectExtent l="0" t="0" r="0" b="0"/>
            <wp:docPr id="72" name="Image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72" descr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CEO Target Compensation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8"/>
          <w:u w:val="none"/>
          <w:effect w:val="none"/>
        </w:rPr>
        <w:t>Average Other NEO Target Compensation</w:t>
      </w:r>
      <w:r>
        <w:rPr>
          <w:caps w:val="false"/>
          <w:smallCaps w:val="false"/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1828800"/>
            <wp:effectExtent l="0" t="0" r="0" b="0"/>
            <wp:docPr id="73" name="Image7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73" descr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410845" cy="707390"/>
            <wp:effectExtent l="0" t="0" r="0" b="0"/>
            <wp:docPr id="74" name="Image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74" descr="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5420" cy="142875"/>
            <wp:effectExtent l="0" t="0" r="0" b="0"/>
            <wp:docPr id="75" name="Image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75" descr="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5420" cy="142875"/>
            <wp:effectExtent l="0" t="0" r="0" b="0"/>
            <wp:docPr id="76" name="Image7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76" descr="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~50%</w:t>
      </w:r>
      <w:r>
        <w:rPr>
          <w:caps w:val="false"/>
          <w:smallCaps w:val="false"/>
          <w:sz w:val="24"/>
          <w:shd w:fill="auto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Performance-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based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552700" cy="1771650"/>
            <wp:effectExtent l="0" t="0" r="0" b="0"/>
            <wp:docPr id="77" name="Image7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77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7960" cy="143510"/>
            <wp:effectExtent l="0" t="0" r="0" b="0"/>
            <wp:docPr id="78" name="Image7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78" descr="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4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196850"/>
            <wp:effectExtent l="0" t="0" r="0" b="0"/>
            <wp:docPr id="79" name="Image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79" descr="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hd w:fill="auto" w:val="clear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  <w:shd w:fill="auto" w:val="clear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~78%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Variable Pay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drawing>
          <wp:inline distT="0" distB="0" distL="0" distR="0">
            <wp:extent cx="2743200" cy="1828800"/>
            <wp:effectExtent l="0" t="0" r="0" b="0"/>
            <wp:docPr id="80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415925" cy="699135"/>
            <wp:effectExtent l="0" t="0" r="0" b="0"/>
            <wp:docPr id="81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6690" cy="127000"/>
            <wp:effectExtent l="0" t="0" r="0" b="0"/>
            <wp:docPr id="82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6690" cy="127000"/>
            <wp:effectExtent l="0" t="0" r="0" b="0"/>
            <wp:docPr id="83" name="Image8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83" descr="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~50%</w:t>
      </w:r>
      <w:r>
        <w:rPr>
          <w:caps w:val="false"/>
          <w:smallCaps w:val="false"/>
          <w:sz w:val="24"/>
          <w:shd w:fill="auto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Performance-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based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~76%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auto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4"/>
          <w:u w:val="none"/>
          <w:effect w:val="none"/>
          <w:shd w:fill="auto" w:val="clear"/>
        </w:rPr>
        <w:t>V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shd w:fill="auto" w:val="clear"/>
        </w:rPr>
        <w:t>ariable Pay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05105" cy="127000"/>
            <wp:effectExtent l="0" t="0" r="0" b="0"/>
            <wp:docPr id="84" name="Image8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84" descr="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Role of the Independent Board, Compensation Committee and Management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annually evaluates each of the Company’s executive officers, including Mr. Foran,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recommends to the Independent Board the proposed compensation structure for each of the executives, including salary,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 and non-equity incentive compensation. Based on such recommendations, the Independent Board sets Mr. Foran’s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each year. Mr. Foran consults with and provides recommendations to the Compensation Committee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 regarding the compensation structure for each of the other Named Executive Officers.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recommendations of the Compensation Committee and Mr. Foran, the Independent Board sets the other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Officers’ compensation each year. The members of the Independent Board are independent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listing standards of the NYSE and the rules and regulations promulgated by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 part of its annual evaluations, the Compensation Committee: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conducts an analysis of the Company’s annual performance relative to any performance criteria or targets established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Company's annual cash incentive plan (the "Cash Incentive Plan") and recommends to the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 the amount of the annual cash incentive award payouts;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reviews and recommends the form of and number of shares or share-based units to be awarded pursuant to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 incentive awards, including vesting terms, performance metrics, performance peer groups and other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provisions of such awards;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reviews executive officer compensation levels as compared to the Company’s peers;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reviews and recommends any employment agreement, severance agreement, change in control agreement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provision or separation agreement or amendment thereof;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reviews and recommends any deferred compensation arrangement, retirement plan and other benefits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perquisites.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the Compensation Committee confirms at least annually that our compensation policies and practices do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encourage unnecessary risk taking and reviews the relationship between risk management, corporate strategy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compensation. The Compensation Committee considers, in establishing and reviewing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program, whether the program encourages unnecessary or excessive risk taking and has concluded that it does not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 reasonably likely to have a material adverse effect on us. Many features of our program reflect sound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practices. Base salaries are fixed in amount and thus do not encourage risk taking. While annual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payments are tied to management’s achievements during the applicable fiscal year, they also take into account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multiple performance criteria based on the executive’s individual performance and are within the discretion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Board, with payout limits for each participant. Thus, the Compensation Committee believes that our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incentive awards appropriately balance risk and the desire to focus executives on specific short-term goals important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Company’s success, and that they do not encourage unnecessary or excessive risk taking. In addition,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believes that our equity compensation program provides an appropriate balance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goals of increasing the price of our Common Stock and avoiding potential risks that could threaten our growth and stability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due to the fact that the phantom units and PSUs vest over three years and the PSUs vest based on our relative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 return, with an overall payout limit and a further limit if absolute total shareholder return is negative. We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maintain policies prohibiting hedging and pledging (except in limited circumstances) and stock ownership guidelines and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clawback policy, which we believe further mitigate the potential for unnecessary or excessive risk taking.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pursuant to its charter, the Compensation Committee reviews and recommends to the Independent Board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proposals for the adoption, amendment, modification or termination of our incentive compensation, equity-based plans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non-equity based plans.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Role of the Independent Compensation Consultant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has engaged Meridian Compensation Partners, LLC ("Meridian") as its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compensation advisory firm. Meridian provides assessments of the competitiveness of the Company’s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levels and practices relative to relevant executive labor markets and performs other tasks as requested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Committee.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Compensation Committee assessed the independence of Meridian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applicable SEC and NYSE rules and concluded that Meridian’s engagement by the Compensation Committee did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raise any conflicts of interest.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Use of Peer Group Market Data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independent compensation consultant benchmarks the pay levels of our officers against a group of competitor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companies in the oil and natural gas exploration and production sector (the “Benchmarking Peer Group”). In connection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its annual review, in February of 2024, the Compensation Committee and Independent Board adopted the following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Benchmarking Peer Group in 2024, which was used in setting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compensation levels:</w:t>
      </w:r>
    </w:p>
    <w:tbl>
      <w:tblPr>
        <w:tblW w:w="79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  <w:gridCol w:w="2596"/>
        <w:gridCol w:w="2656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APA Resources Corp.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Magnolia Oil &amp; Gas Corp. 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Permian Resources Corp. 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Civitas Resources, Inc.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Marathon Oil Corp. 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SM Energy Co. 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Coterra Energy Inc. 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Murphy Oil Corp.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Vital Energy, Inc.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Diamondback Energy, Inc. </w:t>
            </w:r>
          </w:p>
        </w:tc>
        <w:tc>
          <w:tcPr>
            <w:tcW w:w="25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Ovintiv Inc.</w:t>
            </w:r>
          </w:p>
        </w:tc>
        <w:tc>
          <w:tcPr>
            <w:tcW w:w="26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 to considering companies in the oil and natural gas exploration and production sector,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also considered company size characteristics such as assets, enterprise value and market capitalization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approving the Benchmarking Peer Group. The Benchmarking Peer Group also includes certain companies with operations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Permian Basin that face similar opportunities and challenges that we face.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Benchmarking Peer Group,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removed Callon Petroleum Co. and PDC Energy, Inc. following the announcements of their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respective acquisitions and added Civitas Resources, Inc., Murphy Oil Corp. and Vital Energy, Inc.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December 31,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the Benchmarking Peer Group had a median market capitalization of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8.6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billion, compared to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market capitalization of 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6.8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billion at such date, placing the Company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45th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percentile of the Benchmarking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Group.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Benchmarking Peer Group is used by the Compensation Committee and the Independent Board in setting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salaries, annual cash incentive award opportunities, long-term incentive awards and target total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levels. The Compensation Committee and Independent Board use this data to inform their pay decisions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one data point among many others, including Company performance, individual performance, experience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responsibilities, leadership and professional growth.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Base Salaries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recommended, and the Independent Board approved, effective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base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salary levels for the Named Executive Officers as set forth below.</w:t>
      </w:r>
    </w:p>
    <w:tbl>
      <w:tblPr>
        <w:tblW w:w="62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2206"/>
        <w:gridCol w:w="2041"/>
      </w:tblGrid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Executive Officer</w:t>
            </w:r>
          </w:p>
        </w:tc>
        <w:tc>
          <w:tcPr>
            <w:tcW w:w="22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2023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3"/>
                <w:u w:val="none"/>
                <w:effect w:val="none"/>
              </w:rPr>
              <w:t>(1)</w:t>
            </w:r>
          </w:p>
        </w:tc>
        <w:tc>
          <w:tcPr>
            <w:tcW w:w="204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$1,350,000</w:t>
            </w:r>
          </w:p>
        </w:tc>
        <w:tc>
          <w:tcPr>
            <w:tcW w:w="204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$1,500,000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$800,000</w:t>
            </w:r>
          </w:p>
        </w:tc>
        <w:tc>
          <w:tcPr>
            <w:tcW w:w="204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$600,000</w:t>
            </w:r>
          </w:p>
        </w:tc>
        <w:tc>
          <w:tcPr>
            <w:tcW w:w="204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204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2206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2041" w:type="dxa"/>
            <w:tcBorders>
              <w:top w:val="single" w:sz="4" w:space="0" w:color="00548B"/>
              <w:bottom w:val="single" w:sz="4" w:space="0" w:color="00548B"/>
            </w:tcBorders>
            <w:shd w:fill="DBDBD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$700,000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Information is not provided for Messrs. Krug or Erman for 2023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 they were not Named Executive Officers in 2023.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determined that the base salary levels for each of the Named Executive Officers effective January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warranted based upon each Named Executive Officer’s individual contributions to, among other items: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operational performance during 2023, including record oil and natural gas production;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financial performance during 2023, including generation of free cash flow in all four quarters of 2023;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stock price during 2023;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Company's acquisition and divestiture ("A&amp;D") activity, including the acquisition of Advance Energy Partners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Holdings, LLC;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continued innovation and improvement in operational efficiencies;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efforts and performance in its ESG-related initiatives and disclosure of such initiatives;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continued growth of the Company’s midstream business throughout 2023.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Annual Cash Incentive Compensation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Company’s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compensation was awarded pursuant to the Cash Incentive Plan, which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designed to link executive decision making and performance with the Company’s goals, reinforce these goals and ensure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highest level of accountability for the success of the Company as a whole. The Cash Incentive Plan advances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and shareholder interests by providing an additional means to (i) sustain and enhance the culture of personal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commitment on the part of executives, select managers and key employees to the continued growth, development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financial success of the Company and (ii) encourage them to remain with, and devote their best efforts to, the Company.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Cash Incentive Plan provides for the grant of cash incentive compensation awards that may be paid to a participant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upon achievement with respect to specified performance goals for a particular performance period. In addition,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Cash Incentive Plan provides that the Compensation Committee and Independent Board may make adjustments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payout for individual executive officers based upon exceptional performance and attainment of certain enumerated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strategic goals (the “Strategic Objectives Adjustment”).  No specific weightings are applied to any individual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strategic goals, and the Compensation Committee uses its judgment in calculating overall payouts.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Performance Goals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chair of the Compensation Committee met with Mr. Foran and certain members of the executive management team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review and discuss potential criteria for the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Plan performance goals. Based on these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meetings, the chair of the Compensation Committee proposed certain preliminary performance goal categories for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full Compensation Committee for consideration. The Compensation Committee then met with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management team to review the proposed performance goal categories. As a result of these discussions, and upon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recommendation of the Compensation Committee, the Independent Board determined to use the following threshold,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target and maximum performance goals for 2024, which were each achieved at or above the target level, as shown below.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goals may be impacted by a variety of factors considered by the Compensation Committee, such 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specific costs anticipated in the areas in which we plan to operate in a given year and macroeconomic factors,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commodity prices and inflation.  As a result, performance targets may not increase every year.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37"/>
        <w:gridCol w:w="1186"/>
        <w:gridCol w:w="1051"/>
        <w:gridCol w:w="1171"/>
        <w:gridCol w:w="1082"/>
        <w:gridCol w:w="1735"/>
        <w:gridCol w:w="343"/>
      </w:tblGrid>
      <w:tr>
        <w:trPr/>
        <w:tc>
          <w:tcPr>
            <w:tcW w:w="36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Performance Goals</w:t>
            </w:r>
          </w:p>
        </w:tc>
        <w:tc>
          <w:tcPr>
            <w:tcW w:w="118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Threshold</w:t>
            </w:r>
          </w:p>
        </w:tc>
        <w:tc>
          <w:tcPr>
            <w:tcW w:w="10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Target</w:t>
            </w:r>
          </w:p>
        </w:tc>
        <w:tc>
          <w:tcPr>
            <w:tcW w:w="117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Actual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Results</w:t>
            </w:r>
          </w:p>
        </w:tc>
        <w:tc>
          <w:tcPr>
            <w:tcW w:w="173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Assessment</w:t>
            </w:r>
          </w:p>
        </w:tc>
        <w:tc>
          <w:tcPr>
            <w:tcW w:w="34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Net Debt/Adjusted EBITDA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(1)(2)(3)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1.55x</w:t>
            </w:r>
          </w:p>
        </w:tc>
        <w:tc>
          <w:tcPr>
            <w:tcW w:w="1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1.42x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1.29x</w:t>
            </w:r>
          </w:p>
        </w:tc>
        <w:tc>
          <w:tcPr>
            <w:tcW w:w="108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1.05x</w:t>
            </w:r>
          </w:p>
        </w:tc>
        <w:tc>
          <w:tcPr>
            <w:tcW w:w="173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Exceeded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34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Adjusted operating costs per BOE, excluding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interest ($/BOE)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(4)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$14.90</w:t>
            </w:r>
          </w:p>
        </w:tc>
        <w:tc>
          <w:tcPr>
            <w:tcW w:w="1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$13.90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$12.90</w:t>
            </w:r>
          </w:p>
        </w:tc>
        <w:tc>
          <w:tcPr>
            <w:tcW w:w="108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$12.42</w:t>
            </w:r>
          </w:p>
        </w:tc>
        <w:tc>
          <w:tcPr>
            <w:tcW w:w="173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Exceeded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34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Return on Average Capital Employed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(ROACE)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(5)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25%</w:t>
            </w:r>
          </w:p>
        </w:tc>
        <w:tc>
          <w:tcPr>
            <w:tcW w:w="1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28%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31%</w:t>
            </w:r>
          </w:p>
        </w:tc>
        <w:tc>
          <w:tcPr>
            <w:tcW w:w="108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32%</w:t>
            </w:r>
          </w:p>
        </w:tc>
        <w:tc>
          <w:tcPr>
            <w:tcW w:w="173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Exceeded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Maximum</w:t>
            </w:r>
          </w:p>
        </w:tc>
        <w:tc>
          <w:tcPr>
            <w:tcW w:w="34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Shareholder Return vs. Peer Group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Upper 50%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Upper 25%</w:t>
            </w:r>
          </w:p>
        </w:tc>
        <w:tc>
          <w:tcPr>
            <w:tcW w:w="108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Upper 50%</w:t>
            </w:r>
          </w:p>
        </w:tc>
        <w:tc>
          <w:tcPr>
            <w:tcW w:w="173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Achieved Target</w:t>
            </w:r>
          </w:p>
        </w:tc>
        <w:tc>
          <w:tcPr>
            <w:tcW w:w="34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3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Environmental, Social and Governance (ESG)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(6)</w:t>
            </w:r>
          </w:p>
        </w:tc>
        <w:tc>
          <w:tcPr>
            <w:tcW w:w="118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3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—</w:t>
            </w:r>
          </w:p>
        </w:tc>
        <w:tc>
          <w:tcPr>
            <w:tcW w:w="34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3"/>
              </w:rPr>
              <w:t>(7)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(1)Adjusted EBITDA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EBITDA and a reconciliation of Adjusted EBITDA 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Matador’s net income (loss) and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 a reference point under the Cash Incentive Plan, Net Debt as of December 31,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is calculated as (i) $2.15 billion in senior notes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outstanding, plus (ii) $648.4 million in debt under the Credit Agreement, including outstanding borrowings and letters of credit, less (iii)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$23.0 million in available cash.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Attributable to Matador Resources Company shareholders after giving effect to those values attributable to third-party non-controlling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interests, including in San Mateo.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Cash operating costs per BOE, excluding interest and midstream operating costs, is a non-GAAP financial measure included herein solely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as a reference point and is commonly used by similar companies in our industry. The Strategic Planning &amp; Compensation Committee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Independent Board believe cash operating costs per BOE, excluding interest and midstream operating costs, is an appropriate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performance metric because it allows them to compare and to evaluate the efficiency of the Company's operations and their impact on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Company's unit cash flows and compare its cash operating costs to prior periods and to its peers' results without regard to financing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methods or capital structure. Cash operating costs per BOE, excluding interest and midstream operating costs, can be calculated from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Company’s audited financial statements included in the Annual Report on Form 10-K for the applicable year by adding the following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expenses per BOE: production taxes, transportation and processing; lease operating; and general and administrative.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ROACE is equal to Adjusted EBITDA attributable to the Company's shareholders plus or minus (x) a discretionary adjustment for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estimated change in the value of the Company's Delaware Basin acreage plus (y) cash inflows from (i) asset sales and other transactions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(ii) strategic midstream transactions divided by total capitalization.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Based on a quantitative and qualitative assessment of the Company’s efforts and performance in several ESG-related areas, including a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review of the Company’s results in the areas of environmental stewardship, safety processes and procedures, training of personnel, risk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management, cybersecurity and human capital management.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Among other items, the Compensation Committee and Independent Board noted the substantial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reduction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per-barrel emissions versus a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2019 baseline, the significant use of non-fresh water, including recycled water, the high percentage of operated produced water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operated produced oil transported by pipeline, the Company's safety performance as reflected in the low employee lost time incident rate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and net spill rate, the number of training hours conducted by Company personnel, the Company's extensive human capital recruiting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training programs, the publication of the Company’s annual Sustainability Report, and management’s continued focus on risk management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cybersecurity, including quarterly reports by executive management to the Audit Committee.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 to setting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goals outlined above, the Compensation Committee identified certain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and strategic achievements to be considered by the Compensation Committee and the Independent Board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connection with the assessment of the performance of the Named Executive Officers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Strategic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Objectives Adjustment component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 These additional factors included: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Adjusted Free Cash Flow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(1)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$807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million;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of oil production growth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33%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reserves growth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612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MMBOE;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drilling and completions cost per foot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$910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lease operating expenses per BOE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$5.47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San Mateo Adjusted EBITDA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(2)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$253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million;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completion of numerous quality acreage, mineral and midstream transactions, including the Ameredev Acquisition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the Pronto Transaction.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(1)Adjusted Free Cash Flow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Free Cash Flow and a reconciliation of Adjusted Free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Cash Flow to Matador’s net cash provided by operating activities, see Annex A to this Proxy Statement.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Adjusted EBITDA is a non-GAAP financial measure included herein solely as a reference point under the Cash Incentive Plan. It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commonly used by similar companies in our industry. For a definition of Adjusted EBITDA and a reconciliation of Adjusted EBITDA to San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Mateo’s net income and net cash provided by operating activities, see Annex A to this Proxy Statement.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/>
          <w:sz w:val="20"/>
        </w:rPr>
        <w:t>Incentive Opportunities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making recommendations regarding potential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incentive opportunities for our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Officers, the Compensation Committee reviewed Meridian’s recommendations and the recommendations of Mr. Foran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regarding proposed target opportunities. Based on such review, which considered the differing responsibilities of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Named Executive Officer and Benchmarking Peer Group data, where available, for bonus levels for comparable positions,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target annual incentive opportunities for each of our Named Executive Officers were as set forth below.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opportunities, as a percentage of base salary, remained unchanged from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target opportunities.</w:t>
      </w:r>
    </w:p>
    <w:tbl>
      <w:tblPr>
        <w:tblW w:w="36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1651"/>
      </w:tblGrid>
      <w:tr>
        <w:trPr/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Participant</w:t>
            </w:r>
          </w:p>
        </w:tc>
        <w:tc>
          <w:tcPr>
            <w:tcW w:w="16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Annual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Incentive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Opportunity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as % of 2024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Base Salary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6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19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65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maximum award opportunity for Mr. Foran was capped at 200% and for Messrs. Singleton, Willey, Krug and Erman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capped at 175%, in each case, prior to application of the Strategic Objectives Adjustment. Our Independent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also determined to cap the Strategic Objectives Adjustment for each of the Named Executive Officers at 30% of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Officer’s otherwise calculated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cash incentive payment.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/>
          <w:sz w:val="20"/>
        </w:rPr>
        <w:t>Performance Results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early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Compensation Committee assessed the Company’s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results in light of the performance goals,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financial and strategic achievements and the following individual performance milestones for each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Officer when determining annual cash incentive award payouts: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6"/>
        <w:gridCol w:w="7649"/>
      </w:tblGrid>
      <w:tr>
        <w:trPr/>
        <w:tc>
          <w:tcPr>
            <w:tcW w:w="2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764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Individual Performance Milestones</w:t>
            </w:r>
          </w:p>
        </w:tc>
      </w:tr>
      <w:tr>
        <w:trPr/>
        <w:tc>
          <w:tcPr>
            <w:tcW w:w="25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Joseph Wm. Foran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Chairman and Chief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Executive Officer</w:t>
            </w:r>
          </w:p>
        </w:tc>
        <w:tc>
          <w:tcPr>
            <w:tcW w:w="764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Provided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direction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leadership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throughout Matador in developing and executing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Matador’s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strategy and operational plan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which resulted in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record operational and financial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results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Directed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origination, negotiation, closing and integration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the Ameredev Acquisition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Provided leadership to the Board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on various matters, including with respect to returning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value to shareholders through our fixed dividend, which increased again in 2024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Led firmwide focus on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attracting, training and retaining talent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and encouraging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employee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leadership development and director engagement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Directed efforts to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develop and maintain positive relationships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directors, shareholders,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vendors and other key stakeholders and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aligned our strategy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and operational plan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throughout the organization by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effectively communicating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to directors, staff, shareholders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the public</w:t>
            </w:r>
          </w:p>
        </w:tc>
      </w:tr>
      <w:tr>
        <w:trPr/>
        <w:tc>
          <w:tcPr>
            <w:tcW w:w="25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Van H. Singleton, II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President - Land,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Acquisitions and Divestitures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and Planning</w:t>
            </w:r>
          </w:p>
        </w:tc>
        <w:tc>
          <w:tcPr>
            <w:tcW w:w="764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Oversaw the Company’s land, land administration and acquisition and development activities,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including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nearly 200 transactions completed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2024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Led the negotiation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 the Ameredev Acquisition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Coordinated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business development activities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opportunities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Chairman of Greyhound Resources, LLC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, the Company's joint venture 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Spearpoint Resources Company ("Greyhound")</w:t>
            </w:r>
          </w:p>
        </w:tc>
      </w:tr>
      <w:tr>
        <w:trPr/>
        <w:tc>
          <w:tcPr>
            <w:tcW w:w="25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Brian J. Willey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Executive Vice President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Chief Financial Officer</w:t>
            </w:r>
          </w:p>
        </w:tc>
        <w:tc>
          <w:tcPr>
            <w:tcW w:w="764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Led the collective effort to manage the Company's balance sheet and improve the Company's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already strong financial position through: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>◦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$2.0 billion in public debt and equity offerings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◦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revision of our Credit Agreement to, among other items,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increase the elected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borrowing commitment by $900.0 million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to $2.25 billion and add five new banks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our lending group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>◦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amendment of the San Mateo Credit Facility to, among other items, increase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lender commitments from $535.0 million to $800.0 million and add six new banks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San Mateo’s lending group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Coordinated and oversaw the general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financial matters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the Company through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management of the Company’s finance staff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Chairman of San Mateo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Shared primary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investor conferences and non-deal roadshows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Foran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59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3"/>
        <w:gridCol w:w="7822"/>
      </w:tblGrid>
      <w:tr>
        <w:trPr/>
        <w:tc>
          <w:tcPr>
            <w:tcW w:w="23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G. Gregg Krug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Executive Vice President -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Marketing and Midstream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Strategy</w:t>
            </w:r>
          </w:p>
        </w:tc>
        <w:tc>
          <w:tcPr>
            <w:tcW w:w="7822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the Company’s Marketing and Midstream business units, including San Mateo and Pronto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Overall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the Company's oil and natural gas marketing activities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Directed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negotiation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of the Pronto Transaction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a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member of the Board of Directors of San Mateo</w:t>
            </w:r>
            <w:r>
              <w:rPr>
                <w:caps w:val="false"/>
                <w:smallCaps w:val="false"/>
              </w:rPr>
              <w:t xml:space="preserve">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Shared primary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responsibility for the Company's Marketing and Midstream strategy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with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Mr. Foran</w:t>
            </w:r>
          </w:p>
        </w:tc>
      </w:tr>
      <w:tr>
        <w:trPr/>
        <w:tc>
          <w:tcPr>
            <w:tcW w:w="238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Bryan A. Erman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Executive Vice President,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General Counsel and Head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 xml:space="preserve">of M&amp;A, Corporate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/>
                <w:sz w:val="20"/>
              </w:rPr>
            </w:pPr>
            <w:r>
              <w:rPr>
                <w:rFonts w:ascii="sans-serif" w:hAnsi="sans-serif"/>
                <w:b w:val="false"/>
                <w:i/>
                <w:sz w:val="20"/>
              </w:rPr>
              <w:t>Secretary</w:t>
            </w:r>
          </w:p>
        </w:tc>
        <w:tc>
          <w:tcPr>
            <w:tcW w:w="7822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Coordinated and oversaw the general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legal matters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the Company through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management of the Company’s legal staff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Head of M&amp;A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and shared responsibility with Mr. Singleton for A&amp;D activities, including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nearly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200 transactions completed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in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2024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Led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the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 xml:space="preserve">execution, closing and integration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of the Ameredev Acquisition and Pronto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Transaction, including all legal documentation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Oversaw the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risk management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activities of the Company, including the Company's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>Environmental, Health and Safety group and the Company's insurance program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Corporate Secretary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and one of the Company's primary Board contacts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548B"/>
                <w:u w:val="none"/>
                <w:effect w:val="none"/>
              </w:rPr>
              <w:t>•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Served as a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20"/>
              </w:rPr>
              <w:t>member of the Board of Directors of Greyhound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evaluating the Environmental, Social and Governance performance metric, the Compensation Committee performed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qualitative assessment of the Company’s ESG record for the year. Among other items, the Compensation Committee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 noted the publication of the Company’s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Sustainability Report, the substantial reduction of per-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barrel emissions versus a 2019 baseline, the significant use of non-fresh water, including recycled water, the high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of operated produced water and operated produced oil transported by pipeline, the Company's safety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as reflected in the low employee lost time incident rate and net spill rate, the Company’s extensive human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recruiting and training programs, the number of training hours conducted by Company personnel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management’s continued focus on risk management and cybersecurity, including quarterly reports by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management to the Audit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assessing performance under the Strategic Objectives Adjustment, the Compensation Committee reviewed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individual performance milestones listed above as well as additional individual contributions to the achievement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Company-wide performance goals and certain financial and strategic achievements. Based on this review,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determined that each of the Named Executive Officers performed at a high level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contributing to the Company’s success.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on such assessment, the Compensation Committee recommended to the Independent Board the annual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 awards listed below for each Named Executive Officer under the Cash Incentive Plan, including Strategic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Objectives Adjustments equal to 30% for each of Messrs. Foran, Singleton and Krug and 26% for Mr. Erman.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Board approved such annual cash awards, which were paid to the Named Executive Officers in February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85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21"/>
        <w:gridCol w:w="1981"/>
        <w:gridCol w:w="2011"/>
        <w:gridCol w:w="1756"/>
      </w:tblGrid>
      <w:tr>
        <w:trPr/>
        <w:tc>
          <w:tcPr>
            <w:tcW w:w="2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2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19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Payable for 2024</w:t>
            </w:r>
          </w:p>
        </w:tc>
        <w:tc>
          <w:tcPr>
            <w:tcW w:w="20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Maximum Award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Payable for 2024</w:t>
            </w:r>
          </w:p>
        </w:tc>
        <w:tc>
          <w:tcPr>
            <w:tcW w:w="175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Actual Award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for 2024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$1,500,000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$3,900,000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$3,900,000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$1,487,500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98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$850,000</w:t>
            </w:r>
          </w:p>
        </w:tc>
        <w:tc>
          <w:tcPr>
            <w:tcW w:w="20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  <w:tc>
          <w:tcPr>
            <w:tcW w:w="175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$1,933,750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9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$700,000</w:t>
            </w:r>
          </w:p>
        </w:tc>
        <w:tc>
          <w:tcPr>
            <w:tcW w:w="201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$1,592,500</w:t>
            </w:r>
          </w:p>
        </w:tc>
        <w:tc>
          <w:tcPr>
            <w:tcW w:w="175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$1,542,500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2024</w:t>
      </w:r>
      <w:r>
        <w:rPr>
          <w:sz w:val="24"/>
        </w:rPr>
        <w:t xml:space="preserve"> </w:t>
      </w:r>
      <w:r>
        <w:rPr>
          <w:rFonts w:ascii="Arial;sans-serif" w:hAnsi="Arial;sans-serif"/>
          <w:b/>
          <w:i/>
          <w:sz w:val="20"/>
        </w:rPr>
        <w:t>Long-Term Incentive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February 2024, the Independent Board granted awards to the Named Executive Officers comprised of approximately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50% service-based cash-settled phantom units and approximately 50% share-settled PSUs.  These long-term equity-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awards facilitate retention of our Named Executive Officers, incentivize producing positive future results and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align the interests of our Named Executive Officers with those of the Company’s shareholders. The table below provides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key terms of the February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equity-based awards for our Named Executive Officers: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8"/>
        <w:gridCol w:w="2534"/>
        <w:gridCol w:w="5423"/>
      </w:tblGrid>
      <w:tr>
        <w:trPr/>
        <w:tc>
          <w:tcPr>
            <w:tcW w:w="22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8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Key Terms</w:t>
            </w:r>
          </w:p>
        </w:tc>
        <w:tc>
          <w:tcPr>
            <w:tcW w:w="253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542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Performance Stock Units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 xml:space="preserve">Targeted percentage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of total award value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Approximately 50%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Approximately 50%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Vesting terms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Three years ratably on each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anniversary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20"/>
              </w:rPr>
              <w:t xml:space="preserve">Following three-year performance period ending December 31, 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</w:p>
        </w:tc>
      </w:tr>
      <w:tr>
        <w:trPr/>
        <w:tc>
          <w:tcPr>
            <w:tcW w:w="2248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20"/>
                <w:u w:val="none"/>
                <w:effect w:val="none"/>
              </w:rPr>
              <w:t>Performance metric</w:t>
            </w:r>
          </w:p>
        </w:tc>
        <w:tc>
          <w:tcPr>
            <w:tcW w:w="25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N/A</w:t>
            </w:r>
          </w:p>
        </w:tc>
        <w:tc>
          <w:tcPr>
            <w:tcW w:w="54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Relative total shareholder return, with payout capped at target if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absolute total shareholder return is negative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number of shares underlying each grant (assuming the target number of PSUs) and the target value of the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equity grants are set forth in the table below:</w:t>
      </w:r>
    </w:p>
    <w:tbl>
      <w:tblPr>
        <w:tblW w:w="79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21"/>
        <w:gridCol w:w="1741"/>
        <w:gridCol w:w="1606"/>
        <w:gridCol w:w="1831"/>
      </w:tblGrid>
      <w:tr>
        <w:trPr/>
        <w:tc>
          <w:tcPr>
            <w:tcW w:w="2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2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Named Executive Officer</w:t>
            </w:r>
          </w:p>
        </w:tc>
        <w:tc>
          <w:tcPr>
            <w:tcW w:w="174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Phantom Units</w:t>
            </w:r>
          </w:p>
        </w:tc>
        <w:tc>
          <w:tcPr>
            <w:tcW w:w="16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Target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Performance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Stock Units</w:t>
            </w:r>
          </w:p>
        </w:tc>
        <w:tc>
          <w:tcPr>
            <w:tcW w:w="18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Targeted Value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Wm. Foran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$3,500,000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Van H. Singleton, II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$1,750,000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Brian J. Willey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$1,750,000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G. Gregg Krug</w:t>
            </w:r>
          </w:p>
        </w:tc>
        <w:tc>
          <w:tcPr>
            <w:tcW w:w="17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$1,750,000</w:t>
            </w:r>
          </w:p>
        </w:tc>
      </w:tr>
      <w:tr>
        <w:trPr/>
        <w:tc>
          <w:tcPr>
            <w:tcW w:w="282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Bryan A. Erman</w:t>
            </w:r>
          </w:p>
        </w:tc>
        <w:tc>
          <w:tcPr>
            <w:tcW w:w="17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15,000</w:t>
            </w:r>
          </w:p>
        </w:tc>
        <w:tc>
          <w:tcPr>
            <w:tcW w:w="160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10,000</w:t>
            </w:r>
          </w:p>
        </w:tc>
        <w:tc>
          <w:tcPr>
            <w:tcW w:w="18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$1,750,000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approved the total targeted value for the year for each Named Executive Officer and then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converted that value into an approximate aggregate number of units based on the closing price of our Common Stock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date prior to the date of grant. The units were then granted approximately 50% in the form of phantom units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approximately 50% in the form of PSUs (at target). The PSUs may settle between 0% and 200% of the total target PSUs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subject to the award based on our total shareholder return relative to the total shareholder return of the peer group over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three-year performance period from January 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through December 31, 2026. If our absolute total shareholder return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over such performance period is negative, no more than 100% of the target PSUs may vest. The applicable percentage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vested units is shown below with respect to each percentile ranking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results are interpolated for results between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various rankings shown below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</w:t>
      </w:r>
    </w:p>
    <w:tbl>
      <w:tblPr>
        <w:tblW w:w="76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96"/>
        <w:gridCol w:w="3226"/>
      </w:tblGrid>
      <w:tr>
        <w:trPr/>
        <w:tc>
          <w:tcPr>
            <w:tcW w:w="4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Company’s Relative Total 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Return Percentile Ranking</w:t>
            </w:r>
          </w:p>
        </w:tc>
        <w:tc>
          <w:tcPr>
            <w:tcW w:w="32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Percentage of Target PSUs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That Will Vest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90th</w:t>
            </w:r>
          </w:p>
        </w:tc>
        <w:tc>
          <w:tcPr>
            <w:tcW w:w="32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180%</w:t>
            </w:r>
          </w:p>
        </w:tc>
      </w:tr>
      <w:tr>
        <w:trPr/>
        <w:tc>
          <w:tcPr>
            <w:tcW w:w="439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100th</w:t>
            </w:r>
          </w:p>
        </w:tc>
        <w:tc>
          <w:tcPr>
            <w:tcW w:w="32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200%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 and Independent Board approved the following group of peer companies for purposes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assessing the Company’s relative total shareholder return under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PSU grants: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 xml:space="preserve">            </w:t>
      </w:r>
    </w:p>
    <w:tbl>
      <w:tblPr>
        <w:tblW w:w="58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31"/>
        <w:gridCol w:w="3136"/>
      </w:tblGrid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APA Resources Corp.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Murphy Oil Corp.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Civitas Resources, Inc.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Ovintiv Inc.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Coterra Energy Inc. 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Permian Resources Corp. 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Diamondback Energy, Inc. 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SM Energy Co. 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Magnolia Oil &amp; Gas Corp. 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SPDR S&amp;P OIL &amp; GAS EXP &amp; PR</w:t>
            </w:r>
          </w:p>
        </w:tc>
      </w:tr>
      <w:tr>
        <w:trPr/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Marathon Oil Corp. </w:t>
            </w:r>
          </w:p>
        </w:tc>
        <w:tc>
          <w:tcPr>
            <w:tcW w:w="31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Vital Energy, Inc.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Vesting of 2022</w:t>
      </w:r>
      <w:r>
        <w:rPr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Performance Stock Units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PSU awards granted to the Named Executive Officers in February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vested based on the percentile level at 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total shareholder return to the Company’s stockholders over the three-year period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stood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relation to the total shareholder return realized over that period by each member of a group of peer companies established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time of the grant of the awards. In accordance with the terms of the award agreements governing the awards,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Callon Petroleum Co., PDC Energy, Inc. and Marathon Oil Corp. had been acquired during the period and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removed from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peer group and excluded from the relative total shareholder return calculation for the vesting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PSUs. In accordance with the terms of the award agreements, the Compensation Committee also determined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Diamondback Energy, Inc. was no longer an appropriate comparator company and should be removed from the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group as a result of its acquisition of Endeavor Energy Resources, L.P.  Based on our performance after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adjustments, the Company’s total shareholder return percentile ranking was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 percentile and the PSUs vested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172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% of target.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offer a variety of health and welfare programs to eligible employees, including the Named Executive Officers.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health and welfare programs are intended to protect employees against catastrophic loss and encourage a healthy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lifestyle. Our health and welfare programs include medical, pharmacy, dental, disability and life insurance. We also offer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401(k) plan for eligible employees, including the Named Executive Officers, to which we contribute an amount equal to 3%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employee’s eligible compensation, which is subject to limits established by the U.S. Internal Revenue Code of 1986,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amended (the “Code”), and have the discretion to contribute an amount equal to up to an additional 4%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employee’s eligible compensation as a dollar-for-dollar matching contribution with respect to his or her elective deferral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contributions. The discretionary dollar-for-dollar match is subject to vesting based upon years of service to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limits on the compensation that may be considered under the Code. In addition, we provide long-term care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insurance for certain of our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Severance and Separation Arrangements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entered into employment agreements with each of our Named Executive Officers. Under the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agreements, if a termination of employment occurs pursuant to one of the following events: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dies;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is totally disabled;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mutually agree to end the employment agreement;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dissolve and liquidate;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term of the employment agreement ends,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pay the Named Executive Officer the average of his annual cash bonus, which includes non-equity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compensation, for the prior two years, pro-rated based on the number of complete or partial months completed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year of termination.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Also, under the employment agreements, if one of the following occurs: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Named Executive Officer’s employment is terminated other than (i) as set forth above, (ii) by us for "just cause"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(iii) in connection with a “change in control” as described below;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Named Executive Officer terminates his employment for “good reason,”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then, (i) for Mr. Foran, we will pay him twice his base salary and twice the average of his annual cash bonus for the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two years; and (ii) for Messrs. Singleton, Willey, Krug and Erman we will pay him 1.5 times his base salary and 1.5 times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average of his annual cash bonus for the prior two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Finally, under the employment agreement of Mr. Foran, which was entered into in 2011, if we terminate Mr. Foran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30 days prior to the “change in control” or within 12 months after the “change in control” without “just cause” or Mr. Foran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terminates his employment with or without “good reason” during such period, we will pay him three times his base salary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three times the average of his annual cash bonus for the prior two years. This agreement was entered into prior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initial public offering. At that time, we believed a “modified single trigger” was appropriate given the Company’s size, early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stage of development and strong growth aspirations. Since that time, however, we have ceased to use “modified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triggers” in executive employment agreements, and we intend to exclusively use “double triggers” going forward, as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since 2014. The agreements entered into with each of the other Named Executive Officers include a “double trigger”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that if we terminate such executive within 30 days prior to the “change in control” or within 12 months after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 in control” without “just cause” or he terminates his employment with “good reason,” we will pay him three times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his base salary and three times the average of his annual cash bonus for the prior two years. In addition, if any of our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Officers are terminated or terminate their employment as set forth above in connection with a “change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control,” all equity awards held by such Named Executive Officer vest immediately prior to such termination.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definitions of “change in control,” “good reason” and “just cause,” please see the employment agreement of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Officer, each of which is included as an exhibit to the Company’s most recent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Equity Plans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equity grants under the Matador Resources Company 2019 Long-Term Incentive Plan (as amended, the “2019 Plan”),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than the PSUs, vesting upon a “change in control” for the Named Executive Officers mirrors the terms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employment agreements. The PSUs vest upon a “change in control” based on performance achieved through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change in control, as it is anticipated that a change in control would make achievement of relative total shareholder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performance impractical to measure.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“change in control” provisions in the employment agreements and the equity grants under the 2019 Plan help prevent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management from being distracted by rumored or actual changes in control. The “change in control” provisions provide: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incentives for those Named Executive Officers to remain with us despite the uncertainties of a potential or actual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change in control;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assurance of severance payments for terminated Named Executive Officers;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access to equity compensation after a change in control.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Stock Ownership Guidelines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adopted stock ownership guidelines for the following officers in the following designated amounts: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Chairman and Chief Executive Officer—shares equal to five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President—shares equal to five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Vice Presidents—shares equal to two and 1/2 times base salary;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Senior Vice Presidents—shares equal to two times base salary;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Vice Presidents and Executive Directors—shares equal to one and 1/2 times base salary.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Newly appointed officers have until the fifth anniversary of his or her appointment as an officer of the Company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which to achieve the stock ownership position. Shares that count toward the stock ownership guidelines include time-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shares of restricted stock. Shares that will not count toward the stock ownership guidelines include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underlying unexercised stock options, unexercised stock appreciation rights, phantom units and performance-based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awards for which the performance requirements have not been satisfied.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Until each of the above officers reaches the stock ownership level required of his or her position, such officer must hold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least 50% of all “net shares” received through restricted stock, PSU or RSU vesting or realized through stock option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exercises. For this purpose, “net shares” means all shares retained after applicable withholding of any shares for 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purposes. Additionally, upon the vesting of restricted stock, PSUs or RSUs or the exercise of stock options, each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must hold the net shares for a minimum of 12 months following such vesting or exercise, or until his earlier retirement.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each Named Executive Officer owned shares in excess of the applicable minimum requirement set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forth in the stock ownership guidelines, and Mr. Foran held shares with a value equal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times his base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salary then in effect.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Insider Trading Policy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has adopted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 insider trading policy (the “Insider Trading Policy”) governing purchases, sales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 in the Company’s securities by its insiders, including its directors, officers, employees and in-house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contractors.  The Company believes the Insider Trading Policy is reasonably designed to promote compliance with insider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trading laws, rules and regulations, as well as applicable NYSE listing standards. A copy of the Insider Trading Policy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been filed as an exhibit to the Company’s Annual Report on Form 10-K for the year ended December 31,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Anti-Hedging and Anti-Pledging Policies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Company’s Insider Trading Policy, the Company prohibits hedging of its securities by directors, officers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employees. Specifically, no such person shall purchase or sell, or make any offer to purchase or offer to sell, derivative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relating to the Company’s stock, whether or not issued by the Company, or financial instruments that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designed to hedge or offset any decrease in the market value of the Company’s stock (including but not limited to prepaid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variable forward contracts, equity swaps, collars and exchange funds) or otherwise engage in transactions that hedge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offset, or are designed to hedge or offset, any decrease in the market value of Company equity securities (a) granted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person by the Company as part of the compensation of such person; or (b) held, directly or indirectly, by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person. The Insider Trading Policy also restricts directors and executive officers from pledging more than 25% of his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her holdings of the Company’s stock without the prior written consent of the Environmental, Social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Governance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Equity Grant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Independent Board generally grants annual equity awards to executive officers at its regularly scheduled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February. Awards to non-executive employees are typically granted during the first half of the year. Although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did not grant stock options or stock appreciation rights in 2024, eligible employees may enroll to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the Company’s Common Stock under the terms of the Matador Resources Company 2022 Employee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 Plan (the “ESPP”), with purchase dates generally in June and December of each year. In special circumstances,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the hiring or promotion of an individual or where it is otherwise determined to be in the Company’s best interest,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may approve grants to be effective at other times. The Company may change its equity grant practices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future.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does not approve grants in anticipation of the release of material nonpublic information and does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 time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disclosure of material nonpublic information for the purpose of affecting the value of executive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maintains a compensation clawback policy applicable to the Company’s executive officers in accordance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applicable NYSE listing rules, a copy of which is filed as an exhibit to the Company’s Annual Report on Form 10-K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  The Company’s clawback policy generally requires recovery of incentive-based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received by executive officers during the three fiscal years preceding the date it is determined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is required to prepare an accounting restatement of its financial statements (including any such correction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recorded in the Company’s current period financial statements) due to material non-compliance with any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reporting requirement under the federal securities laws. The amount required to be recovered is the excess of the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incentive-based compensation received over the amount that would have been received had it been determined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calculated based on the Company’s restated financial results.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Strategic Planning and Compensation Committee Report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5" name="Image8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85" descr="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reviewed and discussed with management the Compensation Discussion and Analysis required by Item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402(b) of Regulation S-K and based on such review and discussions, we recommended to the Board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Discussion and Analysis be included in this Proxy Statement and incorporated by reference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Strategic Planning and Compensation Committee,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R. Gaines Baty, Chair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Reynald A. Baribault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Monika U. Ehrman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Timothy E. Parker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Kenneth L. Stewart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Summary Compensation Table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6" name="Image8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86" descr="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summarizes the total compensation awarded to, earned by or paid to the Named Executive Officers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Mr. Willey was not a Named Executive Officer prior to 2023 and Messrs. Krug and Erman were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Officers prior to 2024. This table and the accompanying narrative should be read in conjunction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CD&amp;A, which sets forth the objectives and other information regarding our executive compensation program: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04"/>
        <w:gridCol w:w="526"/>
        <w:gridCol w:w="1036"/>
        <w:gridCol w:w="1517"/>
        <w:gridCol w:w="1599"/>
        <w:gridCol w:w="1441"/>
        <w:gridCol w:w="1082"/>
      </w:tblGrid>
      <w:tr>
        <w:trPr/>
        <w:tc>
          <w:tcPr>
            <w:tcW w:w="30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 and Principal Position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51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59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Non-Equity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00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$1,500,000</w:t>
            </w:r>
          </w:p>
        </w:tc>
        <w:tc>
          <w:tcPr>
            <w:tcW w:w="151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$3,010,300</w:t>
            </w:r>
          </w:p>
        </w:tc>
        <w:tc>
          <w:tcPr>
            <w:tcW w:w="159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$3,900,000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$26,749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$8,437,049</w:t>
            </w:r>
          </w:p>
        </w:tc>
      </w:tr>
      <w:tr>
        <w:trPr/>
        <w:tc>
          <w:tcPr>
            <w:tcW w:w="300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Chairman of the Board and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$1,350,000</w:t>
            </w:r>
          </w:p>
        </w:tc>
        <w:tc>
          <w:tcPr>
            <w:tcW w:w="151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$3,575,900</w:t>
            </w:r>
          </w:p>
        </w:tc>
        <w:tc>
          <w:tcPr>
            <w:tcW w:w="159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$3,105,000</w:t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$25,699</w:t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$8,056,599</w:t>
            </w:r>
          </w:p>
        </w:tc>
      </w:tr>
      <w:tr>
        <w:trPr/>
        <w:tc>
          <w:tcPr>
            <w:tcW w:w="3004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Executive Officer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$1,350,000</w:t>
            </w:r>
          </w:p>
        </w:tc>
        <w:tc>
          <w:tcPr>
            <w:tcW w:w="151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$4,472,369</w:t>
            </w:r>
          </w:p>
        </w:tc>
        <w:tc>
          <w:tcPr>
            <w:tcW w:w="159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$3,105,000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$23,949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$8,951,318</w:t>
            </w:r>
          </w:p>
        </w:tc>
      </w:tr>
      <w:tr>
        <w:trPr/>
        <w:tc>
          <w:tcPr>
            <w:tcW w:w="3004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51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9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$1,933,750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$24,150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$4,313,050</w:t>
            </w:r>
          </w:p>
        </w:tc>
      </w:tr>
      <w:tr>
        <w:trPr/>
        <w:tc>
          <w:tcPr>
            <w:tcW w:w="300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President-Land, Acquisitions</w:t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$800,000</w:t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$1,787,950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$1,610,000</w:t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$23,100</w:t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$4,221,050</w:t>
            </w:r>
          </w:p>
        </w:tc>
      </w:tr>
      <w:tr>
        <w:trPr/>
        <w:tc>
          <w:tcPr>
            <w:tcW w:w="3004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Divestitures and Planning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$750,000</w:t>
            </w:r>
          </w:p>
        </w:tc>
        <w:tc>
          <w:tcPr>
            <w:tcW w:w="151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$2,140,604</w:t>
            </w:r>
          </w:p>
        </w:tc>
        <w:tc>
          <w:tcPr>
            <w:tcW w:w="159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$1,509,375</w:t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$21,350</w:t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$4,421,329</w:t>
            </w:r>
          </w:p>
        </w:tc>
      </w:tr>
      <w:tr>
        <w:trPr/>
        <w:tc>
          <w:tcPr>
            <w:tcW w:w="300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51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9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$1,487,500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$24,150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$3,866,800</w:t>
            </w:r>
          </w:p>
        </w:tc>
      </w:tr>
      <w:tr>
        <w:trPr/>
        <w:tc>
          <w:tcPr>
            <w:tcW w:w="300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Vice President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$600,000</w:t>
            </w:r>
          </w:p>
        </w:tc>
        <w:tc>
          <w:tcPr>
            <w:tcW w:w="151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$1,008,980</w:t>
            </w:r>
          </w:p>
        </w:tc>
        <w:tc>
          <w:tcPr>
            <w:tcW w:w="159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$1,365,000</w:t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$23,100</w:t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$2,997,080</w:t>
            </w:r>
          </w:p>
        </w:tc>
      </w:tr>
      <w:tr>
        <w:trPr/>
        <w:tc>
          <w:tcPr>
            <w:tcW w:w="3004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Chief Financial Officer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4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$850,000</w:t>
            </w:r>
          </w:p>
        </w:tc>
        <w:tc>
          <w:tcPr>
            <w:tcW w:w="151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9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$1,933,750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$24,150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$4,313,050</w:t>
            </w:r>
          </w:p>
        </w:tc>
      </w:tr>
      <w:tr>
        <w:trPr/>
        <w:tc>
          <w:tcPr>
            <w:tcW w:w="300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Vice President-Marketing</w:t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4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Midstream Strategy</w:t>
            </w:r>
          </w:p>
        </w:tc>
        <w:tc>
          <w:tcPr>
            <w:tcW w:w="52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52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3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$700,000</w:t>
            </w:r>
          </w:p>
        </w:tc>
        <w:tc>
          <w:tcPr>
            <w:tcW w:w="151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$1,505,150</w:t>
            </w:r>
          </w:p>
        </w:tc>
        <w:tc>
          <w:tcPr>
            <w:tcW w:w="159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$1,542,500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$24,150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82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$3,771,800</w:t>
            </w:r>
          </w:p>
        </w:tc>
      </w:tr>
      <w:tr>
        <w:trPr/>
        <w:tc>
          <w:tcPr>
            <w:tcW w:w="300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Vice President,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0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General Counsel and Head of M&amp;A</w:t>
            </w:r>
          </w:p>
        </w:tc>
        <w:tc>
          <w:tcPr>
            <w:tcW w:w="52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Reflects the grant date fair value of phantom units, PSUs or restricted stock awards, as applicable, computed in accordance with Financial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Accounting Standards Board (“FASB”) Accounting Standards Codification (“ASC”) Topic 718, excluding the effect of any estimated forfeitures.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Company uses the Monte Carlo simulation method to measure the fair value of PSUs and the closing price of the Company's Common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on the trading day prior to the grant date to measure the fair value of restricted stock and phantom unit awards. See Note 9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Company’s consolidated financial statements included in its Annual Report on Form 10-K for the year ended December 31, 2024 for additional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detail regarding assumptions underlying the value of these awards. For 2024, the portion of the amount reflected in this column relating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PSUs is calculated based on probable outcome with respect to achievement of the applicable performance goals as of the grant date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assumes achievement between target and maximum. The grant date fair value of PSUs granted in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assuming achievement of maximum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performance is $2,243,600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Mr. Foran and $1,121,800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each of the other Named Executive Officers.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awards pursuant to the Cash Incentive Plan. See “—Compensation Discussion and Analysis—2024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Cash Incentive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Compensation” above.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Consists of $24,150 in 401(k) Company and matching contributions as described in “—Compensation Discussion and Analysis—Benefits”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$2,599 in long-term care insurance premiums.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Reflects 401(k) Company and matching contributions as described in “—Compensation Discussion and Analysis—Benefits.”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Grants of Plan-Based Awards Table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7" name="Image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87" descr="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sets forth certain information regarding non-equity incentive awards granted by the Independent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the Cash Incentive Plan and awards of cash-settled phantom units and share-settled PSUs granted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Independent Board to the Named Executive Officers pursuant to the 2019 Plan during the year ended December 31,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7"/>
        <w:gridCol w:w="720"/>
        <w:gridCol w:w="1153"/>
        <w:gridCol w:w="1021"/>
        <w:gridCol w:w="1087"/>
        <w:gridCol w:w="1143"/>
        <w:gridCol w:w="767"/>
        <w:gridCol w:w="1077"/>
        <w:gridCol w:w="894"/>
        <w:gridCol w:w="1076"/>
      </w:tblGrid>
      <w:tr>
        <w:trPr/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1" w:type="dxa"/>
            <w:gridSpan w:val="3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Estimated Future Payouts Under Non-Equity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Incentive Plan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2987" w:type="dxa"/>
            <w:gridSpan w:val="3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Estimated Future Payouts Under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Incentive Plan 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894" w:type="dxa"/>
            <w:vMerge w:val="restart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Units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  <w:tc>
          <w:tcPr>
            <w:tcW w:w="1076" w:type="dxa"/>
            <w:vMerge w:val="restart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Grant Date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Fair Value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26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3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1021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87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1143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</w:tc>
        <w:tc>
          <w:tcPr>
            <w:tcW w:w="767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77" w:type="dxa"/>
            <w:tcBorders>
              <w:top w:val="single" w:sz="8" w:space="0" w:color="FFFFFF"/>
              <w:bottom w:val="single" w:sz="8" w:space="0" w:color="FFFFFF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  <w:tc>
          <w:tcPr>
            <w:tcW w:w="894" w:type="dxa"/>
            <w:vMerge w:val="continue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6" w:type="dxa"/>
            <w:vMerge w:val="continue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72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Grant Date</w:t>
            </w:r>
          </w:p>
        </w:tc>
        <w:tc>
          <w:tcPr>
            <w:tcW w:w="115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2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8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14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76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7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894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076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2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720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1,500,000</w:t>
            </w:r>
          </w:p>
        </w:tc>
        <w:tc>
          <w:tcPr>
            <w:tcW w:w="108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3,900,000</w:t>
            </w:r>
          </w:p>
        </w:tc>
        <w:tc>
          <w:tcPr>
            <w:tcW w:w="114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89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1,327,600</w:t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30,000</w:t>
            </w:r>
          </w:p>
        </w:tc>
        <w:tc>
          <w:tcPr>
            <w:tcW w:w="107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1,682,700</w:t>
            </w:r>
          </w:p>
        </w:tc>
      </w:tr>
      <w:tr>
        <w:trPr/>
        <w:tc>
          <w:tcPr>
            <w:tcW w:w="126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720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850,000</w:t>
            </w:r>
          </w:p>
        </w:tc>
        <w:tc>
          <w:tcPr>
            <w:tcW w:w="108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1,933,750</w:t>
            </w:r>
          </w:p>
        </w:tc>
        <w:tc>
          <w:tcPr>
            <w:tcW w:w="114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663,800</w:t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07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841,350</w:t>
            </w:r>
          </w:p>
        </w:tc>
      </w:tr>
      <w:tr>
        <w:trPr/>
        <w:tc>
          <w:tcPr>
            <w:tcW w:w="12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720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850,000</w:t>
            </w:r>
          </w:p>
        </w:tc>
        <w:tc>
          <w:tcPr>
            <w:tcW w:w="108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1,933,750</w:t>
            </w:r>
          </w:p>
        </w:tc>
        <w:tc>
          <w:tcPr>
            <w:tcW w:w="114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89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663,800</w:t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07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841,350</w:t>
            </w:r>
          </w:p>
        </w:tc>
      </w:tr>
      <w:tr>
        <w:trPr/>
        <w:tc>
          <w:tcPr>
            <w:tcW w:w="126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720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850,000</w:t>
            </w:r>
          </w:p>
        </w:tc>
        <w:tc>
          <w:tcPr>
            <w:tcW w:w="108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1,933,750</w:t>
            </w:r>
          </w:p>
        </w:tc>
        <w:tc>
          <w:tcPr>
            <w:tcW w:w="114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89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663,800</w:t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07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841,350</w:t>
            </w:r>
          </w:p>
        </w:tc>
      </w:tr>
      <w:tr>
        <w:trPr/>
        <w:tc>
          <w:tcPr>
            <w:tcW w:w="12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720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11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700,000</w:t>
            </w:r>
          </w:p>
        </w:tc>
        <w:tc>
          <w:tcPr>
            <w:tcW w:w="108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1,592,500</w:t>
            </w:r>
          </w:p>
        </w:tc>
        <w:tc>
          <w:tcPr>
            <w:tcW w:w="114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2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0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894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663,800</w:t>
            </w:r>
          </w:p>
        </w:tc>
      </w:tr>
      <w:tr>
        <w:trPr/>
        <w:tc>
          <w:tcPr>
            <w:tcW w:w="12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2/14/24</w:t>
            </w:r>
          </w:p>
        </w:tc>
        <w:tc>
          <w:tcPr>
            <w:tcW w:w="11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2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4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94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07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841,350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the target and maximum opportunities under the Cash Incentive Plan. See “—Compensation Discussion and Analysis—2024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Cash Incentive Compensation” and “—Summary Compensation Table— Non-Equity Incentive Plan Compensation” regarding the actual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payments made to the Named Executive Officers pursuant to the Cash Incentive Plan.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PSUs that provide for settlement of between 0% and 200% of the total target shares subject to the award based on achievement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relative total shareholder return performance metric over a three-year performance period from January 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through December 31, 2026.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If our absolute total shareholder return over such performance period is negative, no more than 100%, the target level, of the PSUs may vest.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See “—Compensation Discussion and Analysis—2024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Long-Term Incentive Compensation.” The PSUs do not provide for a threshold number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that may be earned.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phantom units that provide for settlement in cash. See “—Compensation Discussion and Analysis—2024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Long-Term Incentive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Compensation.”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the grant date fair value of phantom units or PSUs, as applicable, computed in accordance with FASB ASC Topic 718, excluding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effect of any estimated forfeitures. The Company uses the Monte Carlo simulation method to measure the grant date fair value of PSUs and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closing price of the Company's Common Stock on the trading day prior to the grant date to measure the grant date fair value of phantom unit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awards. See Note 9 to the Company’s consolidated financial statements included in its Annual Report on Form 10-K for the year ended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December 31,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additional detail regarding assumptions underlying the value of these awards.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Outstanding Equity Awards at December 31, 2024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8" name="Image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88" descr="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Option Awards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 summarizes the total outstanding shares of restricted stock, cash-settled phantom units and share-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settled PSUs held as of December 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by each Named Executive Officer.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None of the Named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held any unexercised stock options as of such date.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81"/>
        <w:gridCol w:w="1297"/>
        <w:gridCol w:w="1373"/>
        <w:gridCol w:w="1909"/>
        <w:gridCol w:w="1948"/>
        <w:gridCol w:w="1997"/>
      </w:tblGrid>
      <w:tr>
        <w:trPr/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4" w:type="dxa"/>
            <w:gridSpan w:val="5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9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 Type</w:t>
            </w:r>
          </w:p>
        </w:tc>
        <w:tc>
          <w:tcPr>
            <w:tcW w:w="137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Shares or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 Stock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Have Not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909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Market Value of 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Units of Stock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  <w:tc>
          <w:tcPr>
            <w:tcW w:w="1948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 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Unearned Shares,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Other Rights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199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 Incentive Plan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Awards: Market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Payout Value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Unearned Shares,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Other Rights That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Have Not Vested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66,811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3,758,787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3,375,600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33,046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1,859,168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1,687,800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843,900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26,000</w:t>
            </w:r>
          </w:p>
        </w:tc>
        <w:tc>
          <w:tcPr>
            <w:tcW w:w="19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1,462,760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9,214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518,380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33,046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1,859,168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30,000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1,687,800</w:t>
            </w:r>
          </w:p>
        </w:tc>
      </w:tr>
      <w:tr>
        <w:trPr/>
        <w:tc>
          <w:tcPr>
            <w:tcW w:w="168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12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37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15,000</w:t>
            </w:r>
          </w:p>
        </w:tc>
        <w:tc>
          <w:tcPr>
            <w:tcW w:w="1909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843,900</w:t>
            </w:r>
          </w:p>
        </w:tc>
        <w:tc>
          <w:tcPr>
            <w:tcW w:w="1948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9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8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37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26,000</w:t>
            </w:r>
          </w:p>
        </w:tc>
        <w:tc>
          <w:tcPr>
            <w:tcW w:w="199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1,462,760</w:t>
            </w:r>
          </w:p>
        </w:tc>
      </w:tr>
      <w:tr>
        <w:trPr/>
        <w:tc>
          <w:tcPr>
            <w:tcW w:w="168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37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9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48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9,214</w:t>
            </w:r>
          </w:p>
        </w:tc>
        <w:tc>
          <w:tcPr>
            <w:tcW w:w="199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518,380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market value is calculated based upon the closing price of our Common Stock on December 31,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$56.26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 share.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(2)In accordance with SEC rules, the number of unearned PSUs and market value presented assume: (i) vesting at the target level of 2023 PSUs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and (ii) vesting at the maximum level of 2024 PSUs, in each case calculated based upon the closing price of our Common Stock on December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31, 2024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$56.26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 share.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following 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provides the vesting dates for restricted stock, cash-settled phantom units and share-settled PSUs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outstanding as of December 31, 2024: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3"/>
        <w:gridCol w:w="1609"/>
        <w:gridCol w:w="1234"/>
        <w:gridCol w:w="1633"/>
        <w:gridCol w:w="1351"/>
        <w:gridCol w:w="1379"/>
        <w:gridCol w:w="1526"/>
      </w:tblGrid>
      <w:tr>
        <w:trPr/>
        <w:tc>
          <w:tcPr>
            <w:tcW w:w="14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7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Vesting Date</w:t>
            </w:r>
          </w:p>
        </w:tc>
        <w:tc>
          <w:tcPr>
            <w:tcW w:w="160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Award Type</w:t>
            </w:r>
          </w:p>
        </w:tc>
        <w:tc>
          <w:tcPr>
            <w:tcW w:w="1234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Joseph Wm.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Foran</w:t>
            </w:r>
          </w:p>
        </w:tc>
        <w:tc>
          <w:tcPr>
            <w:tcW w:w="163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Van H. Singleton</w:t>
            </w:r>
          </w:p>
        </w:tc>
        <w:tc>
          <w:tcPr>
            <w:tcW w:w="13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379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152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Bryan A. Erman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2/17/25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3,880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3,880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2/17/25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16,811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8,046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8,046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12/31/25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/>
                <w:sz w:val="16"/>
              </w:rPr>
              <w:t>PSUs</w:t>
            </w:r>
            <w:r>
              <w:rPr>
                <w:rFonts w:ascii="sans-serif" w:hAnsi="sans-serif"/>
                <w:b w:val="false"/>
                <w:i/>
                <w:sz w:val="10"/>
              </w:rPr>
              <w:t>(1)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6,000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2/14/26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2/16/26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2,667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2/16/26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12/31/26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/>
                <w:sz w:val="16"/>
              </w:rPr>
              <w:t>PSUs</w:t>
            </w:r>
            <w:r>
              <w:rPr>
                <w:rFonts w:ascii="sans-serif" w:hAnsi="sans-serif"/>
                <w:b w:val="false"/>
                <w:i/>
                <w:sz w:val="10"/>
              </w:rPr>
              <w:t>(1)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</w:tr>
      <w:tr>
        <w:trPr/>
        <w:tc>
          <w:tcPr>
            <w:tcW w:w="1473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2/14/27</w:t>
            </w:r>
          </w:p>
        </w:tc>
        <w:tc>
          <w:tcPr>
            <w:tcW w:w="1609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234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633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51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379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  <w:tc>
          <w:tcPr>
            <w:tcW w:w="1526" w:type="dxa"/>
            <w:tcBorders>
              <w:top w:val="single" w:sz="4" w:space="0" w:color="00548B"/>
              <w:bottom w:val="single" w:sz="4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5,000</w:t>
            </w:r>
          </w:p>
        </w:tc>
      </w:tr>
      <w:tr>
        <w:trPr/>
        <w:tc>
          <w:tcPr>
            <w:tcW w:w="3082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Unvested Shares and Units</w:t>
            </w:r>
          </w:p>
        </w:tc>
        <w:tc>
          <w:tcPr>
            <w:tcW w:w="1234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126,811</w:t>
            </w:r>
          </w:p>
        </w:tc>
        <w:tc>
          <w:tcPr>
            <w:tcW w:w="1633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63,046</w:t>
            </w:r>
          </w:p>
        </w:tc>
        <w:tc>
          <w:tcPr>
            <w:tcW w:w="1351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50,214</w:t>
            </w:r>
          </w:p>
        </w:tc>
        <w:tc>
          <w:tcPr>
            <w:tcW w:w="1379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63,046</w:t>
            </w:r>
          </w:p>
        </w:tc>
        <w:tc>
          <w:tcPr>
            <w:tcW w:w="1526" w:type="dxa"/>
            <w:tcBorders>
              <w:top w:val="single" w:sz="4" w:space="0" w:color="000000"/>
              <w:bottom w:val="single" w:sz="4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50,214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vesting date shown reflects the end of the performance period established by the PSU award agreements. The PSUs settle following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Compensation Committee’s certification of the achievement of the performance goal, which must occur within 60 days of completion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performance period; however, continued employment is only required through the end of the performance period. The number of PSUs shown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assumes (i) vesting at the target level of 2023 PSUs and (ii) vesting at the maximum level of 2024 PSUs.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Option Exercises and Stock Vested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89" name="Image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89" descr="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provides information on the stock awards (consisting of restricted stock, cash-settled phantom units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share-settled PSUs) that vested for each Named Executive Officer during 2024.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None of the Named Executive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exercised any stock options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77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6"/>
        <w:gridCol w:w="3031"/>
        <w:gridCol w:w="2806"/>
      </w:tblGrid>
      <w:tr>
        <w:trPr/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7" w:type="dxa"/>
            <w:gridSpan w:val="2"/>
            <w:tcBorders>
              <w:bottom w:val="single" w:sz="4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93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3031" w:type="dxa"/>
            <w:tcBorders>
              <w:top w:val="single" w:sz="4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Acquired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Vesting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2806" w:type="dxa"/>
            <w:tcBorders>
              <w:top w:val="single" w:sz="4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Value Realized on Vesting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106,897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6,277,987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49,820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2,925,199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24,423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1,434,147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49,820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2,925,199</w:t>
            </w:r>
          </w:p>
        </w:tc>
      </w:tr>
      <w:tr>
        <w:trPr/>
        <w:tc>
          <w:tcPr>
            <w:tcW w:w="193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30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24,423</w:t>
            </w:r>
          </w:p>
        </w:tc>
        <w:tc>
          <w:tcPr>
            <w:tcW w:w="28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1,434,147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Reflects the aggregate number of shares of restricted stock, cash-settled phantom units and share-settled PSUs that vested. Pursuant to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terms thereof, the phantom units were settled in cash, and the grantee did not acquire any shares upon vesting.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(2)Reflects the number of shares of restricted stock, cash-settled phantom units and share-settled PSUs vested multiplied by the closing price of our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on the applicable vesting date.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69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0" name="Image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90" descr="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Long-Term Incentive Plans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 awards under the 2019 Plan, other than the PSUs, vest upon a “change in control” for the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Officers according to the terms of their employment agreements described below.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terms of the PSU award agreements, upon a “change in control,” the Named Executive Officer would vest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number of PSUs that would have otherwise vested based on the Company’s performance through an abbreviated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period that ends immediately prior to the effective date of such change in control. For definition of “change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control,” please see the 2019 Plan, which is included as an exhibit to the Company’s most recent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10-K.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z w:val="20"/>
        </w:rPr>
      </w:pPr>
      <w:r>
        <w:rPr>
          <w:rFonts w:ascii="Arial;sans-serif" w:hAnsi="Arial;sans-serif"/>
          <w:b/>
          <w:i/>
          <w:sz w:val="20"/>
        </w:rPr>
        <w:t>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described under “—Compensation Discussion and Analysis—Severance and Separation Arrangements—Employment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Agreements,” in contemplation of our initial public offering, on August 9, 2011, we entered into an employment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Mr. Foran and, in each of October and December 2011, amended Mr. Foran’s employment agreement. Effective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February 2016, we entered into an employment agreement with Mr. Krug and, in July 2019, amended Mr. Krug's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employment agreement. In addition, in February 2015, we entered into an employment agreement with Mr. Singleton and,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April 2024, we entered into employment agreements with Messrs. Willey and Erman. The principal difference in Messrs.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Singleton, Willey, Krug and Erman’s employment agreements as compared to the employment agreement of Mr. Foran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that their agreements do not include a “modified single trigger” that would have allowed them to receive “change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control” severance if they terminated their agreements without “good reason” within 30 days prior to or 12 months after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change in control. In addition to not including a “modified single trigger,” Messrs. Willey and Erman's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agreements do not include termination for good reason as a trigger to receive severance payments and benefits except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following a change in control and include a longer non-compete covenant, as discussed below. Pursuant to the terms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employment agreements, we may be required to make certain payments to one or more of our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upon the occurrence of certain events resulting in such Named Executive Officer’s termination. The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agreements do not provide for gross-ups for excise taxes on severance or other payments in connection with a 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control. For a detailed description of the events that may trigger such payments, see “—Compensation Discussion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Analysis—Severance and Separation Arrangements—Employment Agreements.”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employment agreements each contain a non-disclosure of confidential information provision that requires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Named Executive Officer to maintain, both during and after employment, the confidentiality of information used by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Named Executive Officer in the performance of his job duties.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Additionally, each of the employment agreements contains a non-competition provision, pursuant to which each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has agreed that: (i) for six months following termination by us for total disability, or by such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(excluding Messrs. Willey and Erman) for good reason or (ii) for 12 months, with respect to Messrs.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Foran, Singleton and Krug and 18 months with respect to Messrs. Willey and Erman, following termination (a) by us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just cause, (b) by such Named Executive Officer other than for good reason (excluding Messrs. Willey and Erman, who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subject to such 18-month restriction upon any voluntary resignation) or (c) upon a termination without just cause or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good reason in connection with a change in control (24 months with respect to Messrs. Willey and Erman), such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 shall not, without our prior written consent (not to be unreasonably withheld if the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Officer’s employment is terminated by the Named Executive Officer other than for good reason (excluding Messrs. Willey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Erman)), directly or indirectly: (x) invest in (other than investments in publicly-owned companies which constitute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more than 1% of the voting securities of any such company) a competing business with significant assets in the restricted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area or (y) participate in a competing business as a manager, employee, director, officer, consultant,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contractor or other capacity or otherwise provide, directly or indirectly, services or assistance to a competing business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position that involves input into or direction of such competing business’s decisions within the restricted area.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definitions of “change in control,” “good reason,” “just cause,” “competing business,” “significant assets” and “restricted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area,” please see the employment agreement of each Named Executive Officer, each of which is included as an exhibit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Company’s most recent Annual Report on Form 10-K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Furthermore, other than Mr. Foran’s employment agreement, each employment agreement contains a non-solicitation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provision, pursuant to which, during the restricted periods described above (except Messrs.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Willey and Erman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 restricted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 is six months for disability termination and 24 months for the other terminations specified above), subject to certain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exceptions, Messrs. Singleton,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Willey, Krug and Erman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shall not, without our prior written consent, solicit for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a contracting relationship, or employ or retain any person who is or has been, within six months prior to such time,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employed by or engaged as an individual independent contractor by us or our affiliates or induce or attempt to induce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such person to leave his or her employment or independent contractor relationship with us or our affiliates.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Named Executive Officer to receive any severance payments and benefits described below for termination by 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without just cause, by the Named Executive Officer for good reason or, following a change in control, by us without cause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by the Named Executive Officer with good reason, with respect to Messrs. Singleton,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Willey,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Krug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Erman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, or with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without good reason, with respect to Mr. Foran, the Named Executive Officer must comply with the applicable non-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disclosure, non-competition and non-solicitation provisions described above.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Finally, as a condition to receiving any severance payments and benefits under their respective employment agreements,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each Named Executive Officer is required to execute a separation agreement and release in favor of us.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describe the payments and benefits that are triggered for each event of termination, we have created the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table estimating the payments and benefits that would be paid to each Named Executive Officer under each element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compensation program assuming that such Named Executive Officer’s employment agreement terminated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2024, the last day of our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fiscal year. In all cases, the accelerated equity awards were valued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2024, based upon, where applicable, $56.26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 share (the closing price of our Common Stock on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date). The amounts in the table below are calculated as of December 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SEC rules and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intended to reflect actual payments that may be made. Actual payments that may be made would be based on the dates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circumstances of the applicable event.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3"/>
        <w:gridCol w:w="1691"/>
        <w:gridCol w:w="1677"/>
        <w:gridCol w:w="1585"/>
        <w:gridCol w:w="1646"/>
        <w:gridCol w:w="1653"/>
      </w:tblGrid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2" w:type="dxa"/>
            <w:gridSpan w:val="5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Payment Upon Change in Control or Termination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Named Executive Officer</w:t>
            </w:r>
          </w:p>
        </w:tc>
        <w:tc>
          <w:tcPr>
            <w:tcW w:w="169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Category of Payment</w:t>
            </w:r>
          </w:p>
        </w:tc>
        <w:tc>
          <w:tcPr>
            <w:tcW w:w="1677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Upon Mutual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Agreement,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Dissolution/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Liquidation, Death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or Total Disability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585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Termination by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Us Without Just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Cause or by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Officer for Good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Reason 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646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Termination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Following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Change in Control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Without Cause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by 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 or 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Good Reason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(2)(3)</w:t>
            </w:r>
          </w:p>
        </w:tc>
        <w:tc>
          <w:tcPr>
            <w:tcW w:w="1653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Termination ($)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Joseph Wm. Foran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3,000,000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4,500,000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3,502,500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7,005,000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10,507,500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3,758,787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2,250,400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2,250,400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3,502,500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10,005,000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21,016,687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2,250,400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Van H. Singleton, II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1,275,000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2,550,000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1,771,875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2,657,813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5,315,625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1,859,168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1,771,875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3,932,813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10,849,993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Brian J. Willey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1,275,000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2,550,000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1,426,250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2,139,375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4,278,750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843,900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518,380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1,426,250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3,414,375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9,091,190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1,275,000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2,550,000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1,771,875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2,657,813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5,315,625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1,859,168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1,771,875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3,932,813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10,849,993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1,125,200</w:t>
            </w:r>
          </w:p>
        </w:tc>
      </w:tr>
      <w:tr>
        <w:trPr/>
        <w:tc>
          <w:tcPr>
            <w:tcW w:w="19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Bryan A. Erman</w:t>
            </w:r>
          </w:p>
        </w:tc>
        <w:tc>
          <w:tcPr>
            <w:tcW w:w="16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677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1,050,000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16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2,100,000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653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1,375,000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2,062,500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4,125,000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Vesting equity: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Phantom Units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843,900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PSUs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</w:tr>
      <w:tr>
        <w:trPr/>
        <w:tc>
          <w:tcPr>
            <w:tcW w:w="19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Restricted stock</w:t>
            </w:r>
          </w:p>
        </w:tc>
        <w:tc>
          <w:tcPr>
            <w:tcW w:w="167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8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4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518,380</w:t>
            </w:r>
          </w:p>
        </w:tc>
        <w:tc>
          <w:tcPr>
            <w:tcW w:w="1653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9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677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1,375,000</w:t>
            </w:r>
          </w:p>
        </w:tc>
        <w:tc>
          <w:tcPr>
            <w:tcW w:w="1585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3,112,500</w:t>
            </w:r>
          </w:p>
        </w:tc>
        <w:tc>
          <w:tcPr>
            <w:tcW w:w="1646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8,487,440</w:t>
            </w:r>
          </w:p>
        </w:tc>
        <w:tc>
          <w:tcPr>
            <w:tcW w:w="1653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900,160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due upon death, total disability, mutual agreement, dissolution or liquidation, termination by us without cause or termination by a Named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Executive Officer for good reason are payable in a lump sum on the 60th day following the date of termination unless otherwise required by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Section 409A of the Code. Messrs. Willey and Erman's employment agreements do not provide for severance payments and benefits if they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terminate for “good reason” except following a change in control.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due to Messrs. Foran, Singleton and Krug in the event that such Named Executive Officer is terminated without “just cause” 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terminates his employment for “good reason” (or by Mr. Foran without good reason) within 30 days prior to, or 12 months following, a “change in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control” are payable in a lump sum on the date that immediately follows six months from the date of termination or, if earlier, within 30 days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following such Named Executive Officer’s death. Amounts due to Messrs. Willey and Erman in the event that such Named Executive Officer is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terminated without “just cause” or terminates his employment for “good reason” within 30 days prior to, or 12 months following, a “change in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control” are payable in a lump sum on the 60th day following the date of termination unless otherwise required by Section 409A of the Code.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Pursuant to the terms of the PSU award agreements, upon a “change in control,” the Named Executive Officer would vest in the number of PSUs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that would have otherwise vested based on the Company’s performance through an abbreviated performance period that ends immediately prior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to the effective date of such change in control. The amount shown assumes achievement of the 50th percentile in relative total shareholder return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performance with 100% of target units vesting.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Represents two times such Named Executive Officer’s base salary as of the termination date.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three times such Named Executive Officer’s base salary as of the termination date.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an amount equal to the average annual cash bonus pursuant to the Cash Incentive Plan paid to such Named Executive Officer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2023, respectively.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two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2023, respectively.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(8)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three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2023, respectively.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(9)Mr. Foran’s employment agreement provides for accelerated and full vesting of unvested equity incentive awards held by him in the event that 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is terminated without “just cause” or terminates his employment with or without “good reason” within 30 days prior to, or 12 months following, a </w:t>
      </w:r>
    </w:p>
    <w:p>
      <w:pPr>
        <w:pStyle w:val="TextBody"/>
        <w:bidi w:val="0"/>
        <w:spacing w:lineRule="atLeast" w:line="160" w:before="0" w:after="0"/>
        <w:jc w:val="left"/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231F20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change in control.” Messrs. Singleton, Willey, Krug and Erman’s employment agreements provide for accelerated and full vesting of unvested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equity incentive awards held by these Named Executive Officers in the event that such Named Executive Officer is terminated without “just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cause” or terminates his employment with “good reason,” within 30 days prior to, or 12 months following, a “change in control.” The amounts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disclosed reflect the closing price of our Common Stock on December 31,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$56.26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per share multiplied by the number of unvested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phantom units, restricted stock or PSUs, as applicable, held by such Named Executive Officer on December 31, 2024.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(10)Represents 1.5 times such Named Executive Officer’s base salary as of the termination date.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Represents 1.5 times an amount equal to the average annual cash bonus pursuant to the Cash Incentive Plan paid to such Named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 for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2023, respectively.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CHIEF EXECUTIVE OFFICER PAY RATIO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CHIEF EXECUTIVE OFFICER PAY RATIO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required by Section 953(b) of the Dodd-Frank Wall Street Reform and Consumer Protection Act and Item 402(u)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 S-K (“Item 402(u)”), we are providing the following information regarding the ratio of the annual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our median-compensated employee (as described below) and that of our Chairman and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Officer, Joseph Wm. Foran. We believe that the pay ratio reflected below is a reasonable estimate calculated in a manner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consistent with Item 402(u).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SEC’s rules for identifying the median compensated employee and calculating the pay ratio based on that employee’s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total compensation allow companies to adopt a variety of methodologies, to apply certain exclusions and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reasonable estimates and assumptions that reflect their employee populations and compensation practices. As a result,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pay ratio reported by other companies may not be comparable to the pay ratio reported below, as other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different employee populations and compensation practices and may utilize different methodologies, exclusions,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estimates and assumptions in calculating their own pay ratios.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Item 402(u), we identified the median-compensated employee of all our employees (other than Mr. Foran)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using our employee population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15,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which consisted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450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 (all of which are located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United States), and using a compensation measure of total cash compensation, consisting of total base pay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bonuses earned during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This compensation measure was consistently applied to all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employees. Compensation was annualized on a straight-line basis for employees who did not work all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After identifying the median-compensated employee using this consistently applied compensation measure, we then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calculated that employee’s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total compensation in the same manner used to calculate the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Officers’ total compensation, as reported in the Summary Compensation Table.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annual total compensation of our median-compensated employee was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$227,238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the annual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Mr. Foran was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$8,437,049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as reported in the Summary Compensation Table. Based on this information,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ratio of Mr. Foran’s annual total compensation to the annual total compensation of our median-compensated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 was estimated to be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1.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required by Section 953(a) of the Dodd-Frank Wall Street Reform and Consumer Protection Act and Item 402(v)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 S-K, we are providing the following information about the relationship between executive “compensation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actually paid” and certain financial performance of the Company. For further information concerning the Company’s pay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performance philosophy and how the Company aligns executive compensation with the Company’s performance, see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Executive Compensation—Compensation Discussion and Analysis.”</w:t>
      </w:r>
    </w:p>
    <w:tbl>
      <w:tblPr>
        <w:tblW w:w="113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1"/>
        <w:gridCol w:w="1441"/>
        <w:gridCol w:w="1441"/>
        <w:gridCol w:w="1441"/>
        <w:gridCol w:w="1441"/>
        <w:gridCol w:w="1231"/>
        <w:gridCol w:w="1231"/>
        <w:gridCol w:w="1246"/>
        <w:gridCol w:w="1291"/>
      </w:tblGrid>
      <w:tr>
        <w:trPr/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(a)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Principal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Officer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(“PEO”)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 xml:space="preserve">(1)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(b)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 Paid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 PEO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(c)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Officers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(d)</w:t>
            </w:r>
          </w:p>
        </w:tc>
        <w:tc>
          <w:tcPr>
            <w:tcW w:w="144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Actually Paid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 Non-PEO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Named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Executive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Officers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(e)</w:t>
            </w:r>
          </w:p>
        </w:tc>
        <w:tc>
          <w:tcPr>
            <w:tcW w:w="2462" w:type="dxa"/>
            <w:gridSpan w:val="2"/>
            <w:tcBorders>
              <w:bottom w:val="single" w:sz="8" w:space="0" w:color="FFFFFF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Value of Initial Fixed $100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Investment Based On:</w:t>
            </w:r>
          </w:p>
        </w:tc>
        <w:tc>
          <w:tcPr>
            <w:tcW w:w="1246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Net Income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(7)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(h)</w:t>
            </w:r>
          </w:p>
        </w:tc>
        <w:tc>
          <w:tcPr>
            <w:tcW w:w="1291" w:type="dxa"/>
            <w:vMerge w:val="restart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Adj. EBITDA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(8)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(i)</w:t>
            </w:r>
          </w:p>
        </w:tc>
      </w:tr>
      <w:tr>
        <w:trPr/>
        <w:tc>
          <w:tcPr>
            <w:tcW w:w="601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4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(5)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(f)</w:t>
            </w:r>
          </w:p>
        </w:tc>
        <w:tc>
          <w:tcPr>
            <w:tcW w:w="1231" w:type="dxa"/>
            <w:tcBorders>
              <w:top w:val="single" w:sz="8" w:space="0" w:color="FFFFFF"/>
              <w:bottom w:val="single" w:sz="4" w:space="0" w:color="00548B"/>
            </w:tcBorders>
            <w:shd w:fill="00548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Peer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Return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(6)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(g)</w:t>
            </w:r>
          </w:p>
        </w:tc>
        <w:tc>
          <w:tcPr>
            <w:tcW w:w="1246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1" w:type="dxa"/>
            <w:vMerge w:val="continue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0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$8,437,049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$9,339,737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$4,066,175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$4,385,440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$320.30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$192.16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$885,322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$2,298,777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$8,056,599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$7,633,074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$3,542,613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$3,274,057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$323.31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$208.67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$846,074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$1,849,547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$8,951,318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$21,872,248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$3,126,314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$7,943,940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$321.55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$196.87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$1,214,206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$2,127,156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$9,057,189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$27,355,621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$4,310,734</w:t>
            </w:r>
          </w:p>
        </w:tc>
        <w:tc>
          <w:tcPr>
            <w:tcW w:w="14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$12,883,431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$206.28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$140.32</w:t>
            </w:r>
          </w:p>
        </w:tc>
        <w:tc>
          <w:tcPr>
            <w:tcW w:w="124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$584,968</w:t>
            </w:r>
          </w:p>
        </w:tc>
        <w:tc>
          <w:tcPr>
            <w:tcW w:w="129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$1,051,973</w:t>
            </w:r>
          </w:p>
        </w:tc>
      </w:tr>
      <w:tr>
        <w:trPr/>
        <w:tc>
          <w:tcPr>
            <w:tcW w:w="60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2020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$1,689,547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$4,092,405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$923,071</w:t>
            </w:r>
          </w:p>
        </w:tc>
        <w:tc>
          <w:tcPr>
            <w:tcW w:w="14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$2,032,796</w:t>
            </w:r>
          </w:p>
        </w:tc>
        <w:tc>
          <w:tcPr>
            <w:tcW w:w="12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$67.11</w:t>
            </w:r>
          </w:p>
        </w:tc>
        <w:tc>
          <w:tcPr>
            <w:tcW w:w="12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$102.23</w:t>
            </w:r>
          </w:p>
        </w:tc>
        <w:tc>
          <w:tcPr>
            <w:tcW w:w="1246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$(593,205)</w:t>
            </w:r>
          </w:p>
        </w:tc>
        <w:tc>
          <w:tcPr>
            <w:tcW w:w="129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$519,277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The dollar amounts reported in column (b) are the amounts reported for Mr. Foran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each of the corresponding years in the “Total”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column of the Summary Compensation Table. See “Executive Compensation—Summary Compensation Table”.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  The dollar amounts reported in column (c) represent the amount of “compensation actually paid” to Mr. Foran, as computed in accordance with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Item 402(v) of Regulation S-K, and do not reflect the total compensation actually realized or received by Mr. Foran. These amounts reflect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amounts included in the “Total” column of the Summary Compensation Table for each year, adjusted in accordance with these rules as shown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below for 2024. Equity values are calculated in accordance with FASB ASC Topic 718, and the valuation assumptions used to calculate fair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values did not materially differ from those disclosed at the time of grant.</w:t>
      </w:r>
    </w:p>
    <w:tbl>
      <w:tblPr>
        <w:tblW w:w="82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51"/>
        <w:gridCol w:w="1231"/>
      </w:tblGrid>
      <w:tr>
        <w:trPr/>
        <w:tc>
          <w:tcPr>
            <w:tcW w:w="7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5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 Actually Paid to PEO</w:t>
            </w:r>
          </w:p>
        </w:tc>
        <w:tc>
          <w:tcPr>
            <w:tcW w:w="12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Summary Compensation Table Total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$8,437,049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Less, value of “Stock Awards” reported in Summary Compensation Table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$(3,010,300)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Plus, year-end fair value of outstanding and unvested equity awards granted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$3,055,200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year over year change in fair value of outstanding and unvested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awards granted in prior years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$(135,887)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change in fair value from prior year-end to vesting date of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awards granted in prior years that vested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$993,675</w:t>
            </w:r>
          </w:p>
        </w:tc>
      </w:tr>
      <w:tr>
        <w:trPr/>
        <w:tc>
          <w:tcPr>
            <w:tcW w:w="705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Compensation Actually Paid to PEO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$9,339,737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(3)  The dollar amounts reported in column (d) represent the average of the amounts reported for the Named Executive Officers as a group (excluding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Mr. Foran) in the “Total” column of the Summary Compensation Table in each applicable year. Each of the Named Executive Officers included for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these purposes (the “Non-PEO Named Executive Officers”)  in each applicable year are as follows: (i) for 2024, Messrs. Singleton, Willey, Krug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and Erman; (ii) for 2023, Messrs. Singleton, Willey, Billy E. Goodwin, Craig N. Adams and Michael D. Frenzel; (iii) for 2022, Messrs. Goodwin,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Singleton, Adams, Frenzel and David E. Lancaster and (iv) for 2021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2020, Messrs. Adams, Goodwin, Lancaster and Matthew V. Hairford.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(4)  The dollar amounts reported in column (e) represent the average amount of “compensation actually paid” to the Non-PEO Named Executive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Officers, as computed in accordance with Item 402(v) of Regulation S-K. These amounts reflect the average of the amounts in the “Total” column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the Summary Compensation Table for each year, adjusted in accordance with these rules as shown below for 2024. Equity values are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calculated in accordance with FASB ASC Topic 718, and the valuation assumptions used to calculate fair values did not materially differ from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those disclosed at the time of the grant.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83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11"/>
        <w:gridCol w:w="1231"/>
      </w:tblGrid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1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Average Compensation Actually Paid to Non-PEO Named Executive Officers</w:t>
            </w:r>
          </w:p>
        </w:tc>
        <w:tc>
          <w:tcPr>
            <w:tcW w:w="12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Average Summary Compensation Table Total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$4,066,175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Less, average value of "Stock Awards" reported in Summary Compensation Table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$(1,505,150)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Plus, average year-end fair value of outstanding and unvested equity 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granted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$1,527,600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average year over year change in fair value of outstanding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unvested equity awards granted in prior years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$(53,698)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Plus (less), average change in fair value from prior year-end to vesting date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awards granted in prior years that vested in the year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$350,513</w:t>
            </w:r>
          </w:p>
        </w:tc>
      </w:tr>
      <w:tr>
        <w:trPr/>
        <w:tc>
          <w:tcPr>
            <w:tcW w:w="71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548B"/>
                <w:sz w:val="16"/>
                <w:u w:val="none"/>
                <w:effect w:val="none"/>
              </w:rPr>
              <w:t>Average Compensation Actually Paid to Non-PEO Named Executive Officers</w:t>
            </w:r>
          </w:p>
        </w:tc>
        <w:tc>
          <w:tcPr>
            <w:tcW w:w="12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$4,385,440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(5)  Total Shareholder Return is calculated by dividing (a) the sum of (i) the cumulative amount of dividends for the measurement period, assuming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dividend reinvestment, and (ii) the difference between the Company’s share price at the end of each fiscal year shown and the beginning of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measurement period by (b) the Company’s share price at the beginning of the measurement period. The beginning of the measurement period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for each year in the table is December 31, 2019.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(6) The peer group used for this purpose is the following published industry index: Russell 2000 Energy Index.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(7)  The dollar amounts reported represent the amount of net income reflected in the Company’s audited financial statements for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applicable year.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(8)  We determined Adjusted EBITDA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to be the most important financial performance measure used to link Company performance to "compensation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actually paid" to our PEO and Non-PEO Named Executive Officers in 2024. Adjusted EBITDA is a non-GAAP financial measure. For a definition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Adjusted EBITDA and a reconciliation of Adjusted EBITDA to Matador’s net income (loss) and net cash provided by operating activities, see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Annex A to this Proxy Statement. This performance measure may not have been the most important financial performance measure for prior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years and we may determine a different financial performance measure to be the most important financial performance measure in future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Description of Certain Relationships between Information Presented in the Pay Versus Performance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described in more detail in the section “Executive Compensation—Compensation Discussion and Analysis,”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executive compensation program reflects a variable pay-for-performance philosophy. While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utilizes several performance measures to align executive compensation with Company performance, all of those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measures are not presented in the Pay Versus Performance table. Moreover, the Company generally seeks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incentivize long-term performance, and therefore does not specifically align the Company’s performance measures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that is actually paid (as computed in accordance with SEC rules) for a particular year. In accordance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 rules, the Company is providing the following descriptions of the relationships between information presented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 Versus Performance table.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840480"/>
            <wp:effectExtent l="0" t="0" r="0" b="0"/>
            <wp:docPr id="91" name="Image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91" descr="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92" name="Image9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92" descr="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93" name="Image9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93" descr="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 xml:space="preserve">Financial Performance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described in greater detail under “Executive Compensation—Compensation Discussion and Analysis,”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compensation program reflects a variable pay-for-performance philosophy. The metrics that the Company uses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both our long-term and short-term incentive awards are selected based on an objective of incentivizing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Officers to increase the value of our enterprise for our shareholders. The most important financial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measures used by the Company to link executive compensation actually paid to the Company’s Named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Officers, for the most recently completed fiscal year, to the Company’s performance are as follows: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Shareholder Return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2.Adjusted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3.Net Debt / 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4.Adjusted Operating Costs per BOE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5.Return on Average Capital Employed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summarizes the total compensation awarded or paid to non-employee directors during the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ended December 31, 2024. Mr. Foran did not receive any additional compensation for serving as a director in 2024.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for his services as our Chairman and Chief Executive Officer is reflected in the Summary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Table.</w:t>
      </w:r>
    </w:p>
    <w:tbl>
      <w:tblPr>
        <w:tblW w:w="62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31"/>
        <w:gridCol w:w="1561"/>
        <w:gridCol w:w="1606"/>
        <w:gridCol w:w="931"/>
      </w:tblGrid>
      <w:tr>
        <w:trPr/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56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Fees Earned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Paid in Cash</w:t>
            </w:r>
          </w:p>
        </w:tc>
        <w:tc>
          <w:tcPr>
            <w:tcW w:w="160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Awards 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9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Shelley F. Appel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$128,750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$278,729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Reynald A. Baribault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$178,750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$328,729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R. Gaines Baty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$189,167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$339,146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William M. Byerley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$128,750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$278,729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Monika U. Ehrman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$109,583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$259,562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Julia P. Forrester Rogers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$52,500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$—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$52,500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James M. Howard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$103,750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$253,729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Timothy E. Parker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$203,750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$353,729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Kenneth L. Stewart</w:t>
            </w:r>
          </w:p>
        </w:tc>
        <w:tc>
          <w:tcPr>
            <w:tcW w:w="156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$93,333</w:t>
            </w:r>
          </w:p>
        </w:tc>
        <w:tc>
          <w:tcPr>
            <w:tcW w:w="160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$243,312</w:t>
            </w:r>
          </w:p>
        </w:tc>
      </w:tr>
      <w:tr>
        <w:trPr/>
        <w:tc>
          <w:tcPr>
            <w:tcW w:w="213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Susan M. Ward</w:t>
            </w:r>
          </w:p>
        </w:tc>
        <w:tc>
          <w:tcPr>
            <w:tcW w:w="156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$89,005</w:t>
            </w:r>
          </w:p>
        </w:tc>
        <w:tc>
          <w:tcPr>
            <w:tcW w:w="1606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$149,979</w:t>
            </w:r>
          </w:p>
        </w:tc>
        <w:tc>
          <w:tcPr>
            <w:tcW w:w="93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$238,984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(1)Reflects the grant date fair value of RSUs, calculated in accordance with FASB ASC Topic 718, excluding the effect of any estimated forfeitures.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See Note 9 to the Company’s consolidated financial statements included in its Annual Report on Form 10-K for the year ended December 31,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2024 for additional detail regarding assumptions underlying the value of these awards. RSUs granted for 2024-2025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service vest immediately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prior to the election of the nominees for director at the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Annual Meeting. See “—Compensation for 2024-2025.” As of December 31, 2024,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each individual who served as a director during 2024, other than Ms. Forrester Rogers, held the following outstanding unvested stock awards,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all of which were RSUs. Ms. Forrester Rogers did not hold any unvested RSUs at the end of 2024 as her term as director expired at the 2024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 Meeting.</w:t>
      </w:r>
    </w:p>
    <w:tbl>
      <w:tblPr>
        <w:tblW w:w="4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31"/>
        <w:gridCol w:w="2641"/>
      </w:tblGrid>
      <w:tr>
        <w:trPr/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2641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Outstanding Stock Awards</w:t>
            </w:r>
          </w:p>
        </w:tc>
      </w:tr>
      <w:tr>
        <w:trPr/>
        <w:tc>
          <w:tcPr>
            <w:tcW w:w="183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Shelley F. Appel</w:t>
            </w:r>
          </w:p>
        </w:tc>
        <w:tc>
          <w:tcPr>
            <w:tcW w:w="2641" w:type="dxa"/>
            <w:tcBorders>
              <w:bottom w:val="single" w:sz="4" w:space="0" w:color="00548B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Reynald A. Baribault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R. Gaines Baty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William M. Byerley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Monika U. Ehrman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James M. Howard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Timothy E. Parker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Kenneth L. Stewart</w:t>
            </w:r>
          </w:p>
        </w:tc>
        <w:tc>
          <w:tcPr>
            <w:tcW w:w="264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  <w:tr>
        <w:trPr/>
        <w:tc>
          <w:tcPr>
            <w:tcW w:w="183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Susan M. Ward</w:t>
            </w:r>
          </w:p>
        </w:tc>
        <w:tc>
          <w:tcPr>
            <w:tcW w:w="2641" w:type="dxa"/>
            <w:tcBorders>
              <w:top w:val="single" w:sz="4" w:space="0" w:color="00548B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2,533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(2)Ms. Appel serves as ESG coordinator. The ESG coordinator receives an additional cash retainer of $50,000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(3)Mr. Baty serves as deputy lead independent director. The deputy lead independent director receives an additional cash retainer of $50,000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(4)Mr. Parker serves as lead independent director. The lead independent director receives an additional cash retainer of $100,000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annually.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Mr. Harvey was appointed to the Board on January 27, 2025 and did not receive any director compensation in 2024.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79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Compensation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for 2024-2025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4" name="Image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94" descr="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the period commencing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and ending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our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directors’ compensation program was as set forth below: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cash retainer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$85,000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chair of each of the below committees received the following additional, annual cash retainer:</w:t>
      </w:r>
    </w:p>
    <w:tbl>
      <w:tblPr>
        <w:tblW w:w="51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76"/>
        <w:gridCol w:w="916"/>
      </w:tblGrid>
      <w:tr>
        <w:trPr/>
        <w:tc>
          <w:tcPr>
            <w:tcW w:w="4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7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916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Retainer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Operations and Engineering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Prospect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Strategic Planning and Compensation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$50,000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Environmental, Social and Corporate Governance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$35,000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Nominating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 Markets and Finance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  <w:tr>
        <w:trPr/>
        <w:tc>
          <w:tcPr>
            <w:tcW w:w="427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Marketing and Midstream</w:t>
            </w:r>
          </w:p>
        </w:tc>
        <w:tc>
          <w:tcPr>
            <w:tcW w:w="916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$25,000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lead independent director received an additional cash retainer of $100,000;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the deputy lead independent director received an additional cash retainer of $50,000;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ESG coordinator received an additional cash retainer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$50,000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at the meeting of the Board immediately following the 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Meeting, each non-employee director received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annual grant of RSUs equal to approximately $150,000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in value, which vests on the earlier of the first anniversary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Annual Meeting or immediately prior to the election of the nominees for director at the 2025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 xml:space="preserve">Annual Meeting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(the “2024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RSU Award”).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 director was appointed or elected to the Board at any time following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but prior to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was granted the applicable percentage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 detailed below, effective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date of such director’s appointment: (i) if a director was appointed or elected to the Board within 90 days after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was entitled to receive 100%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Award; (ii) if a director was appointed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elected to the Board more than 90 days but 180 or fewer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was entitled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receive 75%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Award; (iii) if a director was appointed or elected to the Board more than 180 days but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270 or fewer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was entitled to receive 50%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(iv) if a director was appointed or elected to the Board more than 270 days after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but prior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such director was entitled to receive 25%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RSU Award.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Mr. Harvey was appointed to the Board effective January 27, 2025, which date was more than 180 days but fewer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270 days after the 2024 Annual Meeting.  As a result, Mr. Harvey received a grant of 1,267 RSUs in early 2025,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representing 50% of the 2024 RSU Award.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addition, we reimburse our directors for travel, lodging and related expenses incurred in attending Board and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meetings.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Stock Ownership Guidelines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5" name="Image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95" descr="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non-employee directors are expected to follow our voluntary stock ownership guidelines for non-employee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Within three years of becoming a director, each non-employee director is expected to own $350,000 of Common Stock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continue to hold such shares while serving as a director.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all directors owned or were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track to own within three years of becoming a director in excess of $350,000 of Common Stock. Shares that count toward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stock ownership guidelines include RSUs.  Until a director reaches the expected stock ownership level, such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is expected to hold all shares received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information with respect to our equity compensation plans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57"/>
        <w:gridCol w:w="2150"/>
        <w:gridCol w:w="2223"/>
        <w:gridCol w:w="2175"/>
      </w:tblGrid>
      <w:tr>
        <w:trPr/>
        <w:tc>
          <w:tcPr>
            <w:tcW w:w="36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5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2150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be Issued Upon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Exercise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Options,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Warrants and Rights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(a)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(2)</w:t>
            </w:r>
          </w:p>
        </w:tc>
        <w:tc>
          <w:tcPr>
            <w:tcW w:w="2223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Weighted- Average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Exercise Price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Outstanding Options,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Warrants and Rights  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(b)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(3)</w:t>
            </w:r>
          </w:p>
        </w:tc>
        <w:tc>
          <w:tcPr>
            <w:tcW w:w="2175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Number of 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Remaining Available for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Future Issuance Under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Equity  Compensation Plans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(Excluding Shares Reflected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in  Column (a))               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(c)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Equity compensation plans approved by security holders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1,090,557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$14.80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7,850,907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compensation plans not approved by security holders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65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2150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1,090,557</w:t>
            </w:r>
          </w:p>
        </w:tc>
        <w:tc>
          <w:tcPr>
            <w:tcW w:w="2223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$14.80</w:t>
            </w:r>
          </w:p>
        </w:tc>
        <w:tc>
          <w:tcPr>
            <w:tcW w:w="2175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7,850,907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Includes shares authorized under the Matador Resources Company Amended and Restated 2012 Long-Term Incentive Plan (as amended,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the “2012 Plan”), the 2019 Plan and the ESPP.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(2)Reflects the number of PSUs granted under the 2019 Plan based on the maximum level of achievement, which may be more than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number of shares issued in settlement of PSUs that are ultimately earned.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Reflects the weighted-average exercise price of stock options granted under the 2019 Plan. Restricted stock, phantom units, RSUs and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PSUs are not reflected in this column as they do not have an exercise price.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(4)Includes 3,959,799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reserved for future issuance under the 2019 Plan and 3,891,108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reserved for future issuance under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ESPP. No further awards may be granted under the 2012 Plan, although awards remain outstanding thereunder.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Except as disclosed below,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there was not, nor was there proposed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any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series of similar transactions to which we were or are a party in which the amount involved exceeded or exceeds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$120,000 and in which any of our directors, nominees for directors, executive officers, beneficial owners of more than 5%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any class of our voting securities or any member of the immediate family of any of the foregoing persons had or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a direct or indirect material interest, other than compensation arrangements with directors and executive officers,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are described in “Executive Compensation— Compensation Discussion and Analysis” and “Director Compensation”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above.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Working Interest and Overriding Royalty Interest Owners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6" name="Image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6" descr="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Joseph Wm. Foran, Chairman and Chief Executive Officer, Shelley F. Appel, member of the Board, and certain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affiliated entities (collectively, the “Foran Entities”) are working interest owners and/or overriding royalty interest owners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certain properties operated by the Company. As working interest owners, the Foran Entities are required to pay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proportionate share of all costs and are entitled to receive their proportionate share of revenues in the normal course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business. As overriding royalty interest owners, the Foran Entities are entitled to receive their proportionate share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revenues from the wells in which they own an interest in the normal course of business.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revenues, net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costs, received by the Foran Entities in their capacity as working interest owners or overriding royalty interest owners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$17.2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(the “Related Net Revenue Payments”). The Related Net Revenue Payments represent less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than 1% of our total third-party net revenue payments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our capacity as operator, we incur drilling and operating costs that are billed to our partners based on their respective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working interests.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joint interest billings to the Foran Entities attributable to their share of costs were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$13.7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million (the “Related Joint Interest Billings”). The Related Joint Interest Billings represent less than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1% of our total joint interest billings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As a result of this ownership by the Foran Entities, from time to time,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in a net receivable or net payable position with certain of the Foran Entities. We do not consider any 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receivables from the Foran Entities to be uncollectible.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reviewed the terms of the working interests and/or overriding royalty interests of the Foran Entities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potential conflicts of interest under the Company's Related Person Transaction Policy (the "Related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 Policy"), and, after being fully informed as to Mr. Foran’s and Ms. Appel's relationships and interests in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transactions and all other material facts related to the Related Net Revenue Payments and Related Joint Interest Billings,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that such transactions and the Related Net Revenue Payments and Related Joint Interest Billings were fair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and recommended such transactions and the Related Net Revenue Payments and Related Joint Interest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Billings to the full Board for approval and ratification. The Board subsequently approved and ratified the transactions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Related Net Revenue Payments and Related Joint Interest Billings.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Greyhound Joint Venture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7" name="Image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97" descr="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has entered into a joint venture, Greyhound, with Spearpoint Resources Company (“Spearpoint”)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generate value through a well development program in our Twin Lakes asset area. An adult child of Mr. Foran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sibling of Ms. Appel is the founder of Spearpoint and serves as the chief executive officer and chairman of the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of Spearpoint. Mr. Foran’s child has a Bachelor of Arts degree in Economics from Princeton University, a Master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Science degree in Petroleum Engineering from Texas A&amp;M University and a Master of Business Administration degree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Rice University. Mr. Foran’s child worked for a major oil and gas company as a petroleum petrophysicist. Prior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attending Texas A&amp;M, Mr. Foran’s child served in the United States Marine Corp, including two tours of duty overseas,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continued to serve in United States Marine Corp Reserve, recently achieving the rank of Major. Mr. Foran’s child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 shared services to Greyhound, for which Greyhound would reimburse Spearpoint. In addition, Ms. Appel holds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ownership interest in Spearpoint.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2024, the Company provided approximately $0.65 million of shared services to Greyhound and Spearpoint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provided approximately $0.30 million of shared services to Greyhound. Neither the Company nor Spearpoint made any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capital contributions or received any distributions from Greyhound in 2024, although such contributions and distributions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may be made or received by the Company and Spearpoint in the future.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Audit Committee reviewed the terms of the joint venture for potential conflicts of interest under the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 Policy, and, after being fully informed as to Mr. Foran’s, his adult child’s and Ms. Appel's relationships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interests in such transactions and all other material facts related to Greyhound, determined that such transactions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fair to the Company and recommended such transactions to the full Board for approval and ratification.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subsequently approved and ratified the transactions.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Oilfield Equipment Purchase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8" name="Image9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98" descr="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son-in-law of Mr. Foran and brother-in-law of Ms. Appel serves as the President of DCiii, LLC (“DC3”).  During 2024,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 purchased certain oilfield equipment from DC3 for an aggregate amount of approximately $0.42 million 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Equipment Purchases”).  The Audit Committee reviewed the terms of the Equipment Purchases for potential conflicts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interest under the Related Person Transaction Policy and, after being fully informed as to Mr. Foran’s, his son-in-law’s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Ms. Appel’s relationships and interests in such transactions and all other material facts related to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Purchases, determined that the Equipment Purchases were fair to the Company and recommended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 to the full Board for approval and ratification.  The Board subsequently approved and ratified the Equipment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Purchases.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Office Lease Renewal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99" name="Image9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99" descr="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R. Gaines Baty is a member of the Board.  Mr. Baty’s son serves as the Vice Chairman and the Office Tenant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Representation Leader of Cushman &amp; Wakefield’s Dallas-Fort Worth market.  During 2024, Mr. Baty’s son provided tenant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representation services to the Company in connection with the Company’s renewal of its office lease for its Dallas, Texas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headquarters (the “Office Lease Renewal”).  As a result of his services, Mr. Baty’s son is expected to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compensated in excess of $120,000.  The Audit Committee reviewed the terms of the Office Lease Renewal for potential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conflicts of interest under the Related Person Transaction Policy and, after being fully informed as to Mr. Baty’s and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son’s relationships and interests in such transactions and all other material facts related to the Office Lease Renewal,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determined that the Office Lease Renewal was fair to the Company and recommended the Office Lease Renewal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full Board for approval and ratification.  The Board subsequently approved and ratified the Office Lease Renewal.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Certain Employment Relationships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0" name="Image10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00" descr="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Billy E. Goodwin served as an executive officer during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until his retirement in April of 2024. During 2024, an adult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child of Mr. Goodwin was an employee of the Company and has been an employee since 2015. In 2024, Mr. Goodwin’s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child was compensated between $120,000 and $750,000. Mr. Goodwin’s child has a Bachelor of Science in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Administration degree in Energy Management from the University of Tulsa and a Bachelor of Arts degree in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Business and Management from Oklahoma State University. He has over 14 years of industry experience, including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drilling fluids engineer for a publicly traded oilfield services company and as a landman for a publicly traded exploration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production company. The Audit Committee reviewed the terms of the employment arrangement for potential conflicts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interest under the Related Person Transaction Policy and, after being fully informed as to the employment arrangement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compensation of Mr. Goodwin’s adult child, and all other material facts related to the relationship, determined that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employment arrangement was fair to the Company and recommended the employment arrangement to the full Board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approval and ratification. The Board subsequently approved and ratified such employment arrangements.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Reynald A. Baribault is a member of the Board. Mr. Baribault’s sister-in-law has been an employee of the Company since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2016 and was compensated in 2024, and is expected to be compensated in 2025, between $120,000 and $500,000.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Baribault’s sister-in-law has a diploma from the Executive Secretarial School and is a certified legal assistant, having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completed the Southern Methodist University Legal Assistants Program. She has over 40 years of experience as a legal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assistant. The Audit Committee reviewed the terms of the employment arrangement for potential conflicts of interest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Related Person Transaction Policy and, after being fully informed as to the employment arrangement and historical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anticipated compensation of Mr. Baribault’s sister-in-law, and all other material facts related to the relationship,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determined that the employment arrangement was fair to the Company and recommended the employment arrangement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83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the full Board for approval and ratification. The Board subsequently approved and ratified such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arrangement.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 adult child of Mr. Foran and a sibling of Ms. Appel has been an employee of the Company since 2015 and 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and is expected to be compensated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between $120,000 and $500,000. Mr. Foran’s child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a Bachelor of Science degree in Human Resource Development and a Master of Science degree in Human Resource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Management, both from Texas A&amp;M University. She has more than 13 years of industry experience, including with another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publicly traded exploration and production company. The Audit Committee reviewed the terms of the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arrangement for potential conflicts of interest under the Related Person Transaction Policy and, after being fully informed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to the employment arrangement and historical and anticipated compensation of Mr. Foran’s child, and all other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facts related to the relationship, determined that the employment arrangement was fair to the Company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recommended the employment arrangement to the full Board for approval and ratification. The Board subsequently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approved and ratified such employment arrangement.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Indemnification Agreements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1" name="Image1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101" descr="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entered into indemnification agreements with each of our directors and executive officers and expect to do so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future for any new directors and executive officers. The indemnification agreements provide the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 with contractual rights to indemnification, expense advancement and reimbursement to the fullest extent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permitted by applicable law.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Procedures for Approval of Related Person Transactions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2" name="Image1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02" descr="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Related Person Transaction Policy in effect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 “Related Person Transaction”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defined as a transaction (including any financial transaction, arrangement or relationship (including any indebtedness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guarantee of indebtedness)), or series of related transactions, or any material amendment to any such transaction,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a Related Person (as defined below) has or will have a direct or indirect material interest and in which we are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participant, other than: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involving compensation of directors that is required to be reported in our proxy statement under Item 402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 SEC’s compensation disclosure requirements (“Item 402”);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employment by us of an executive officer if: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related compensation is required to be reported in our proxy statement under Item 402;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executive officer is not an “immediate family member” of another executive officer or director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Company, the related compensation would be reported in our proxy statement under Item 402 if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officer was a “named executive officer” and the Compensation Committee approved (or recommended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Board approve) such compensation;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transaction with a Related Person involving less than $120,000;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the interest of the Related Person arises solely from the ownership of a class of our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securities and all holders of that class receive the same benefit on a pro rata basis;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a Related Person has an indirect interest solely as a result of being (a) a director or, together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with all other Related Persons, a less than 10% beneficial owner of an equity interest in another entity, or both, or (b)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limited partner in a partnership in which the Related Person, together with all other Related Persons, has an interest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less than 10%;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transaction in which the rates or charges involved therein are determined by competitive bids, or a transaction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involves the rendering of services as a common or contract carrier, or public utility, at rates or charges fixed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conformity with law or governmental authority;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84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transaction with another company at which a Related Person’s only relationship is as an employee (other than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officer), if the aggregate amount involved does not exceed the greater of $1,000,000, or 2% of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company’s total annual revenues;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charitable contribution, grant or endowment by us to a charitable organization, foundation or university at which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Related Person’s only relationship is as an employee (other than an executive officer), if the aggregate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involved does not exceed the lesser of $1,000,000, or 2% of the charitable organization’s total annual receipts;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transaction with another publicly traded company where the Related Person’s interest arises solely from beneficial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ownership of more than 5% of our Common Stock and ownership of a non-controlling interest in the other publicly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traded company;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reimbursement of business expenses incurred by a director, officer or employee of the Company in the performance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his or her duties and approved for reimbursement by the Company in accordance with the Company’s customary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policies and practices;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indemnification and advancement of expenses made pursuant to the Certificate of Formation or the Bylaws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pursuant to any agreement.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Person” means: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person who is, or at any time since the beginning of the Company’s last completed fiscal year was, 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executive officers or one of our directors or nominees for director;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person (including any entity or group) who is known by us to be the beneficial owner of more than 5%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immediate family member of any of the foregoing persons, which means any child, stepchild, parent,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stepparent, spouse, sibling, mother-in-law, father-in-law, son-in-law, daughter-in-law, brother-in-law, sister-in-law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person residing (other than a tenant or employee) in the home of a director, nominee for director,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a beneficial owner of more than 5% of our Common Stock;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color w:val="00548B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any entity that is owned or controlled by any of the foregoing persons or in which any of the foregoing persons is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general partner or executive officer or in which such person, together with all other of the foregoing persons, owns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10% or more of the equity interests thereof.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Related Person Transaction Policy, the Audit Committee must review all material facts of each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 Transaction and recommend either approval or disapproval of the Related Person Transaction to the full Board,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subject to certain limited exceptions. In determining whether to recommend approval or disapproval of the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Transaction, the Audit Committee must, after reviewing all material facts of the Related Person Transaction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Person’s relationship and interest, determine whether the Related Person Transaction is fair to the Company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in, or not consistent with, the interests of the Company and its shareholders. If a Related Person Transaction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ongoing, the Audit Committee, on at least an annual basis, will review and assess ongoing relationships with the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to see that they are in compliance with Audit Committee guidelines. Further, the policy requires that all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 Transactions be disclosed in our filings with the SEC and/or our website in accordance with applicable laws, rules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regulations.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 xml:space="preserve">SECURITY OWNERSHIP OF CERTAIN BENEFICIAL OWNERS AND 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MANAGEMENT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the beneficial ownership of our Common Stock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(i) each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beneficially owning more than 5% of the outstanding shares of our Common Stock, (ii) each director and nominee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 of the Company, (iii) each named executive officer of the Company listed in the Summary Compensation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(iv) all of our directors, nominees and executive officers as a group. Except pursuant to applicable community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property laws and except as otherwise indicated, each shareholder possesses sole voting and investment power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its, his or her shares. The business address of each of our directors and executive officers is c/o Matador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Resources Company,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One Lincoln Centre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5400 LBJ Freeway, Suite 1500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Dallas, Texas 75240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 applicable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ownership is based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125,201,846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our Common Stock issued and outstanding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plus, on an individual basis, the right of that individual to (i) obtain Common Stock upon exercise of stock options or (ii)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obtain Common Stock upon the vesting or delivery of RSUs, in each case within 60 days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is based on Form 3s, Form 4s, Form 5s, Schedule 13Ds, Schedule 13Gs and Schedule 13G/As filed through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16,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7"/>
        <w:gridCol w:w="2687"/>
        <w:gridCol w:w="1611"/>
      </w:tblGrid>
      <w:tr>
        <w:trPr/>
        <w:tc>
          <w:tcPr>
            <w:tcW w:w="5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0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2687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Amount and Nature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Ownership of Common Stock</w:t>
            </w:r>
          </w:p>
        </w:tc>
        <w:tc>
          <w:tcPr>
            <w:tcW w:w="1611" w:type="dxa"/>
            <w:tcBorders>
              <w:bottom w:val="single" w:sz="4" w:space="0" w:color="00548B"/>
            </w:tcBorders>
            <w:shd w:fill="00548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Percent of Class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Directors, Nominees and Named Executive Officers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Joseph Wm. Foran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5,403,411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4.3%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Shelley F. Appel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1,735,698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1.4%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Reynald A. Baribault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141,246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R. Gaines Baty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68,317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William M. Byerley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51,732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Monika U. Ehrman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(6)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36,567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Bryan A. Erman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(7)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82,385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Paul W. Harvey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(8)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39,717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James M. Howard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(9)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125,368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G. Gregg Krug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225,910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Timothy E. Parker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(10)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83,790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Van H. Singleton, II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(11)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292,640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Kenneth L. Stewart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(12)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86,426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Susan M. Ward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(13)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5,844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Brian J. Willey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(14)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97,861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All Directors, Nominees and Executive Officers as a Group (19 persons)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(15)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7,269,330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5.8%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5% Owners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The Vanguard Group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(16)</w:t>
            </w:r>
          </w:p>
        </w:tc>
        <w:tc>
          <w:tcPr>
            <w:tcW w:w="2687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12,498,860</w:t>
            </w:r>
          </w:p>
        </w:tc>
        <w:tc>
          <w:tcPr>
            <w:tcW w:w="1611" w:type="dxa"/>
            <w:tcBorders>
              <w:top w:val="single" w:sz="4" w:space="0" w:color="00548B"/>
              <w:bottom w:val="single" w:sz="4" w:space="0" w:color="00548B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10.0%</w:t>
            </w:r>
          </w:p>
        </w:tc>
      </w:tr>
      <w:tr>
        <w:trPr/>
        <w:tc>
          <w:tcPr>
            <w:tcW w:w="590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6"/>
              </w:rPr>
              <w:t>BlackRock, Inc.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0"/>
              </w:rPr>
              <w:t>(17)</w:t>
            </w:r>
          </w:p>
        </w:tc>
        <w:tc>
          <w:tcPr>
            <w:tcW w:w="2687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10,511,588</w:t>
            </w:r>
          </w:p>
        </w:tc>
        <w:tc>
          <w:tcPr>
            <w:tcW w:w="1611" w:type="dxa"/>
            <w:tcBorders>
              <w:top w:val="single" w:sz="4" w:space="0" w:color="00548B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8.4%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*Less than one percent (1%)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(i) 1,105,913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Sage Resources, Ltd., a limited partnership owned by the Foran family,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including Mr. Foran; (ii) 1,137,182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record, collectively, by the LRF 2011 Non-GST Trust, WJF 2011 Non-GST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Trust, JNF 2011 Non-GST Trust, SIF 2011 Non-GST Trust and MCF 2011 Non-GST Trust (collectively, the “2011 Non-GST Trusts”), for which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trusts Mr. Foran and his spouse, as settlors of each of the 2011 Non-GST Trusts, retain the power of substitution with respect to the property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2011 Non-GST Trusts; (iii) 36,885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2023-2 GRAT and the NNF 2023-2 GRAT,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which Mr. Foran is the trustee and over which Mr. Foran has sole voting and investment power; (iv) 109,221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record by each of the JWF 2024-1 GRAT and the NNF 2024-1 GRAT, for which Mr. Foran is the trustee and over which Mr. Foran has sole voting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and investment power; (v) 90,247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2024-2 GRAT and the NNF 2024-2 GRAT, for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which Mr. Foran is the trustee and over which Mr. Foran has sole voting and investment power; (vi) 453,413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record by the Foran 2012 Security Trust, for which Mr. Foran is the trustee and over which Mr. Foran has sole voting and investment power; (vii)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488,997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Foran 2012 Savings Trust, for which Mr. Foran’s spouse is a trustee; (viii) 175,766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each of the JWF 2025-1 GRAT and the NNF 2025-1 GRAT, for which Mr. Foran is the trustee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over which Mr. Foran has sole voting and investment power; and (ix) 1,347,912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record, collectively, by the LRF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2020 Non-GST Trust, WJF 2020 Non-GST Trust, SIF 2020 Non-GST Trust and MCF 2020 Non-GST Trust (collectively, the “2020 Non-GST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Trusts”), for which trusts Mr. Foran and his spouse, as settlors of each of the 2020 Non-GST Trusts, retain the power of substitution with respect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to the property of the 2020 Non-GST Trusts.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86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(i) 1,105,913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Sage Resources, Ltd., a limited partnership owned by the Foran family,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including Ms. Appel; (ii) 227,416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SIF 2011 Non-GST Trust; (iii) 336,978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held of record by the SIF 2020 Non-GST Trust; (iv) 4,742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the Individual Retirement Account of Ms.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Appel; (v) 2,150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Ms. Appel; (vi) 58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the Health Savings Account of Ms. Appel’s spouse; and (vii) 2,533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Ms. Appel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6,515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Baribault. Also includes 116,118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held of record by the Reynald A. Baribault Maritalized Revocable Living Trust and 7,818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by the Sally K. Baribault Maritalized Revocable Living Trust, for which trusts both Mr. Baribault and his spouse are trustees and share voting and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investment power. Also includes 10,795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Baribault upon the vesting and delivery of RSUs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19,499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Baty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27,894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issuable to Mr. Byerley upon the vesting and delivery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2,533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issuable to Ms. Ehrman upon the vesting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(7)Includes 3,750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Mr. Erman and 2,400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of record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by the Individual Retirement Account of Mr. Erman. Also includes 2,667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restricted stock. Pursuant to the terms of Mr. Erman's restricted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stock grants, Mr. Erman has the right to vote such shares but may only dispose of such shares to the extent they have vested.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(8)Includes 8,500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Harvey, 3,000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held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of record by Wilson Peak Limo, LLC, a limited liability company owned by Mr. Harvey and his spouse and over which Mr. Harvey and his spouse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 voting and investment authority, and 300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Mr. Harvey's son. Also includes 1,267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Common Stock issuable to Mr. Harvey upon the vesting of RSUs.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(9)Includes 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Howard and 50,000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held by PBH Family Partners, Ltd., a family limited partnership owned by Mr. Howard’s family, including Mr. Howard, and over which Mr.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Howard and his spouse share voting and investment authority. Also includes 15,368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issuable to Mr. Howard upon the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vesting and delivery of RSUs. Mr. Howard's term as a director will expire at the 2025 Annual Meeting.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(10)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2,533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Parker upon the vesting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(11)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2,505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401(k) account of Mr. Singleton.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(12)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15,065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Mr. Stewart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(13)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2,533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issuable to Ms. Ward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(14)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3,760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shares of Common Stock held of record by the Individual Retirement Account of Mr. Willey and 2,950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Common Stock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held of record by the 401(k) account of Mr. Willey. Also includes 2,667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restricted stock. Pursuant to the terms of Mr. Willey's restricted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stock grants, Mr. Willey has the right to vote such shares but may only dispose of such shares to the extent they have vested.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(15)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Includes 36,003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restricted stock held by our executive officers. Pursuant to the terms of such restricted stock grants, the executive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officers have the right to vote such shares but may only dispose of such shares to the extent they have vested. Also includes 100,020</w:t>
      </w:r>
      <w:r>
        <w:rPr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Common Stock issuable to directors upon the vesting and delivery of RSUs.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(16)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Information based solely on a Schedule 13G/A filed with the SEC on November 7, 2024. The Schedule 13G/A reports that The Vanguard Group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(“Vanguard”) beneficially owns 12,498,860 shares of Common Stock, has shared voting power with respect to 61,152 shares of Common Stock,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has sole dispositive power with respect to 12,315,512 shares of Common Stock and has shared dispositive power with respect to 183,348 shares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of Common Stock. According to the Schedule 13G/A, Vanguard’s address is 100 Vanguard Blvd, Malvern, PA 19355.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(17)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Information based solely on a Schedule 13G/A filed with the SEC on November 12, 2024. The Schedule 13G/A reports that BlackRock, Inc.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(“BlackRock”) beneficially owns 10,511,588 shares of Common Stock, has sole voting power with respect to 10,236,625 shares of Common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Stock and has sole dispositive power with respect to 10,511,588 shares of Common Stock. According to the Schedule 13G/A, BlackRock’s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address is 50 Hudson Yards, New York, NY 10001.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87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ADDITIONAL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Shareholder Proposals for the 2026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Proxy Statement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3" name="Image1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103" descr="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shareholder proposals to be included in the Company’s proxy statement and form of proxy relating to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Meeting, such proposals must be received by the Company at its offices in Dallas, Texas, addressed to the Corporate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Secretary of the Company, no later 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29,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the Company changes the date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by more than 30 days from the anniversary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shareholder proposals must be received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reasonable time before the Company begins to print and mail the proxy materials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in order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considered for inclusion in the Company’s proxy statement. Upon timely receipt of any such proposal,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determine whether or not to include such proposal in the proxy statement and proxy in accordance with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regulations and provisions governing the solicitation of proxies. In addition, to comply with the universal proxy rules,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 who intend to solicit proxies in support of director nominees other than the Company’s nominees must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 notice to the Company that sets forth the information required by Rule 14a-19 under the Exchange Act, no later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13,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sz w:val="26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Director Nominations or Other Business for Presentation at the 2026</w:t>
      </w:r>
      <w:r>
        <w:rPr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Annual Meeting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4" name="Image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04" descr="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Alternatively, shareholders intending to place in nomination persons for election as directors at an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shareholders or to introduce an item of business at an annual meeting of shareholders without having the nomination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proposal included in the Company’s proxy statement must comply with certain procedures set forth in the Bylaws.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procedures provide, generally, among other things, that shareholders desiring to place in nomination persons for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directors, and/or bring a proper subject of business before an annual meeting, must do so by a written notice timely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received (on or before March 14, 2026, but no earlier than February 12, 2026, for the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Meeting)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Corporate Secretary of the Company containing the name and address of the shareholder and the number of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Common Stock beneficially owned by the shareholder. If the notice relates to a nomination for director, 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must also set forth the name, age, business and residence addresses of the candidate, the candidate’s résumé or a listing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his or her qualifications to be a director of the Company, the person’s written consent to be a director if selected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Nominating Committee, nominated by the Board and elected by the shareholders and any other information that would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required to be disclosed in solicitations of proxies for the election of directors. The Company may require any proposed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nominee to furnish such other information as may reasonably be required by the Company to determine the eligibility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such proposed nominee to serve as director. Notice of an item of business shall include a brief description of the proposed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and any material interest of the shareholder in such business.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Chairman of the meeting may refuse to allow the transaction of any business not presented, or to acknowledge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nomination of any person not made, in compliance with the foregoing procedures. Copies of the Bylaws are available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Corporate Secretary of the Company and on the Company’s website at www.matadorresources.com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heading “Investor Relations—Corporate Governance.”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See “Corporate Governance—Board Committees—Nominating Committee” for the process for shareholders to follow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suggest a director candidate to the Nominating Committee for nomination by the 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Annual Report on Form 10-K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5" name="Image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105" descr="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Company’s Annual Report on Form 10-K for the fiscal year ended December 31, 2024, as filed with the SEC,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including financial statements, is being made available to our shareholders concurrently with this Proxy Statement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www.proxyvote.com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does not form part of the proxy solicitation material. Shareholders may obtain without charge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another copy of the Annual Report on Form 10-K, excluding certain exhibits, by writing to Investor Relations, Matador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Resources Company, One Lincoln Centre, 5400 LBJ Freeway, Suite 1500, Dallas, Texas 75240.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88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OTHER BUSINESS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of the Company is not aware of other business to be presented for action at the Annual Meeting; however, if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matters are presented for action, it is the intention of the persons named in the accompanying form of proxy to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accordance with their judgment on such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By Order of the Board of Directors,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857375" cy="333375"/>
            <wp:effectExtent l="0" t="0" r="0" b="0"/>
            <wp:docPr id="106" name="Image10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06" descr="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Joseph Wm. Foran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Chairman and Chief Executive Officer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</w:rPr>
        <w:t>April 28, 2025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89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>ANNEX A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32"/>
          <w:u w:val="none"/>
          <w:effect w:val="none"/>
        </w:rPr>
        <w:t>ANNEX A</w:t>
      </w:r>
    </w:p>
    <w:p>
      <w:pPr>
        <w:pStyle w:val="TextBody"/>
        <w:bidi w:val="0"/>
        <w:spacing w:lineRule="atLeast" w:line="2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00548B"/>
          <w:sz w:val="26"/>
          <w:u w:val="none"/>
          <w:effect w:val="none"/>
        </w:rPr>
        <w:t>Non-GAAP Financial Measures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2240" cy="14605"/>
            <wp:effectExtent l="0" t="0" r="0" b="0"/>
            <wp:docPr id="107" name="Image10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107" descr="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Adjusted EBITDA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define, on a consolidated basis and for San Mateo, Adjusted EBITDA as earnings before interest expense,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taxes, depletion, depreciation and amortization, accretion of asset retirement obligations, property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impairments, unrealized derivative gains and losses, non-recurring transaction costs for certain acquisitions,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non-cash items and non-cash stock-based compensation expense and net gain or loss on asset sales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impairment. Adjusted EBITDA is not a measure of net income (loss) or net cash provided by operating activities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by GAAP. Adjusted EBITDA is a supplemental non-GAAP financial measure that is used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and external users of our consolidated financial statements, such as industry analysts, investors,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lenders and rating agencies. “GAAP” means generally accepted accounting principles in the United States of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America.</w:t>
      </w:r>
      <w:r>
        <w:rPr>
          <w:caps w:val="false"/>
          <w:smallCaps w:val="fals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references to Matador’s Adjusted EBITDA are those values attributable to Matador Resources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shareholders after giving effect to Adjusted EBITDA attributable to third-party non-controlling interests,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in San Mateo.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believes Adjusted EBITDA is necessary because it allows us to evaluate our operating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compare the results of operations from period to period without regard to our financing methods or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structure. We exclude the items listed above from net income (loss) in calculating Adjusted EBITDA because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amounts can vary substantially from company to company within our industry depending upon accounting methods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book values of assets, capital structures and the method by which certain assets were acquired.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EBITDA should not be considered an alternative to, or more meaningful than, net income (loss) or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 as determined in accordance with GAAP or as an indicator of our operating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or liquidity. Certain items excluded from Adjusted EBITDA are significant components of understanding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assessing a company’s financial performance, such as a company’s cost of capital and tax structure.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EBITDA may not be comparable to similarly titled measures of another company because all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may not calculate Adjusted EBITDA in the same manner.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presents our calculation of Adjusted EBITDA and the reconciliation of Adjusted EBITDA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GAAP financial measures of net income and net cash provided by operating activities, respectively: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90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231F20"/>
          <w:sz w:val="20"/>
          <w:u w:val="none"/>
          <w:effect w:val="none"/>
        </w:rPr>
        <w:t>Adjusted EBITDA—Matador Resources Company</w:t>
      </w:r>
    </w:p>
    <w:tbl>
      <w:tblPr>
        <w:tblW w:w="97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16"/>
        <w:gridCol w:w="1966"/>
      </w:tblGrid>
      <w:tr>
        <w:trPr/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7816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Income: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Matador Resources Company shareholders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$885,322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attributable to non-controlling interest in subsidiaries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86,021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966" w:type="dxa"/>
            <w:tcBorders>
              <w:top w:val="single" w:sz="8" w:space="0" w:color="000000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971,343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171,687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income tax provision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292,364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Depletion, depreciation and amortization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974,300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Accretion of asset retirement obligations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6,027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Unrealized gain on derivatives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(13,299)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Non-cash stock-based compensation expense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14,982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Expense related to contingent consideration and other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5,420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Consolidated Adjusted EBITDA</w:t>
            </w:r>
          </w:p>
        </w:tc>
        <w:tc>
          <w:tcPr>
            <w:tcW w:w="1966" w:type="dxa"/>
            <w:tcBorders>
              <w:top w:val="single" w:sz="8" w:space="0" w:color="000000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2,422,824</w:t>
            </w:r>
          </w:p>
        </w:tc>
      </w:tr>
      <w:tr>
        <w:trPr/>
        <w:tc>
          <w:tcPr>
            <w:tcW w:w="7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non-controlling interest in subsidiaries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(124,047)</w:t>
            </w:r>
          </w:p>
        </w:tc>
      </w:tr>
      <w:tr>
        <w:trPr/>
        <w:tc>
          <w:tcPr>
            <w:tcW w:w="781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Matador Resources Company shareholders</w:t>
            </w:r>
          </w:p>
        </w:tc>
        <w:tc>
          <w:tcPr>
            <w:tcW w:w="1966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$2,298,777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19"/>
        <w:gridCol w:w="1886"/>
      </w:tblGrid>
      <w:tr>
        <w:trPr/>
        <w:tc>
          <w:tcPr>
            <w:tcW w:w="8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8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8319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8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Cash Provided by Operating Activities: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$2,246,885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(13,080)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 of non-cash portion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155,154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Current income tax provision</w:t>
            </w:r>
          </w:p>
        </w:tc>
        <w:tc>
          <w:tcPr>
            <w:tcW w:w="1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27,059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non-cash and non-recurring expense</w:t>
            </w:r>
          </w:p>
        </w:tc>
        <w:tc>
          <w:tcPr>
            <w:tcW w:w="188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6,806</w:t>
            </w:r>
          </w:p>
        </w:tc>
      </w:tr>
      <w:tr>
        <w:trPr/>
        <w:tc>
          <w:tcPr>
            <w:tcW w:w="83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non-controlling interest in subsidiaries</w:t>
            </w:r>
          </w:p>
        </w:tc>
        <w:tc>
          <w:tcPr>
            <w:tcW w:w="18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(124,047)</w:t>
            </w:r>
          </w:p>
        </w:tc>
      </w:tr>
      <w:tr>
        <w:trPr/>
        <w:tc>
          <w:tcPr>
            <w:tcW w:w="8319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 attributable to Matador Resources Company shareholders</w:t>
            </w:r>
          </w:p>
        </w:tc>
        <w:tc>
          <w:tcPr>
            <w:tcW w:w="1886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$2,298,777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>Adjusted EBITDA - San Mateo (100%)</w:t>
      </w:r>
    </w:p>
    <w:tbl>
      <w:tblPr>
        <w:tblW w:w="79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01"/>
        <w:gridCol w:w="1966"/>
      </w:tblGrid>
      <w:tr>
        <w:trPr/>
        <w:tc>
          <w:tcPr>
            <w:tcW w:w="6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6001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66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Income: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$175,557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Depletion, depreciation and amortization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37,667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1966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37,368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Accretion of asset retirement obligations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405</w:t>
            </w:r>
          </w:p>
        </w:tc>
      </w:tr>
      <w:tr>
        <w:trPr/>
        <w:tc>
          <w:tcPr>
            <w:tcW w:w="6001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Non-recurring expense</w:t>
            </w:r>
          </w:p>
        </w:tc>
        <w:tc>
          <w:tcPr>
            <w:tcW w:w="1966" w:type="dxa"/>
            <w:tcBorders>
              <w:bottom w:val="single" w:sz="8" w:space="0" w:color="000000"/>
            </w:tcBorders>
            <w:shd w:fill="E5ED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2,160</w:t>
            </w:r>
          </w:p>
        </w:tc>
      </w:tr>
      <w:tr>
        <w:trPr/>
        <w:tc>
          <w:tcPr>
            <w:tcW w:w="60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19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$253,157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 xml:space="preserve">Proxy Statement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>| Matador Resources Company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91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335"/>
        <w:gridCol w:w="1870"/>
      </w:tblGrid>
      <w:tr>
        <w:trPr/>
        <w:tc>
          <w:tcPr>
            <w:tcW w:w="8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35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8335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870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833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87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Unaudited Adjusted EBITDA Reconciliation to Net Cash Provided by Operating Activities:</w:t>
            </w:r>
          </w:p>
        </w:tc>
        <w:tc>
          <w:tcPr>
            <w:tcW w:w="18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3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87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$193,030</w:t>
            </w:r>
          </w:p>
        </w:tc>
      </w:tr>
      <w:tr>
        <w:trPr/>
        <w:tc>
          <w:tcPr>
            <w:tcW w:w="83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8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21,825</w:t>
            </w:r>
          </w:p>
        </w:tc>
      </w:tr>
      <w:tr>
        <w:trPr/>
        <w:tc>
          <w:tcPr>
            <w:tcW w:w="833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expense, net of non-cash portion</w:t>
            </w:r>
          </w:p>
        </w:tc>
        <w:tc>
          <w:tcPr>
            <w:tcW w:w="1870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36,142</w:t>
            </w:r>
          </w:p>
        </w:tc>
      </w:tr>
      <w:tr>
        <w:trPr/>
        <w:tc>
          <w:tcPr>
            <w:tcW w:w="833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Non-recurring expense</w:t>
            </w:r>
          </w:p>
        </w:tc>
        <w:tc>
          <w:tcPr>
            <w:tcW w:w="18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2,160</w:t>
            </w:r>
          </w:p>
        </w:tc>
      </w:tr>
      <w:tr>
        <w:trPr/>
        <w:tc>
          <w:tcPr>
            <w:tcW w:w="8335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EBITDA</w:t>
            </w:r>
          </w:p>
        </w:tc>
        <w:tc>
          <w:tcPr>
            <w:tcW w:w="1870" w:type="dxa"/>
            <w:tcBorders>
              <w:top w:val="single" w:sz="8" w:space="0" w:color="000000"/>
              <w:bottom w:val="doub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$253,157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</w:rPr>
        <w:t xml:space="preserve">ANNEX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231F20"/>
          <w:sz w:val="20"/>
          <w:u w:val="none"/>
          <w:effect w:val="none"/>
        </w:rPr>
        <w:t>Adjusted Free Cash Flow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free cash flow is a supplemental non-GAAP financial measure that is defined, on a consolidated basis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Company, as net cash provided by operating activities, adjusted for changes in working capital and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 incentives that are not included as operating cash flows, less cash flows used for capital expenditures,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for changes in capital accruals. On a consolidated basis, these numbers are also adjusted for the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flows related to non-controlling interest in subsidiaries that represent cash flows not attributable to Matador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shareholders. Adjusted free cash flow should not be considered an alternative to, or more meaningful than,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 as determined in accordance with GAAP or an indicator of the Company’s liquidity.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Adjusted free cash flow is used by the Company, securities analysts and investors as an indicator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ability to manage its operating cash flow, internally fund its D/C/E capital expenditures, pay dividends and service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incur additional debt, without regard to the timing of settlement of either operating assets and liabilities or accounts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payable related to capital expenditures. Additionally, this non-GAAP financial measure may be different than similar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measures used by other companies. The Company believes the presentation of adjusted free cash flow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useful information to investors, as it provides them an additional relevant comparison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performance, sources and uses of capital associated with its operations across periods and to the performance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peers. In addition, this non-GAAP financial measure reflects adjustments for items of cash flows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often excluded by securities analysts and other users of the Company’s financial statements in evaluating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cash spend.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table below reconciles adjusted free cash flow to its most directly comparable GAAP measure of net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by operating activities. All references to Matador’s adjusted free cash flow are those values attributable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Matador shareholders after giving effect to adjusted free cash flow attributable to third-party non-controlling interests,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in San Mateo.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 w:val="false"/>
          <w:i/>
          <w:sz w:val="19"/>
        </w:rPr>
      </w:pPr>
      <w:r>
        <w:rPr>
          <w:rFonts w:ascii="Arial;sans-serif" w:hAnsi="Arial;sans-serif"/>
          <w:b w:val="false"/>
          <w:i/>
          <w:sz w:val="19"/>
        </w:rPr>
        <w:t xml:space="preserve">Adjusted Free Cash Flow—Matador Resources Company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98"/>
        <w:gridCol w:w="1907"/>
      </w:tblGrid>
      <w:tr>
        <w:trPr/>
        <w:tc>
          <w:tcPr>
            <w:tcW w:w="8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98" w:type="dxa"/>
            <w:vMerge w:val="restart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Year Ended</w:t>
            </w:r>
          </w:p>
        </w:tc>
      </w:tr>
      <w:tr>
        <w:trPr/>
        <w:tc>
          <w:tcPr>
            <w:tcW w:w="8298" w:type="dxa"/>
            <w:vMerge w:val="continue"/>
            <w:tcBorders/>
            <w:shd w:fill="00548B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7" w:type="dxa"/>
            <w:tcBorders/>
            <w:shd w:fill="00548B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2024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(In Thousands)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$2,246,885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operating assets and liabilities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(13,080)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San Mateo discretionary cash flow attributable to non-controlling interest in subsidiaries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2"/>
              </w:rPr>
              <w:t>(1)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(105,279)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Proceeds from contribution of Pronto to San Mateo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219,760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 incentives received from Five Point</w:t>
            </w:r>
          </w:p>
        </w:tc>
        <w:tc>
          <w:tcPr>
            <w:tcW w:w="190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23,800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discretionary cash flow</w:t>
            </w:r>
          </w:p>
        </w:tc>
        <w:tc>
          <w:tcPr>
            <w:tcW w:w="1907" w:type="dxa"/>
            <w:tcBorders>
              <w:top w:val="single" w:sz="8" w:space="0" w:color="000000"/>
            </w:tcBorders>
            <w:shd w:fill="E5ED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$2,372,086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Drilling, completion and equipping capital expenditures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1,222,831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Midstream capital expenditures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283,881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Expenditures for other property and equipment</w:t>
            </w:r>
          </w:p>
        </w:tc>
        <w:tc>
          <w:tcPr>
            <w:tcW w:w="190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5,691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change in capital accruals</w:t>
            </w:r>
          </w:p>
        </w:tc>
        <w:tc>
          <w:tcPr>
            <w:tcW w:w="1907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81,902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8"/>
              </w:rPr>
              <w:t>San Mateo accrual-based capital expenditures related to non-controlling interest in subsidiaries</w:t>
            </w: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z w:val="12"/>
              </w:rPr>
              <w:t>(2)</w:t>
            </w:r>
          </w:p>
        </w:tc>
        <w:tc>
          <w:tcPr>
            <w:tcW w:w="190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(29,475)</w:t>
            </w:r>
          </w:p>
        </w:tc>
      </w:tr>
      <w:tr>
        <w:trPr/>
        <w:tc>
          <w:tcPr>
            <w:tcW w:w="8298" w:type="dxa"/>
            <w:tcBorders/>
            <w:shd w:fill="E5ED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18"/>
              </w:rPr>
              <w:t>Total accrual-based capital expenditures</w:t>
            </w:r>
            <w:r>
              <w:rPr>
                <w:rFonts w:ascii="sans-serif" w:hAnsi="sans-serif"/>
                <w:b/>
                <w:i w:val="false"/>
                <w:caps w:val="false"/>
                <w:smallCaps w:val="false"/>
                <w:sz w:val="12"/>
              </w:rPr>
              <w:t>(3)</w:t>
            </w:r>
          </w:p>
        </w:tc>
        <w:tc>
          <w:tcPr>
            <w:tcW w:w="1907" w:type="dxa"/>
            <w:tcBorders>
              <w:top w:val="single" w:sz="8" w:space="0" w:color="000000"/>
              <w:bottom w:val="single" w:sz="8" w:space="0" w:color="000000"/>
            </w:tcBorders>
            <w:shd w:fill="E5ED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1,564,830</w:t>
            </w:r>
          </w:p>
        </w:tc>
      </w:tr>
      <w:tr>
        <w:trPr/>
        <w:tc>
          <w:tcPr>
            <w:tcW w:w="82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Adjusted free cash flow</w:t>
            </w:r>
          </w:p>
        </w:tc>
        <w:tc>
          <w:tcPr>
            <w:tcW w:w="190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sans-serif" w:hAnsi="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$807,256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(1)  Represents Five Point’s 49% interest in San Mateo discretionary cash flow.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>(2)  Represents Five Point’s 49% interest in accrual-based San Mateo capital expenditures.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48B"/>
          <w:sz w:val="16"/>
          <w:u w:val="none"/>
          <w:effect w:val="none"/>
        </w:rPr>
        <w:t>92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5589"/>
          <w:sz w:val="16"/>
          <w:u w:val="none"/>
          <w:effect w:val="none"/>
        </w:rPr>
        <w:t xml:space="preserve">Matador Resources Company |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2025</w:t>
      </w:r>
      <w:r>
        <w:rPr>
          <w:strike w:val="false"/>
          <w:dstrike w:val="false"/>
          <w:color w:val="005589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color w:val="005589"/>
          <w:sz w:val="16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(3)  Represents drilling, completion and equipping costs, Matador’s share of San Mateo capital expenditures plus 100% of other midstream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capital expenditures not associated with San Mateo. Pronto was wholly-owned by Matador until December 18, 2024, the date Pronto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231F20"/>
          <w:sz w:val="16"/>
          <w:u w:val="none"/>
          <w:effect w:val="none"/>
        </w:rPr>
        <w:t xml:space="preserve">was contributed to San Mateo in the Pronto Transaction.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3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81"/>
        <w:gridCol w:w="5356"/>
      </w:tblGrid>
      <w:tr>
        <w:trPr/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0" cy="809625"/>
                  <wp:effectExtent l="0" t="0" r="0" b="0"/>
                  <wp:docPr id="108" name="Image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MATADOR RESOURCES COMPANY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5400 LBJ FREEWAY, SUITE 1500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DALLAS, TEXAS 75240</w:t>
            </w:r>
          </w:p>
        </w:tc>
        <w:tc>
          <w:tcPr>
            <w:tcW w:w="53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43125" cy="533400"/>
                  <wp:effectExtent l="0" t="0" r="0" b="0"/>
                  <wp:docPr id="109" name="Image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BY INTERNET -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color w:val="14212C"/>
                <w:sz w:val="14"/>
                <w:u w:val="single"/>
              </w:rPr>
              <w:t>www.proxyvote.com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or scan the QR Barcode above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Use the Internet to transmit your voting instructions and for electronic delivery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information up until 11:59 p.m. Eastern Time the day before the meeting date.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Have your proxy card in hand when you access the web site and follow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instructions to obtain your records and to create an electronic voting instruction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form.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ELECTRONIC DELIVERY OF FUTURE PROXY MATERIALS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If you would like to reduce the costs incurred by our company in mailing proxy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materials, you can consent to receiving all future proxy statements, proxy cards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and annual reports electronically via e-mail or the Internet. To sign up for electronic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delivery, please follow the instructions above to vote using the Internet and, when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prompted, indicate that you agree to receive or access proxy materials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electronically in future years.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BY PHONE - 1-800-690-6093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Use any touch-tone telephone to transmit your voting instructions up until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11:59 p.m. Eastern Time the day before the meeting date. Have your proxy card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hand when you call and then follow the instructions.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VOTE BY MAIL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Mark, sign and date your proxy card and return it in the postage-paid envelope we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have provided or return it to Vote Processing, c/o Broadridge,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51 Mercedes Way, Edgewood, NY 11717.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4212C"/>
          <w:sz w:val="12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4212C"/>
          <w:sz w:val="12"/>
          <w:u w:val="none"/>
          <w:effect w:val="none"/>
        </w:rPr>
        <w:t>TO VOTE, MARK BLOCKS BELOW IN BLUE OR BLACK INK AS FOLLOWS:</w:t>
      </w:r>
    </w:p>
    <w:tbl>
      <w:tblPr>
        <w:tblW w:w="78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68"/>
        <w:gridCol w:w="496"/>
        <w:gridCol w:w="496"/>
        <w:gridCol w:w="2686"/>
      </w:tblGrid>
      <w:tr>
        <w:trPr/>
        <w:tc>
          <w:tcPr>
            <w:tcW w:w="41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6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V34260-P07962</w:t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KEEP THIS PORTION FOR YOUR RECORDS</w:t>
            </w:r>
          </w:p>
        </w:tc>
      </w:tr>
      <w:tr>
        <w:trPr/>
        <w:tc>
          <w:tcPr>
            <w:tcW w:w="4168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6" w:type="dxa"/>
            <w:tcBorders>
              <w:bottom w:val="dashed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0" w:type="dxa"/>
            <w:gridSpan w:val="3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6"/>
                <w:u w:val="none"/>
                <w:effect w:val="none"/>
              </w:rPr>
              <w:t>THIS PROXY CARD IS VALID ONLY WHEN SIGNED AND DATED.</w:t>
            </w:r>
          </w:p>
        </w:tc>
        <w:tc>
          <w:tcPr>
            <w:tcW w:w="2686" w:type="dxa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DETACH AND RETURN THIS PORTION ONLY</w:t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89"/>
        <w:gridCol w:w="394"/>
        <w:gridCol w:w="3056"/>
        <w:gridCol w:w="152"/>
        <w:gridCol w:w="369"/>
        <w:gridCol w:w="685"/>
        <w:gridCol w:w="685"/>
        <w:gridCol w:w="126"/>
        <w:gridCol w:w="941"/>
        <w:gridCol w:w="914"/>
        <w:gridCol w:w="766"/>
        <w:gridCol w:w="774"/>
        <w:gridCol w:w="771"/>
        <w:gridCol w:w="15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8" w:space="0" w:color="14212C"/>
              <w:left w:val="single" w:sz="8" w:space="0" w:color="14212C"/>
            </w:tcBorders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14212C"/>
              <w:bottom w:val="single" w:sz="8" w:space="0" w:color="14212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top w:val="single" w:sz="8" w:space="0" w:color="14212C"/>
              <w:right w:val="single" w:sz="8" w:space="0" w:color="14212C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63" w:type="dxa"/>
            <w:gridSpan w:val="4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MATADOR RESOURCES COMPANY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14212C"/>
              <w:right w:val="single" w:sz="8" w:space="0" w:color="14212C"/>
            </w:tcBorders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30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Board of Directors recommends you vote FOR the following: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8" w:space="0" w:color="000000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1.</w:t>
            </w:r>
          </w:p>
        </w:tc>
        <w:tc>
          <w:tcPr>
            <w:tcW w:w="34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Election of Director Nominees: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1a.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Shelley F. Appel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1b.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R. Gaines Baty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5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1c.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Paul W. Harvey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1d.</w:t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Susan M. Ward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Board of Directors recommends you vote FOR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following proposal:</w:t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2.</w:t>
            </w:r>
          </w:p>
        </w:tc>
        <w:tc>
          <w:tcPr>
            <w:tcW w:w="3208" w:type="dxa"/>
            <w:gridSpan w:val="2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Advisory vote to approve the compensation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the Company's named executive officers</w:t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8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8" w:type="dxa"/>
            <w:gridSpan w:val="2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Board of Directors recommends you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vote FOR the following proposal: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For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Against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Abstain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NOTE: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The proxies are authorized to vote in their discretion on such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other business as may properly come before the meeting or any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adjournment thereof.</w:t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3.</w:t>
            </w:r>
          </w:p>
        </w:tc>
        <w:tc>
          <w:tcPr>
            <w:tcW w:w="305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Ratification of the appointment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KPMG LLP as the Company's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independent registered public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accounting firm for the year ending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December 31, 2025</w:t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6" w:type="dxa"/>
            <w:gridSpan w:val="5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Yes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No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Please indicate if you plan to attend this meeting: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Wingdings;sans-serif" w:hAnsi="Wingdings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o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1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Please sign as your name(s) appear(s) hereon. When signing as attorney, executor, administrator, or other fiduciary, please give full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 xml:space="preserve">title as such. Joint owners should each sign personally. All holders must sign. If a corporation or partnership, please sign in full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corporate or partnership name by authorized officer.</w:t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bottom w:val="single" w:sz="4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  <w:right w:val="single" w:sz="4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70" w:type="dxa"/>
            <w:gridSpan w:val="2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left w:val="single" w:sz="4" w:space="0" w:color="14212C"/>
              <w:right w:val="single" w:sz="4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1" w:type="dxa"/>
            <w:gridSpan w:val="3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5" w:type="dxa"/>
            <w:gridSpan w:val="2"/>
            <w:tcBorders>
              <w:top w:val="single" w:sz="4" w:space="0" w:color="14212C"/>
              <w:left w:val="single" w:sz="4" w:space="0" w:color="14212C"/>
              <w:bottom w:val="single" w:sz="8" w:space="0" w:color="14212C"/>
              <w:right w:val="single" w:sz="4" w:space="0" w:color="14212C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left w:val="single" w:sz="4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0" w:type="dxa"/>
            <w:gridSpan w:val="5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Signature [PLEASE SIGN WITHIN BOX]</w:t>
            </w:r>
          </w:p>
        </w:tc>
        <w:tc>
          <w:tcPr>
            <w:tcW w:w="1370" w:type="dxa"/>
            <w:gridSpan w:val="2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1" w:type="dxa"/>
            <w:gridSpan w:val="3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Signature (Joint Owners)</w:t>
            </w:r>
          </w:p>
        </w:tc>
        <w:tc>
          <w:tcPr>
            <w:tcW w:w="1545" w:type="dxa"/>
            <w:gridSpan w:val="2"/>
            <w:tcBorders>
              <w:top w:val="single" w:sz="8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59" w:type="dxa"/>
            <w:tcBorders>
              <w:right w:val="single" w:sz="8" w:space="0" w:color="14212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left w:val="single" w:sz="8" w:space="0" w:color="14212C"/>
              <w:bottom w:val="single" w:sz="8" w:space="0" w:color="14212C"/>
            </w:tcBorders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5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9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5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" w:type="dxa"/>
            <w:tcBorders>
              <w:bottom w:val="single" w:sz="8" w:space="0" w:color="14212C"/>
              <w:right w:val="single" w:sz="8" w:space="0" w:color="14212C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4212C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4212C"/>
          <w:sz w:val="20"/>
          <w:u w:val="none"/>
          <w:effect w:val="none"/>
        </w:rPr>
        <w:t>Important Notice Regarding the Availability of Proxy Materials for the Annual Meeting: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The Annual Report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, Notice of Annual Meeting and Proxy Statement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F2C36"/>
          <w:sz w:val="20"/>
          <w:u w:val="none"/>
          <w:effect w:val="none"/>
        </w:rPr>
        <w:t xml:space="preserve">available at www.proxyvote.com </w:t>
      </w:r>
    </w:p>
    <w:tbl>
      <w:tblPr>
        <w:tblW w:w="101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171"/>
      </w:tblGrid>
      <w:tr>
        <w:trPr/>
        <w:tc>
          <w:tcPr>
            <w:tcW w:w="10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1" w:type="dxa"/>
            <w:tcBorders>
              <w:top w:val="dashed" w:sz="4" w:space="0" w:color="14212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2"/>
                <w:u w:val="none"/>
                <w:effect w:val="none"/>
              </w:rPr>
              <w:t>V34261-P07962</w:t>
            </w:r>
          </w:p>
        </w:tc>
      </w:tr>
      <w:tr>
        <w:trPr/>
        <w:tc>
          <w:tcPr>
            <w:tcW w:w="10171" w:type="dxa"/>
            <w:tcBorders>
              <w:bottom w:val="single" w:sz="8" w:space="0" w:color="14212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1" w:type="dxa"/>
            <w:tcBorders>
              <w:top w:val="single" w:sz="8" w:space="0" w:color="14212C"/>
              <w:left w:val="single" w:sz="8" w:space="0" w:color="14212C"/>
              <w:right w:val="single" w:sz="8" w:space="0" w:color="14212C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71" w:type="dxa"/>
            <w:tcBorders>
              <w:left w:val="single" w:sz="8" w:space="0" w:color="14212C"/>
              <w:right w:val="single" w:sz="8" w:space="0" w:color="14212C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MATADOR RESOURCES COMPANY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 xml:space="preserve">Annual Meeting of Shareholders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June 12, 2025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9:30 A.M.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 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2"/>
                <w:u w:val="none"/>
                <w:effect w:val="none"/>
              </w:rPr>
              <w:t>This proxy is solicited by the Board of Directors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As an alternative to completing this form, you may enter your vote instruction by telephone at 1-800-690-6093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or via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internet at www.proxyvote.com. Have your proxy card in hand and follow the instructions.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The shareholder hereby appoints Joseph Wm. Foran and Timothy E. Parker, or either of them, as proxies, each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power to appoint his substitute, and hereby authorizes them to represent and to vote, as designated on the reverse side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this ballot, all of the shares of common stock of MATADOR RESOURCES COMPANY that the shareholder is entitled to vote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at the Annual Meeting of Shareholders to be held at 9:30 A.M.</w:t>
            </w:r>
            <w:r>
              <w:rPr>
                <w:caps w:val="false"/>
                <w:smallCaps w:val="false"/>
                <w:strike w:val="false"/>
                <w:dstrike w:val="false"/>
                <w:color w:val="14212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CDT on June 12, 2025, at The Westin Galleria Dallas, Fort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Worth Ballroom, 13340 Dallas Parkway, Dallas, Texas 75240, and any adjournment or postponement thereof.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shareholder hereby revokes any proxy or proxies heretofore given to vote upon or act with respect to such shares of stock.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 xml:space="preserve">This proxy, when properly executed, will be voted in the manner directed herein. If no such direction is made, this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18"/>
                <w:u w:val="none"/>
                <w:effect w:val="none"/>
              </w:rPr>
              <w:t>proxy will be voted in accordance with the Board of Directors' recommendations.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4212C"/>
                <w:sz w:val="20"/>
                <w:u w:val="none"/>
                <w:effect w:val="none"/>
              </w:rPr>
              <w:t xml:space="preserve">Continued and to be signed on reverse side </w:t>
            </w:r>
          </w:p>
        </w:tc>
      </w:tr>
      <w:tr>
        <w:trPr/>
        <w:tc>
          <w:tcPr>
            <w:tcW w:w="10171" w:type="dxa"/>
            <w:tcBorders>
              <w:left w:val="single" w:sz="8" w:space="0" w:color="14212C"/>
              <w:bottom w:val="single" w:sz="8" w:space="0" w:color="14212C"/>
              <w:right w:val="single" w:sz="8" w:space="0" w:color="14212C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sans-serif">
    <w:altName w:val="Arial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3.jpeg"/><Relationship Id="rId9" Type="http://schemas.openxmlformats.org/officeDocument/2006/relationships/image" Target="media/image3.jpeg"/><Relationship Id="rId10" Type="http://schemas.openxmlformats.org/officeDocument/2006/relationships/image" Target="media/image3.jpeg"/><Relationship Id="rId11" Type="http://schemas.openxmlformats.org/officeDocument/2006/relationships/image" Target="media/image3.jpeg"/><Relationship Id="rId12" Type="http://schemas.openxmlformats.org/officeDocument/2006/relationships/image" Target="media/image3.jpeg"/><Relationship Id="rId13" Type="http://schemas.openxmlformats.org/officeDocument/2006/relationships/image" Target="media/image3.jpeg"/><Relationship Id="rId14" Type="http://schemas.openxmlformats.org/officeDocument/2006/relationships/image" Target="media/image3.jpeg"/><Relationship Id="rId15" Type="http://schemas.openxmlformats.org/officeDocument/2006/relationships/image" Target="media/image3.jpeg"/><Relationship Id="rId16" Type="http://schemas.openxmlformats.org/officeDocument/2006/relationships/image" Target="media/image3.jpeg"/><Relationship Id="rId17" Type="http://schemas.openxmlformats.org/officeDocument/2006/relationships/image" Target="media/image3.jpeg"/><Relationship Id="rId18" Type="http://schemas.openxmlformats.org/officeDocument/2006/relationships/image" Target="media/image3.jpeg"/><Relationship Id="rId19" Type="http://schemas.openxmlformats.org/officeDocument/2006/relationships/image" Target="media/image3.jpeg"/><Relationship Id="rId20" Type="http://schemas.openxmlformats.org/officeDocument/2006/relationships/image" Target="media/image3.jpeg"/><Relationship Id="rId21" Type="http://schemas.openxmlformats.org/officeDocument/2006/relationships/image" Target="media/image3.jpeg"/><Relationship Id="rId22" Type="http://schemas.openxmlformats.org/officeDocument/2006/relationships/image" Target="media/image3.jpeg"/><Relationship Id="rId23" Type="http://schemas.openxmlformats.org/officeDocument/2006/relationships/image" Target="media/image3.jpeg"/><Relationship Id="rId24" Type="http://schemas.openxmlformats.org/officeDocument/2006/relationships/image" Target="media/image3.jpeg"/><Relationship Id="rId25" Type="http://schemas.openxmlformats.org/officeDocument/2006/relationships/image" Target="media/image3.jpeg"/><Relationship Id="rId26" Type="http://schemas.openxmlformats.org/officeDocument/2006/relationships/image" Target="media/image3.jpeg"/><Relationship Id="rId27" Type="http://schemas.openxmlformats.org/officeDocument/2006/relationships/image" Target="media/image3.jpeg"/><Relationship Id="rId28" Type="http://schemas.openxmlformats.org/officeDocument/2006/relationships/image" Target="media/image3.jpeg"/><Relationship Id="rId29" Type="http://schemas.openxmlformats.org/officeDocument/2006/relationships/image" Target="media/image3.jpeg"/><Relationship Id="rId30" Type="http://schemas.openxmlformats.org/officeDocument/2006/relationships/image" Target="media/image4.jpeg"/><Relationship Id="rId31" Type="http://schemas.openxmlformats.org/officeDocument/2006/relationships/image" Target="media/image5.jpeg"/><Relationship Id="rId32" Type="http://schemas.openxmlformats.org/officeDocument/2006/relationships/image" Target="media/image6.jpeg"/><Relationship Id="rId33" Type="http://schemas.openxmlformats.org/officeDocument/2006/relationships/image" Target="media/image7.jpeg"/><Relationship Id="rId34" Type="http://schemas.openxmlformats.org/officeDocument/2006/relationships/image" Target="media/image3.jpeg"/><Relationship Id="rId35" Type="http://schemas.openxmlformats.org/officeDocument/2006/relationships/image" Target="media/image3.jpeg"/><Relationship Id="rId36" Type="http://schemas.openxmlformats.org/officeDocument/2006/relationships/image" Target="media/image3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3.jpeg"/><Relationship Id="rId44" Type="http://schemas.openxmlformats.org/officeDocument/2006/relationships/image" Target="media/image3.jpeg"/><Relationship Id="rId45" Type="http://schemas.openxmlformats.org/officeDocument/2006/relationships/image" Target="media/image3.jpeg"/><Relationship Id="rId46" Type="http://schemas.openxmlformats.org/officeDocument/2006/relationships/image" Target="media/image3.jpeg"/><Relationship Id="rId47" Type="http://schemas.openxmlformats.org/officeDocument/2006/relationships/image" Target="media/image3.jpeg"/><Relationship Id="rId48" Type="http://schemas.openxmlformats.org/officeDocument/2006/relationships/image" Target="media/image3.jpeg"/><Relationship Id="rId49" Type="http://schemas.openxmlformats.org/officeDocument/2006/relationships/image" Target="media/image14.gif"/><Relationship Id="rId50" Type="http://schemas.openxmlformats.org/officeDocument/2006/relationships/image" Target="media/image3.jpeg"/><Relationship Id="rId51" Type="http://schemas.openxmlformats.org/officeDocument/2006/relationships/image" Target="media/image15.gif"/><Relationship Id="rId52" Type="http://schemas.openxmlformats.org/officeDocument/2006/relationships/image" Target="media/image16.gif"/><Relationship Id="rId53" Type="http://schemas.openxmlformats.org/officeDocument/2006/relationships/image" Target="media/image17.gif"/><Relationship Id="rId54" Type="http://schemas.openxmlformats.org/officeDocument/2006/relationships/image" Target="media/image3.jpeg"/><Relationship Id="rId55" Type="http://schemas.openxmlformats.org/officeDocument/2006/relationships/image" Target="media/image3.jpeg"/><Relationship Id="rId56" Type="http://schemas.openxmlformats.org/officeDocument/2006/relationships/image" Target="media/image3.jpeg"/><Relationship Id="rId57" Type="http://schemas.openxmlformats.org/officeDocument/2006/relationships/image" Target="media/image3.jpeg"/><Relationship Id="rId58" Type="http://schemas.openxmlformats.org/officeDocument/2006/relationships/image" Target="media/image3.jpeg"/><Relationship Id="rId59" Type="http://schemas.openxmlformats.org/officeDocument/2006/relationships/image" Target="media/image3.jpeg"/><Relationship Id="rId60" Type="http://schemas.openxmlformats.org/officeDocument/2006/relationships/image" Target="media/image3.jpeg"/><Relationship Id="rId61" Type="http://schemas.openxmlformats.org/officeDocument/2006/relationships/image" Target="media/image3.jpeg"/><Relationship Id="rId62" Type="http://schemas.openxmlformats.org/officeDocument/2006/relationships/image" Target="media/image3.jpeg"/><Relationship Id="rId63" Type="http://schemas.openxmlformats.org/officeDocument/2006/relationships/image" Target="media/image1.jpeg"/><Relationship Id="rId64" Type="http://schemas.openxmlformats.org/officeDocument/2006/relationships/image" Target="media/image18.jpeg"/><Relationship Id="rId65" Type="http://schemas.openxmlformats.org/officeDocument/2006/relationships/image" Target="media/image19.jpeg"/><Relationship Id="rId66" Type="http://schemas.openxmlformats.org/officeDocument/2006/relationships/image" Target="media/image20.jpeg"/><Relationship Id="rId67" Type="http://schemas.openxmlformats.org/officeDocument/2006/relationships/image" Target="media/image3.jpeg"/><Relationship Id="rId68" Type="http://schemas.openxmlformats.org/officeDocument/2006/relationships/image" Target="media/image21.gif"/><Relationship Id="rId69" Type="http://schemas.openxmlformats.org/officeDocument/2006/relationships/image" Target="media/image22.gif"/><Relationship Id="rId70" Type="http://schemas.openxmlformats.org/officeDocument/2006/relationships/image" Target="media/image23.gif"/><Relationship Id="rId71" Type="http://schemas.openxmlformats.org/officeDocument/2006/relationships/image" Target="media/image24.gif"/><Relationship Id="rId72" Type="http://schemas.openxmlformats.org/officeDocument/2006/relationships/image" Target="media/image25.jpeg"/><Relationship Id="rId73" Type="http://schemas.openxmlformats.org/officeDocument/2006/relationships/image" Target="media/image26.gif"/><Relationship Id="rId74" Type="http://schemas.openxmlformats.org/officeDocument/2006/relationships/image" Target="media/image27.gif"/><Relationship Id="rId75" Type="http://schemas.openxmlformats.org/officeDocument/2006/relationships/image" Target="media/image28.gif"/><Relationship Id="rId76" Type="http://schemas.openxmlformats.org/officeDocument/2006/relationships/image" Target="media/image29.gif"/><Relationship Id="rId77" Type="http://schemas.openxmlformats.org/officeDocument/2006/relationships/image" Target="media/image29.gif"/><Relationship Id="rId78" Type="http://schemas.openxmlformats.org/officeDocument/2006/relationships/image" Target="media/image30.jpeg"/><Relationship Id="rId79" Type="http://schemas.openxmlformats.org/officeDocument/2006/relationships/image" Target="media/image31.gif"/><Relationship Id="rId80" Type="http://schemas.openxmlformats.org/officeDocument/2006/relationships/image" Target="media/image26.gif"/><Relationship Id="rId81" Type="http://schemas.openxmlformats.org/officeDocument/2006/relationships/image" Target="media/image32.gif"/><Relationship Id="rId82" Type="http://schemas.openxmlformats.org/officeDocument/2006/relationships/image" Target="media/image33.gif"/><Relationship Id="rId83" Type="http://schemas.openxmlformats.org/officeDocument/2006/relationships/image" Target="media/image34.gif"/><Relationship Id="rId84" Type="http://schemas.openxmlformats.org/officeDocument/2006/relationships/image" Target="media/image34.gif"/><Relationship Id="rId85" Type="http://schemas.openxmlformats.org/officeDocument/2006/relationships/image" Target="media/image35.gif"/><Relationship Id="rId86" Type="http://schemas.openxmlformats.org/officeDocument/2006/relationships/image" Target="media/image3.jpeg"/><Relationship Id="rId87" Type="http://schemas.openxmlformats.org/officeDocument/2006/relationships/image" Target="media/image3.jpeg"/><Relationship Id="rId88" Type="http://schemas.openxmlformats.org/officeDocument/2006/relationships/image" Target="media/image3.jpeg"/><Relationship Id="rId89" Type="http://schemas.openxmlformats.org/officeDocument/2006/relationships/image" Target="media/image3.jpeg"/><Relationship Id="rId90" Type="http://schemas.openxmlformats.org/officeDocument/2006/relationships/image" Target="media/image3.jpeg"/><Relationship Id="rId91" Type="http://schemas.openxmlformats.org/officeDocument/2006/relationships/image" Target="media/image3.jpeg"/><Relationship Id="rId92" Type="http://schemas.openxmlformats.org/officeDocument/2006/relationships/image" Target="media/image36.gif"/><Relationship Id="rId93" Type="http://schemas.openxmlformats.org/officeDocument/2006/relationships/image" Target="media/image37.gif"/><Relationship Id="rId94" Type="http://schemas.openxmlformats.org/officeDocument/2006/relationships/image" Target="media/image38.gif"/><Relationship Id="rId95" Type="http://schemas.openxmlformats.org/officeDocument/2006/relationships/image" Target="media/image3.jpeg"/><Relationship Id="rId96" Type="http://schemas.openxmlformats.org/officeDocument/2006/relationships/image" Target="media/image3.jpeg"/><Relationship Id="rId97" Type="http://schemas.openxmlformats.org/officeDocument/2006/relationships/image" Target="media/image3.jpeg"/><Relationship Id="rId98" Type="http://schemas.openxmlformats.org/officeDocument/2006/relationships/image" Target="media/image3.jpeg"/><Relationship Id="rId99" Type="http://schemas.openxmlformats.org/officeDocument/2006/relationships/image" Target="media/image3.jpeg"/><Relationship Id="rId100" Type="http://schemas.openxmlformats.org/officeDocument/2006/relationships/image" Target="media/image3.jpeg"/><Relationship Id="rId101" Type="http://schemas.openxmlformats.org/officeDocument/2006/relationships/image" Target="media/image3.jpeg"/><Relationship Id="rId102" Type="http://schemas.openxmlformats.org/officeDocument/2006/relationships/image" Target="media/image3.jpeg"/><Relationship Id="rId103" Type="http://schemas.openxmlformats.org/officeDocument/2006/relationships/image" Target="media/image3.jpeg"/><Relationship Id="rId104" Type="http://schemas.openxmlformats.org/officeDocument/2006/relationships/image" Target="media/image3.jpeg"/><Relationship Id="rId105" Type="http://schemas.openxmlformats.org/officeDocument/2006/relationships/image" Target="media/image3.jpeg"/><Relationship Id="rId106" Type="http://schemas.openxmlformats.org/officeDocument/2006/relationships/image" Target="media/image3.jpeg"/><Relationship Id="rId107" Type="http://schemas.openxmlformats.org/officeDocument/2006/relationships/image" Target="media/image2.jpeg"/><Relationship Id="rId108" Type="http://schemas.openxmlformats.org/officeDocument/2006/relationships/image" Target="media/image3.jpeg"/><Relationship Id="rId109" Type="http://schemas.openxmlformats.org/officeDocument/2006/relationships/image" Target="media/image39.jpeg"/><Relationship Id="rId110" Type="http://schemas.openxmlformats.org/officeDocument/2006/relationships/image" Target="media/image40.jpeg"/><Relationship Id="rId111" Type="http://schemas.openxmlformats.org/officeDocument/2006/relationships/fontTable" Target="fontTable.xml"/><Relationship Id="rId1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41621</Words>
  <Characters>230949</Characters>
  <CharactersWithSpaces>270073</CharactersWithSpaces>
  <Paragraphs>5027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