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6,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center"/>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99.1 is a press release (the “Press Release”) issued by Matador Resources Company (the “Company”) on May 6, 2026, announcing its financial results for the three months ended March 31, 2026 and updating full year 2026 production guidance. The Press Release is incorporated by reference into this Item 2.02, and the foregoing description of the Press Release is qualified in its entirety by reference to this exhibit.</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to be “filed” for the purposes of Section 18 of the Securities Exchange Act of 1934, as amended (the “Exchange Act”), and will not be incorporated by reference into any filing under the Securities Act of 1933, as amended (the “Securities Act”), unless specifically identified therein as being incorporated therein by reference.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Press Release, the Company has included certain “non-GAAP financial measures,” as defined in Item 10 of Regulation S-K of the Exchange Act, including (i)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attributable to Matador Resources Company shareholders, (ii) Adjusted EBITDA of San Mateo Midstream, LLC, the Company’s midstream affiliate (“San Mateo”), (iii) combined Adjusted EBITDA of San Mateo and the Company’s wholly owned midstream assets, (iv) adjusted net income attributable to Matador Resources Company shareholders, (v) adjusted earnings per diluted common share attributable to Matador Resources Company shareholders and (vi) adjusted free cash flow of both the Company and San Mateo. In the Press Release, the Company has provided reconciliations of the non-GAAP financial measures to the most directly comparable financial measures calculated and presented in accordance with generally-accepted accounting principles (“GAAP”) in the United States. In addition, in the Press Release, the Company has provided the reasons why the Company believes such non-GAAP financial measures provide useful information to investors.</w:t>
      </w:r>
    </w:p>
    <w:tbl>
      <w:tblPr>
        <w:tblW w:w="3270" w:type="dxa"/>
        <w:jc w:val="center"/>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Item 2.02 above is incorporated herein by reference.</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Press Release, the Company released a presentation summarizing the highlights of the Press Release (the “Presentation”). The Presentation is available on the Company’s website, www.matadorresources.com, on the Events and Presentations page under the Investor Relations tab.</w:t>
      </w:r>
    </w:p>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the purposes of Section 18 of the Exchange Act and will not be incorporated by reference into any filing under the Securities Act unless specifically identified therein as being incorporated therein by reference.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517"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078"/>
        <w:gridCol w:w="2078"/>
        <w:gridCol w:w="29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0331mtdr8ker-ex991.htm">
              <w:r>
                <w:rPr>
                  <w:rStyle w:val="InternetLink"/>
                  <w:rFonts w:ascii="Times New Roman;serif" w:hAnsi="Times New Roman;serif"/>
                  <w:b w:val="false"/>
                  <w:color w:val="000080"/>
                  <w:sz w:val="20"/>
                  <w:u w:val="single"/>
                </w:rPr>
                <w:t xml:space="preserve">Press Release, dated </w:t>
              </w:r>
            </w:hyperlink>
            <w:hyperlink w:anchor="a20260331mtdr8ker-ex991.htm">
              <w:r>
                <w:rPr>
                  <w:rStyle w:val="InternetLink"/>
                  <w:rFonts w:ascii="Times New Roman;serif" w:hAnsi="Times New Roman;serif"/>
                  <w:b w:val="false"/>
                  <w:color w:val="000080"/>
                  <w:sz w:val="20"/>
                  <w:u w:val="single"/>
                </w:rPr>
                <w:t xml:space="preserve">May </w:t>
              </w:r>
            </w:hyperlink>
            <w:hyperlink w:anchor="a20260331mtdr8ker-ex991.htm">
              <w:r>
                <w:rPr>
                  <w:rStyle w:val="InternetLink"/>
                  <w:rFonts w:ascii="Times New Roman;serif" w:hAnsi="Times New Roman;serif"/>
                  <w:b w:val="false"/>
                  <w:color w:val="000080"/>
                  <w:sz w:val="20"/>
                  <w:u w:val="single"/>
                </w:rPr>
                <w:t>6</w:t>
              </w:r>
            </w:hyperlink>
            <w:hyperlink w:anchor="a20260331mtdr8ker-ex991.htm">
              <w:r>
                <w:rPr>
                  <w:rStyle w:val="InternetLink"/>
                  <w:rFonts w:ascii="Times New Roman;serif" w:hAnsi="Times New Roman;serif"/>
                  <w:b w:val="false"/>
                  <w:color w:val="000080"/>
                  <w:sz w:val="20"/>
                  <w:u w:val="single"/>
                </w:rPr>
                <w:t>, 2026.</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45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MATADOR RESOURCES COMPANY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REPORTS FIRST QUARTER 2026 RESULTS, INCREASES PRODUCTION GUIDANCE AND REAFFIRMS EXISTING CAPITAL SPENDING</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2"/>
        </w:rPr>
        <w:t xml:space="preserve">DALLAS, Texas, May 6, 2026 -- Matador Resources Company (NYSE: MTDR) (“Matador” or the “Company”) today reported financial and operating results for the first quarter of 2026 and updated full-year 2026 production guidance. A slide presentation summarizing the highlights of this release is included on the Company’s website at </w:t>
      </w:r>
      <w:r>
        <w:rPr>
          <w:rFonts w:ascii="Times New Roman;serif" w:hAnsi="Times New Roman;serif"/>
          <w:b w:val="false"/>
          <w:color w:val="000000"/>
          <w:sz w:val="22"/>
          <w:u w:val="single"/>
        </w:rPr>
        <w:t>www.matadorresources.com</w:t>
      </w:r>
      <w:r>
        <w:rPr>
          <w:color w:val="000000"/>
        </w:rPr>
        <w:t xml:space="preserve"> </w:t>
      </w:r>
      <w:r>
        <w:rPr>
          <w:rFonts w:ascii="Times New Roman;serif" w:hAnsi="Times New Roman;serif"/>
          <w:b w:val="false"/>
          <w:color w:val="000000"/>
          <w:sz w:val="22"/>
        </w:rPr>
        <w:t>on the Events and Presentations page under the Investor Relations tab.</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Management Summary Comments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Joseph Wm. Foran, Matador’s Founder, Chairman and CEO, commented, “Matador is pleased to report a strong start to 2026. First quarter results exceeded the midpoint of our prior oil production guidance by 3%, and we have paid down over $350 million on our reserve-based lending (“RBL”) facility since year-end. Our capital spending during the quarter finished in line with previous guidance estimates that focused on operational efficiencies, increasing reserves, and cost saving initiatives. In light of these improvements and increased commodity pricing, estimated adjusted free cash flow for the full year 2026 will be approximately $1.1 to $1.2 billion (assuming strip oil and natural gas pricing as of early May 2026) compared to adjusted free cash flow for full year 2025 of $437 million, excluding land and seismic costs.</w:t>
      </w:r>
    </w:p>
    <w:p>
      <w:pPr>
        <w:pStyle w:val="TextBody"/>
        <w:bidi w:val="0"/>
        <w:spacing w:before="0" w:after="0"/>
        <w:jc w:val="both"/>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Consequently, these first quarter results, combined with continued coordination between Matador and San Mateo’s upstream and midstream businesses, all provide an improved outlook for full-year 2026. Accordingly, we are increasing our production guidance estimates while reaffirming our previous cost per completed lateral foot, lease operating expense and estimated full-year capital budget guidance. During this past quarter, we began construction on a new San Mateo water recycling facility, finished drilling operations on our first Woodford exploratory well, and brought two additional Matador upstream net wells to sales, outperforming our February guidance. We also remain focused on expanding our 10 to 15 year high-quality inventory, which we consider critical for present and future growth. For instance, since early 2023, we have added over 800 net engineered locations, adding seven to eight years of inventory to our asset base and available inventory in both new and established areas of activity.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Exceeding Expectations and Outstanding Performance</w:t>
      </w:r>
    </w:p>
    <w:p>
      <w:pPr>
        <w:pStyle w:val="TextBody"/>
        <w:bidi w:val="0"/>
        <w:spacing w:before="0" w:after="0"/>
        <w:jc w:val="left"/>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 xml:space="preserve">In our February 2026 earnings press release, we identified certain strategic priorities for the year that included improved capital efficiency and profitability, RBL reduction, balance sheet fortification, inventory expansion, and midstream value realization. We are pleased to report that we believe we made significant progress on all those objectives in the first quarter as specified in this report and reflected in our financial statements, earnings releases and annual report.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Quarterly Production</w:t>
      </w:r>
    </w:p>
    <w:p>
      <w:pPr>
        <w:pStyle w:val="TextBody"/>
        <w:bidi w:val="0"/>
        <w:spacing w:before="0" w:after="0"/>
        <w:jc w:val="left"/>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Matador’s first quarter 2026 average daily total production of 207,594 barrels of oil equivalent per day (BOE), consisting of 120,277 barrels of oil per day and 523.9 million cubic feet of natural gas per day, exceeded the upper end of our production guidance. This first quarter 2026 production represented a 5% increase as compared to the first quarter of 2025 production. This production outperformance was achieved notwithstanding the impact of negative Waha natural gas pricing, including approximately 3,000 BOE per day of related elective shut-ins and approximately 4,000 BOE per day of weather-related well shut-ins associated with Winter Storm Fern. Our audited total proved oil and natural gas reserves grew to 667.0 million BOE at December 31, 2025, a 9% increase, from 611.5 million BOE at year end 2024, driven by consistent production, operational and geologic outperformance.</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Production Outperformance</w:t>
      </w:r>
    </w:p>
    <w:p>
      <w:pPr>
        <w:pStyle w:val="TextBody"/>
        <w:bidi w:val="0"/>
        <w:spacing w:before="0" w:after="0"/>
        <w:jc w:val="both"/>
        <w:rPr/>
      </w:pPr>
      <w:r>
        <w:rPr/>
      </w:r>
    </w:p>
    <w:p>
      <w:pPr>
        <w:pStyle w:val="TextBody"/>
        <w:bidi w:val="0"/>
        <w:spacing w:lineRule="auto" w:line="264"/>
        <w:jc w:val="left"/>
        <w:rPr>
          <w:color w:val="000000"/>
        </w:rPr>
      </w:pPr>
      <w:r>
        <w:rPr>
          <w:color w:val="000000"/>
        </w:rPr>
        <w:t>“</w:t>
      </w:r>
      <w:r>
        <w:rPr>
          <w:rFonts w:ascii="Times New Roman;serif" w:hAnsi="Times New Roman;serif"/>
          <w:b w:val="false"/>
          <w:color w:val="000000"/>
          <w:sz w:val="22"/>
        </w:rPr>
        <w:t xml:space="preserve">The primary drivers of this production outperformance were: (1) strong early performance of newer wells turned to sales during the first quarter which exceeded initial expectations by approximately 2,600 barrels of oil per day, (2) the flow assurance of our production, provided by the San Mateo and Matador midstream assets, and the dedicated </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efforts of our field and office staff, despite severe weather associated with Winter Storm Fern, (3) additional wells turned-in-line associated with management’s decision to accelerate activity in the second half of 2025 and (4) delayed third-party midstream maintenance expected in the first quarter that shifted into the second quarter resulting in approximately 2,000 BOE per day.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 xml:space="preserve">Another benefit of Matador’s outperformance in production, coupled with our strategic land acquisition strategy and development plan and the ongoing, geoscience driven, subsurface resource exploration, is that it provides a level of well production consistency that stands in positive contrast to the well degradation challenges occurring across our industry. According to Enverus’ publicly available data, reviewing corporate well productivity since 2021, Matador delivered an approximate 8% improvement in its 12-month cumulative normalized oil volumes in 2024 as compared to 2021. This performance was significantly better than the peer average reviewed in the data showing a decline of approximately 9%, with the lowest-performing operator seeing productivity declines as much as 40% over the same time period in the Delaware Basin.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Capital Spending and Operational Savings</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In alignment with our production and reserve growth that has resulted in Matador’s growth since its inception in 1983 with $270,000 in initial capital to its present market capitalization of close to $8 billion, the execution of our operations team continues to deliver consistently favorable financial results in line with our capital budget, as evidenced by the reaffirmation of our current operating and capital spending plan. Most notably, our guidance remains intact despite inflationary pressures in oilfield services and market volatility following geopolitical events related to the war in Iran. While these events drove immediate increases in diesel and related costs, Matador was able to partially mitigate these impacts by utilizing electric and hybrid-electric fracturing fleets—reducing completion related diesel consumption by over 90%. Matador further demonstrated our operational expertise and efficiency, by adapting to changes in market conditions and further enhancing various operational money-saving innovations, such as multi-well completions (simul- and trimul-frac), drilling wells faster and associated cost reductions and operational artificial intelligence integration.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These completion innovations (and strategic vendor partnerships that support them) have allowed us to maintain our full-year drilling and completion cost guidance of $805 per completed lateral foot down to $785 at the low end of full-year cost per completed lateral foot guidance. Without these efficiencies and diesel reduction capabilities, recent fuel inflation would have the potential to increase well costs $30 to $50 per completed lateral foot. In addition to savings from reduced diesel usage, Matador partnered with San Mateo and our wholly-owned midstream infrastructure to source field-produced natural gas for completion operations, repurposing natural gas that would otherwise be sold into a negative Waha pricing environment. These capital expenses were further reduced by $90,000 to $100,000 per well, under current market conditions, by using produced natural gas as compared to truck delivered compressed natural gas.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Land and Finding Costs</w:t>
      </w:r>
    </w:p>
    <w:p>
      <w:pPr>
        <w:pStyle w:val="TextBody"/>
        <w:bidi w:val="0"/>
        <w:spacing w:before="0" w:after="0"/>
        <w:jc w:val="both"/>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 xml:space="preserve">Complementing our production and operational improvements, Matador’s land team continued to expand our high-quality inventory of engineered drilling locations through its disciplined ‘brick-by-brick’ land acquisition strategy. Since January 1, 2023, Matador has added over 800 net engineered drilling locations to its inventory through a combination of selective transactions, bolt-on acquisitions and working interest additions. These quality land acquisitions, together with three consecutive years of meaningful proved reserves growth, operating efficiencies, and reduced well costs, all contributed to an estimated reduction in future finding and development costs for Matador’s proved undeveloped reserves from $10.98 per BOE in 2024 to $10.34 per BOE in the most recent year-end audited reserves report in 2025.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Integrated Midstream Operations</w:t>
      </w:r>
    </w:p>
    <w:p>
      <w:pPr>
        <w:pStyle w:val="TextBody"/>
        <w:bidi w:val="0"/>
        <w:spacing w:before="0" w:after="0"/>
        <w:jc w:val="both"/>
        <w:rPr/>
      </w:pPr>
      <w:r>
        <w:rPr/>
      </w:r>
    </w:p>
    <w:p>
      <w:pPr>
        <w:pStyle w:val="TextBody"/>
        <w:bidi w:val="0"/>
        <w:spacing w:lineRule="auto" w:line="264"/>
        <w:jc w:val="left"/>
        <w:rPr>
          <w:color w:val="000000"/>
        </w:rPr>
      </w:pPr>
      <w:r>
        <w:rPr>
          <w:color w:val="000000"/>
        </w:rPr>
        <w:t>“</w:t>
      </w:r>
      <w:r>
        <w:rPr>
          <w:rFonts w:ascii="Times New Roman;serif" w:hAnsi="Times New Roman;serif"/>
          <w:b w:val="false"/>
          <w:color w:val="000000"/>
          <w:sz w:val="22"/>
        </w:rPr>
        <w:t xml:space="preserve">San Mateo helped to deliver continuing favorable operating and financial results throughout the first quarter of 2026, further enhancing the value and usefulness of San Mateo and Matador’s respective (but coordinated) efforts across midstream and upstream operations. By providing essential gathering, natural gas processing, oil transportation, produced water handling services, and quick responses to adverse weather conditions, San Mateo ensures and provides critical flow assurance for both Matador and its third-party customers. This ‘producer-first’ </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mindset was exemplified during Winter Storm Fern. Despite severe regional weather challenges, Matador and San Mateo’s operational resilience, and special individual staff efforts, allowed natural gas plant processing volumes to exceed other Delaware Basin natural gas processors by as much as 20%, based on public disclosures regarding volumes processed during the storm at other processing plants in the Delaware Basin when compared to pre-storm natural gas processing volumes.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San Mateo and Matador’s wholly-owned midstream infrastructure also supports Matador’s water recycling efforts, with treated produced water from those assets accounting for over 30% of total recycled water used in the first quarter of 2026. To further increase future revenues and to reduce costs, San Mateo continues to invest in produced water recycling infrastructure to facilitate sales for completion operations to both Matador and third-party customers, underscoring the seamless coordination required to maintain reliable, efficient and cost-effective service to its third-party customers and to Matador teams.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Commodity Prices</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2"/>
        </w:rPr>
        <w:t xml:space="preserve">Matador’s first quarter 2026 average realized natural gas price, excluding hedging, was $0.64 per thousand cubic feet (Mcf), compared to the first quarter 2025 average realized natural gas price of $3.56 per Mcf. This 82% difference reflected the recent collapse of Waha prices, to which we believe our exposure will be largely solved by the completion of the Hugh Brinson pipeline enabling Matador to sell our gas at Henry Hub prices rather than current Waha prices. Matador’s marketing team responded by selectively increasing its third-party natural gas purchase activity, generating net sales of purchased natural gas of $38.4 million during the first quarter of 2026 (a Company quarterly record) compared to $36.0 million from the sale of purchased gas during the fourth quarter of 2025. Together, purchased natural gas sales for these two most recent quarters contributed approximately $75 million of additional cash flow to help mitigate the declines in Waha prices for gas sales in that market.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Hugh Brinson Effect</w:t>
      </w:r>
    </w:p>
    <w:p>
      <w:pPr>
        <w:pStyle w:val="TextBody"/>
        <w:bidi w:val="0"/>
        <w:spacing w:before="0" w:after="0"/>
        <w:jc w:val="both"/>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 xml:space="preserve">As previously disclosed, Matador has secured, at zero capital expense, 500,000 million British thermal units (MMBtu) per day of firm natural gas transportation on Energy Transfer’s new Hugh Brinson pipeline, which Energy Transfer expects will begin flowing natural gas during the third or fourth quarter of 2026 and to be fully in-service by year-end 2026. The Hugh Brinson pipeline, transporting natural gas through north Texas data center corridors, is expected to provide Matador access to the historically more favorable Henry Hub markets along the Louisiana Gulf Coast and to other opportunities such as liquefied natural gas (LNG) plants and export terminals along this pipeline route. This Henry Hub access should reduce—substantially, if not entirely—Matador’s exposure to Waha pricing from Matador’s natural gas marketing program. Given this access to the Hugh Brinson pipeline and the Henry Hub market places, Matador estimates that it will then be able to add approximately $90 million annually in increased natural gas revenue for each $0.50 per MMBtu increase that Matador is able to achieve in its average realized natural gas price.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Financial Strength and Balance Sheet Stewardship</w:t>
      </w:r>
    </w:p>
    <w:p>
      <w:pPr>
        <w:pStyle w:val="TextBody"/>
        <w:bidi w:val="0"/>
        <w:spacing w:before="0" w:after="0"/>
        <w:jc w:val="both"/>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Driven by strong cross-functional execution and a more robust financial performance, due in part to better pricing, Matador successfully deleveraged its RBL during the first quarter of 2026. We anticipate a full repayment of all RBL borrowings later this month, a milestone that increases our liquidity to $2.2 billion, based on our current elected commitment of $2.25 billion and the further potential borrowing base capacity currently of up to $3.25 billion. This strong liquidity position enables us to capitalize on a number of varied and diverse value-creating opportunities. These include possible fixed dividend increases, disciplined land acquisitions, strategic midstream opportunities, and other value optimization measures.</w:t>
      </w:r>
    </w:p>
    <w:p>
      <w:pPr>
        <w:pStyle w:val="TextBody"/>
        <w:bidi w:val="0"/>
        <w:spacing w:before="0" w:after="0"/>
        <w:jc w:val="left"/>
        <w:rPr/>
      </w:pPr>
      <w:r>
        <w:rPr/>
      </w:r>
    </w:p>
    <w:p>
      <w:pPr>
        <w:pStyle w:val="TextBody"/>
        <w:bidi w:val="0"/>
        <w:spacing w:lineRule="auto" w:line="264"/>
        <w:jc w:val="left"/>
        <w:rPr>
          <w:color w:val="000000"/>
        </w:rPr>
      </w:pPr>
      <w:r>
        <w:rPr>
          <w:color w:val="000000"/>
        </w:rPr>
        <w:t>“</w:t>
      </w:r>
      <w:r>
        <w:rPr>
          <w:rFonts w:ascii="Times New Roman;serif" w:hAnsi="Times New Roman;serif"/>
          <w:b w:val="false"/>
          <w:color w:val="000000"/>
          <w:sz w:val="22"/>
        </w:rPr>
        <w:t>We appreciate enormously our 19-member bank group, led by PNC Bank, and their credit committees for their continued recognition of Matador’s asset quality and cash flow and for their ongoing support of our strategic initiatives. Furthermore, we expect that the opportunistic timing of our recent senior unsecured notes issuance with maturity in 2034—and the resulting interest savings of $4.3 million per year—combined with Matador’s sustained free cash flow and disciplined capital allocation, will enable the full repayments under the RBL to the bank group this month. Together, these actions have improved the Company's weighted average debt maturity profile and fortified our overall liquidity position.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Closing Thoughts</w:t>
      </w:r>
    </w:p>
    <w:p>
      <w:pPr>
        <w:pStyle w:val="TextBody"/>
        <w:bidi w:val="0"/>
        <w:spacing w:before="0" w:after="0"/>
        <w:jc w:val="left"/>
        <w:rPr/>
      </w:pPr>
      <w:r>
        <w:rPr/>
      </w:r>
    </w:p>
    <w:p>
      <w:pPr>
        <w:pStyle w:val="TextBody"/>
        <w:bidi w:val="0"/>
        <w:spacing w:lineRule="auto" w:line="264" w:before="0" w:after="0"/>
        <w:jc w:val="left"/>
        <w:rPr>
          <w:color w:val="000000"/>
        </w:rPr>
      </w:pPr>
      <w:r>
        <w:rPr>
          <w:color w:val="000000"/>
        </w:rPr>
        <w:t>“</w:t>
      </w:r>
      <w:r>
        <w:rPr>
          <w:rFonts w:ascii="Times New Roman;serif" w:hAnsi="Times New Roman;serif"/>
          <w:b w:val="false"/>
          <w:color w:val="000000"/>
          <w:sz w:val="22"/>
        </w:rPr>
        <w:t xml:space="preserve">Matador’s first quarter 2026 results reflect—in our view—the strength and consistency of our operating plan, the quality of our asset base, the usefulness of our growing midstream business and the dedication of our board, employees in the office and the field, and various service providers to increase the value of Matador and San Mateo. During the quarter, we exceeded our prior production guidance, positioned Matador to pay off its RBL balance in its entirety, advanced our ‘brick-by-brick’ land acquisition strategy and continued to grow and increase San Mateo and Matador’s capabilities, opportunities and asset base. As we move further into 2026, we remain focused on the strategic priorities set forth in February and intend to continue managing Matador and San Mateo with a long-term perspective through periods of near-term volatility and geopolitical disruptions. We thank our shareholders, bondholders, staff, service providers and directors for their continued support and look forward to discussing these results in greater detail on our conference call tomorrow morning, and we are excited about the outlook for the year ahead of us.”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60"/>
        <w:jc w:val="left"/>
        <w:rPr>
          <w:rFonts w:ascii="Times New Roman;serif" w:hAnsi="Times New Roman;serif"/>
          <w:b w:val="false"/>
          <w:i/>
          <w:color w:val="000000"/>
          <w:sz w:val="22"/>
        </w:rPr>
      </w:pPr>
      <w:r>
        <w:rPr>
          <w:rFonts w:ascii="Times New Roman;serif" w:hAnsi="Times New Roman;serif"/>
          <w:b w:val="false"/>
          <w:i/>
          <w:color w:val="000000"/>
          <w:sz w:val="22"/>
        </w:rPr>
        <w:t>All references to Matador’s net income, adjusted net income, Adjusted EBITDA and adjusted free cash flow reported throughout this earnings release are those values attributable to Matador Resources Company shareholders after giving effect to any net income, adjusted net income, Adjusted EBITDA or adjusted free cash flow, respectively, attributable to third-party non-controlling interests, including in San Mateo. Matador owns 51% of San Mateo. For a definition of adjusted net income, adjusted earnings per diluted common share, Adjusted EBITDA and adjusted free cash flow and reconciliations of such non-GAAP financial metrics to their comparable GAAP metrics, please see “Supplemental Non-GAAP Financial Measures” below.</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64" w:before="0" w:after="0"/>
        <w:jc w:val="left"/>
        <w:rPr>
          <w:rFonts w:ascii="Times New Roman;serif" w:hAnsi="Times New Roman;serif"/>
          <w:b/>
          <w:color w:val="000000"/>
          <w:sz w:val="28"/>
        </w:rPr>
      </w:pPr>
      <w:r>
        <w:rPr>
          <w:rFonts w:ascii="Times New Roman;serif" w:hAnsi="Times New Roman;serif"/>
          <w:b/>
          <w:color w:val="000000"/>
          <w:sz w:val="28"/>
        </w:rPr>
        <w:t>Full-Year 2026 Guidance Update</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Effective May 6, 2026, Matador increased its full-year 2026 guidance range for oil production and total BOE production as set forth in the table below. Notably, Matador is increasing its full-year 2026 production guidance ranges without changing its 2026 capital expenditure guidance, reflecting Matador’s improving capital efficiency. Matador now expects to achieve in 2026 a 3.5% increase in oil production, 11% total D/C/E and midstream CapEx reduction and a similar amount of net lateral footage turned to sales of ~1.25 million net lateral feet, as compared to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8"/>
        <w:gridCol w:w="1189"/>
        <w:gridCol w:w="1192"/>
        <w:gridCol w:w="109"/>
        <w:gridCol w:w="1019"/>
        <w:gridCol w:w="1019"/>
        <w:gridCol w:w="1022"/>
        <w:gridCol w:w="1009"/>
        <w:gridCol w:w="1009"/>
        <w:gridCol w:w="1012"/>
        <w:gridCol w:w="109"/>
        <w:gridCol w:w="158"/>
      </w:tblGrid>
      <w:tr>
        <w:trPr/>
        <w:tc>
          <w:tcPr>
            <w:tcW w:w="135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73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Guidance Metric</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Prior Full-Year 2026 Guidance Range</w:t>
            </w:r>
          </w:p>
        </w:tc>
        <w:tc>
          <w:tcPr>
            <w:tcW w:w="303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New Full-Year 2026 Guidance Range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Production, Bbl per day</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122,000 to 124,000</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123,000 to 125,000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Production, MMcf per day</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 to 545.0</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Equivalent Production, BOE per day</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209,500 to 215,000</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210,500 to 216,000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operating expenses per BOE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to $31.00</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$31.00 to $33.00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taxes (% of pretax income)</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to 0.5%</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to 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D/C/E CapEx</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 to $1.44 billion</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Midstream CapEx</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to $110 million</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CapEx</w:t>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to $1.55 billion</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estimated non-cash operating expenses in 2026 of $15.50 to $15.80 per BOE for DD&amp;A and $0.20 to $0.30 per BOE for non-cash G&amp;A expenses, respectively. </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(2) Capital expenditures associated with drilling, completing and equipping wells.</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 Includes Matador’s share of estimated capital expenditures for San Mateo and other wholly-owned midstream projects.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Operational and Financial Update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First</w:t>
      </w:r>
      <w:r>
        <w:rPr>
          <w:color w:val="0A0A0A"/>
          <w:u w:val="single"/>
        </w:rPr>
        <w:t xml:space="preserve"> </w:t>
      </w:r>
      <w:r>
        <w:rPr>
          <w:rFonts w:ascii="Times New Roman;serif" w:hAnsi="Times New Roman;serif"/>
          <w:b/>
          <w:color w:val="0A0A0A"/>
          <w:sz w:val="22"/>
          <w:u w:val="single"/>
        </w:rPr>
        <w:t xml:space="preserve">Quarter </w:t>
      </w:r>
      <w:r>
        <w:rPr>
          <w:rFonts w:ascii="Times New Roman;serif" w:hAnsi="Times New Roman;serif"/>
          <w:b/>
          <w:color w:val="000000"/>
          <w:sz w:val="22"/>
          <w:u w:val="single"/>
        </w:rPr>
        <w:t>2026</w:t>
      </w:r>
      <w:r>
        <w:rPr>
          <w:color w:val="0A0A0A"/>
          <w:u w:val="single"/>
        </w:rPr>
        <w:t xml:space="preserve"> </w:t>
      </w:r>
      <w:r>
        <w:rPr>
          <w:rFonts w:ascii="Times New Roman;serif" w:hAnsi="Times New Roman;serif"/>
          <w:b/>
          <w:color w:val="0A0A0A"/>
          <w:sz w:val="22"/>
          <w:u w:val="single"/>
        </w:rPr>
        <w:t xml:space="preserve">Oil, Natural Gas and Total BOE Production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summarized in the table below, Matador’s total BOE production averaged 207,594 BOE per day in the first quarter of 2026, which was a 5% year-over-year increase from an average of 198,631 BOE per day in the first quarter of 2025 and 2% better than the midpoint of Matador’s expected first quarter production guidance of 203,000 BOE per day. The better-than-expected oil and natural gas production was primarily due to (1) outperformance of Matador’s new wells that were turned to sales in the quarter and (2) the deferral of expected scheduled maintenance on a third-party treatment plant from March until April. Matador had estimated this scheduled maintenance would reduce first quarter 2026 volumes by ~2,000 BOE per day (60% oil). The Company turned to sales 36 net operated wells in the first quarter, including 25 net operated wells turned to sales in late February and in March. The two additional net operated wells relative to expectations were pulled forward from the second quarter and turned to sales late in March and did not contribute significantly to first quarter production. </w:t>
      </w:r>
    </w:p>
    <w:p>
      <w:pPr>
        <w:pStyle w:val="TextBody"/>
        <w:bidi w:val="0"/>
        <w:spacing w:before="0" w:after="0"/>
        <w:jc w:val="left"/>
        <w:rPr/>
      </w:pPr>
      <w:r>
        <w:rPr/>
      </w:r>
    </w:p>
    <w:tbl>
      <w:tblPr>
        <w:tblW w:w="9890" w:type="dxa"/>
        <w:jc w:val="left"/>
        <w:tblInd w:w="0" w:type="dxa"/>
        <w:tblLayout w:type="fixed"/>
        <w:tblCellMar>
          <w:top w:w="28" w:type="dxa"/>
          <w:left w:w="28" w:type="dxa"/>
          <w:bottom w:w="28" w:type="dxa"/>
          <w:right w:w="28" w:type="dxa"/>
        </w:tblCellMar>
      </w:tblPr>
      <w:tblGrid>
        <w:gridCol w:w="837"/>
        <w:gridCol w:w="735"/>
        <w:gridCol w:w="737"/>
        <w:gridCol w:w="109"/>
        <w:gridCol w:w="904"/>
        <w:gridCol w:w="904"/>
        <w:gridCol w:w="907"/>
        <w:gridCol w:w="569"/>
        <w:gridCol w:w="569"/>
        <w:gridCol w:w="571"/>
        <w:gridCol w:w="749"/>
        <w:gridCol w:w="749"/>
        <w:gridCol w:w="751"/>
        <w:gridCol w:w="109"/>
        <w:gridCol w:w="202"/>
        <w:gridCol w:w="202"/>
        <w:gridCol w:w="28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048" w:type="dxa"/>
            <w:gridSpan w:val="7"/>
            <w:tcBorders/>
          </w:tcPr>
          <w:p>
            <w:pPr>
              <w:pStyle w:val="TableContents"/>
              <w:bidi w:val="0"/>
              <w:spacing w:before="0" w:after="283"/>
              <w:jc w:val="left"/>
              <w:rPr>
                <w:sz w:val="4"/>
                <w:szCs w:val="4"/>
              </w:rPr>
            </w:pPr>
            <w:r>
              <w:rPr>
                <w:sz w:val="4"/>
                <w:szCs w:val="4"/>
              </w:rPr>
            </w:r>
          </w:p>
        </w:tc>
      </w:tr>
      <w:tr>
        <w:trPr/>
        <w:tc>
          <w:tcPr>
            <w:tcW w:w="230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Production</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Q1 2026 Average Daily Volume</w:t>
            </w:r>
          </w:p>
        </w:tc>
        <w:tc>
          <w:tcPr>
            <w:tcW w:w="170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Q1 2026</w:t>
              <w:br/>
              <w:t>Guidance</w:t>
              <w:br/>
              <w:t>Range</w:t>
            </w:r>
          </w:p>
        </w:tc>
        <w:tc>
          <w:tcPr>
            <w:tcW w:w="224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Difference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00497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FFFFFF"/>
                <w:sz w:val="20"/>
              </w:rPr>
              <w:t>YoY</w:t>
            </w:r>
            <w:r>
              <w:rPr>
                <w:rFonts w:ascii="Times New Roman;serif" w:hAnsi="Times New Roman;serif"/>
                <w:b w:val="false"/>
                <w:color w:val="FFFFFF"/>
                <w:sz w:val="13"/>
              </w:rPr>
              <w:t>(1)</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BOE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207,594</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201,000 to 205,000</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Bbl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120,277</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115,500 to 117,500</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 per day</w:t>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523.9</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515.0 to 525.0</w:t>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Better than Guidance</w:t>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year-over-year percentage change from the first quarter of 2025.</w:t>
      </w:r>
    </w:p>
    <w:p>
      <w:pPr>
        <w:pStyle w:val="TextBody"/>
        <w:bidi w:val="0"/>
        <w:spacing w:before="0" w:after="283"/>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First Quarter 2026 Realized Commodity Prices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Matador’s realized commodity prices during the first quarter of 2026, as compared to the fourth quarter of 2025 and the first quarter of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8"/>
        <w:gridCol w:w="684"/>
        <w:gridCol w:w="685"/>
        <w:gridCol w:w="270"/>
        <w:gridCol w:w="268"/>
        <w:gridCol w:w="246"/>
        <w:gridCol w:w="176"/>
        <w:gridCol w:w="176"/>
        <w:gridCol w:w="176"/>
        <w:gridCol w:w="270"/>
        <w:gridCol w:w="268"/>
        <w:gridCol w:w="246"/>
        <w:gridCol w:w="176"/>
        <w:gridCol w:w="176"/>
        <w:gridCol w:w="176"/>
        <w:gridCol w:w="508"/>
        <w:gridCol w:w="508"/>
        <w:gridCol w:w="509"/>
        <w:gridCol w:w="109"/>
        <w:gridCol w:w="109"/>
        <w:gridCol w:w="109"/>
        <w:gridCol w:w="269"/>
        <w:gridCol w:w="262"/>
        <w:gridCol w:w="253"/>
        <w:gridCol w:w="147"/>
        <w:gridCol w:w="147"/>
        <w:gridCol w:w="147"/>
        <w:gridCol w:w="269"/>
        <w:gridCol w:w="262"/>
        <w:gridCol w:w="253"/>
        <w:gridCol w:w="147"/>
        <w:gridCol w:w="147"/>
        <w:gridCol w:w="147"/>
        <w:gridCol w:w="327"/>
        <w:gridCol w:w="327"/>
        <w:gridCol w:w="47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shd w:fill="00497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FFFFFF"/>
                <w:sz w:val="20"/>
              </w:rPr>
            </w:pPr>
            <w:r>
              <w:rPr>
                <w:rFonts w:ascii="Times New Roman;serif" w:hAnsi="Times New Roman;serif"/>
                <w:b w:val="false"/>
                <w:color w:val="FFFFFF"/>
                <w:sz w:val="20"/>
              </w:rPr>
              <w:t>Sequential (Q1 2026 vs. Q4 2025)</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shd w:fill="00497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FFFFFF"/>
                <w:sz w:val="20"/>
              </w:rPr>
            </w:pPr>
            <w:r>
              <w:rPr>
                <w:rFonts w:ascii="Times New Roman;serif" w:hAnsi="Times New Roman;serif"/>
                <w:b w:val="false"/>
                <w:color w:val="FFFFFF"/>
                <w:sz w:val="20"/>
              </w:rPr>
              <w:t>YoY (Q1 2026 vs. Q1 2025)</w:t>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Realized Commodity Prices</w:t>
            </w:r>
          </w:p>
        </w:tc>
        <w:tc>
          <w:tcPr>
            <w:tcW w:w="784"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528"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Q4 2025</w:t>
            </w:r>
          </w:p>
        </w:tc>
        <w:tc>
          <w:tcPr>
            <w:tcW w:w="528"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Change</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44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2025</w:t>
            </w:r>
          </w:p>
        </w:tc>
        <w:tc>
          <w:tcPr>
            <w:tcW w:w="44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Change</w:t>
            </w:r>
          </w:p>
        </w:tc>
      </w:tr>
      <w:tr>
        <w:trPr/>
        <w:tc>
          <w:tcPr>
            <w:tcW w:w="214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Oil Prices, per Bbl</w:t>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$72.83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$58.89</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$72.83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$72.38</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Prices, per Mcf</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$0.64</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First</w:t>
      </w:r>
      <w:r>
        <w:rPr>
          <w:color w:val="000000"/>
          <w:u w:val="single"/>
          <w:shd w:fill="FFFFFF" w:val="clear"/>
        </w:rPr>
        <w:t xml:space="preserve"> </w:t>
      </w:r>
      <w:r>
        <w:rPr>
          <w:rFonts w:ascii="Times New Roman;serif" w:hAnsi="Times New Roman;serif"/>
          <w:b/>
          <w:color w:val="000000"/>
          <w:sz w:val="22"/>
          <w:u w:val="single"/>
          <w:shd w:fill="FFFFFF" w:val="clear"/>
        </w:rPr>
        <w:t xml:space="preserve">Quarter </w:t>
      </w:r>
      <w:r>
        <w:rPr>
          <w:rFonts w:ascii="Times New Roman;serif" w:hAnsi="Times New Roman;serif"/>
          <w:b/>
          <w:color w:val="000000"/>
          <w:sz w:val="22"/>
          <w:u w:val="single"/>
        </w:rPr>
        <w:t>2026</w:t>
      </w:r>
      <w:r>
        <w:rPr>
          <w:color w:val="000000"/>
          <w:u w:val="single"/>
          <w:shd w:fill="FFFFFF" w:val="clear"/>
        </w:rPr>
        <w:t xml:space="preserve"> </w:t>
      </w:r>
      <w:r>
        <w:rPr>
          <w:rFonts w:ascii="Times New Roman;serif" w:hAnsi="Times New Roman;serif"/>
          <w:b/>
          <w:color w:val="000000"/>
          <w:sz w:val="22"/>
          <w:u w:val="single"/>
          <w:shd w:fill="FFFFFF" w:val="clear"/>
        </w:rPr>
        <w:t>Operating Expenses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first quarter of 2026, operating expenses per BOE of $31.05 per BOE were at the high end of Matador’s expected 2026 guidance range of $30.00 to $31.00 per BOE, primarily due to the significant increase in oil prices since our February earnings report, which caused taxes other than income (TOTI) to be significantly above expectations. Otherwise, lease operating expenses (LOE), transportation and processing expenses (TP), depletion and depreciation and amortization expense (DD&amp;A) were all better than expected on a per unit of production basis. General and administrative expenses (G&amp;A) were higher than expected primarily due to the value of employee stock awards that are settled in cash, which are remeasured at each quarterly reporting period according to accounting rules. These cash-settled stock award amounts increased due to the fact that Matador’s share price increased 49% from $42.44 at the end of 2025 to $63.18 at the end of the first quarter of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increase in expectations for operating expenses from approximately $30.50 per BOE in February to $32.00 per BOE is almost entirely driven by the increase in TOTI due to the significant increase in oil price expectations since our February earnings report.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First</w:t>
      </w:r>
      <w:r>
        <w:rPr>
          <w:color w:val="000000"/>
          <w:u w:val="single"/>
          <w:shd w:fill="FFFFFF" w:val="clear"/>
        </w:rPr>
        <w:t xml:space="preserve"> </w:t>
      </w:r>
      <w:r>
        <w:rPr>
          <w:rFonts w:ascii="Times New Roman;serif" w:hAnsi="Times New Roman;serif"/>
          <w:b/>
          <w:color w:val="000000"/>
          <w:sz w:val="22"/>
          <w:u w:val="single"/>
          <w:shd w:fill="FFFFFF" w:val="clear"/>
        </w:rPr>
        <w:t xml:space="preserve">Quarter </w:t>
      </w:r>
      <w:r>
        <w:rPr>
          <w:rFonts w:ascii="Times New Roman;serif" w:hAnsi="Times New Roman;serif"/>
          <w:b/>
          <w:color w:val="000000"/>
          <w:sz w:val="22"/>
          <w:u w:val="single"/>
        </w:rPr>
        <w:t>2026</w:t>
      </w:r>
      <w:r>
        <w:rPr>
          <w:color w:val="000000"/>
          <w:u w:val="single"/>
          <w:shd w:fill="FFFFFF" w:val="clear"/>
        </w:rPr>
        <w:t xml:space="preserve"> </w:t>
      </w:r>
      <w:r>
        <w:rPr>
          <w:rFonts w:ascii="Times New Roman;serif" w:hAnsi="Times New Roman;serif"/>
          <w:b/>
          <w:color w:val="000000"/>
          <w:sz w:val="22"/>
          <w:u w:val="single"/>
          <w:shd w:fill="FFFFFF" w:val="clear"/>
        </w:rPr>
        <w:t>Capital Expenditures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first quarter of 2026, Matador’s total CapEx was $428.1 million, which was in line with the expected range of $415 to $435 million. Matador turned to sales 36.0 net operated wells during the first quarter of 2026, approximately two net wells more than the 34 net operated wells expected, as these wells were pulled forward from the second quarter of 2026. </w:t>
      </w:r>
    </w:p>
    <w:p>
      <w:pPr>
        <w:pStyle w:val="TextBody"/>
        <w:bidi w:val="0"/>
        <w:spacing w:before="0" w:after="0"/>
        <w:jc w:val="left"/>
        <w:rPr/>
      </w:pPr>
      <w:r>
        <w:rPr/>
      </w:r>
    </w:p>
    <w:tbl>
      <w:tblPr>
        <w:tblW w:w="5539" w:type="dxa"/>
        <w:jc w:val="left"/>
        <w:tblInd w:w="0" w:type="dxa"/>
        <w:tblLayout w:type="fixed"/>
        <w:tblCellMar>
          <w:top w:w="28" w:type="dxa"/>
          <w:left w:w="28" w:type="dxa"/>
          <w:bottom w:w="28" w:type="dxa"/>
          <w:right w:w="28" w:type="dxa"/>
        </w:tblCellMar>
      </w:tblPr>
      <w:tblGrid>
        <w:gridCol w:w="940"/>
        <w:gridCol w:w="825"/>
        <w:gridCol w:w="830"/>
        <w:gridCol w:w="224"/>
        <w:gridCol w:w="224"/>
        <w:gridCol w:w="228"/>
        <w:gridCol w:w="704"/>
        <w:gridCol w:w="704"/>
        <w:gridCol w:w="70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Q1 2026 Capital Expenditures</w:t>
            </w:r>
          </w:p>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 millions)</w:t>
            </w:r>
          </w:p>
        </w:tc>
        <w:tc>
          <w:tcPr>
            <w:tcW w:w="676"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Actual</w:t>
            </w:r>
          </w:p>
        </w:tc>
        <w:tc>
          <w:tcPr>
            <w:tcW w:w="2114"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February 2026 Guidance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D/C/E</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$417.6</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$428.1</w:t>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$415 to $435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8"/>
        </w:rPr>
      </w:pPr>
      <w:r>
        <w:rPr>
          <w:rFonts w:ascii="Times New Roman;serif" w:hAnsi="Times New Roman;serif"/>
          <w:b/>
          <w:color w:val="000000"/>
          <w:sz w:val="28"/>
        </w:rPr>
        <w:t>Midstream Update</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Matador’s midstream assets, include (1) San Mateo, which is owned 51% by Matador and 49% by Five Point Infrastructure LLC (“Five Point”) and (2) wholly-owned assets, which were largely acquired as part of the Advance acquisition in 2023 and the Ameredev acquisition in 2024. San Mateo distributed $31.6 million to Matador during the first quarter of 2026. On a combined basis, San Mateo and Matador’s wholly-owned midstream assets had quarterly net income of $52.7 million and quarterly Adjusted EBITDA of $82.2 million in the first quarter of 2026. The table below sets forth San Mateo’s throughput volumes for the first quarter of 2026, as compared to the fourth quarter of 2025 and first quarter of 2025. San Mateo’s throughput volumes in the first quarter of 2026 were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impacted by Winter Storm Fern as well as customer shut-ins related to negative Waha pricing, including for Matador as noted above.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1"/>
        <w:gridCol w:w="611"/>
        <w:gridCol w:w="614"/>
        <w:gridCol w:w="109"/>
        <w:gridCol w:w="109"/>
        <w:gridCol w:w="109"/>
        <w:gridCol w:w="412"/>
        <w:gridCol w:w="414"/>
        <w:gridCol w:w="183"/>
        <w:gridCol w:w="134"/>
        <w:gridCol w:w="134"/>
        <w:gridCol w:w="134"/>
        <w:gridCol w:w="412"/>
        <w:gridCol w:w="414"/>
        <w:gridCol w:w="183"/>
        <w:gridCol w:w="134"/>
        <w:gridCol w:w="134"/>
        <w:gridCol w:w="134"/>
        <w:gridCol w:w="394"/>
        <w:gridCol w:w="394"/>
        <w:gridCol w:w="395"/>
        <w:gridCol w:w="109"/>
        <w:gridCol w:w="109"/>
        <w:gridCol w:w="109"/>
        <w:gridCol w:w="412"/>
        <w:gridCol w:w="414"/>
        <w:gridCol w:w="205"/>
        <w:gridCol w:w="123"/>
        <w:gridCol w:w="123"/>
        <w:gridCol w:w="123"/>
        <w:gridCol w:w="269"/>
        <w:gridCol w:w="269"/>
        <w:gridCol w:w="251"/>
        <w:gridCol w:w="123"/>
        <w:gridCol w:w="123"/>
        <w:gridCol w:w="123"/>
        <w:gridCol w:w="265"/>
        <w:gridCol w:w="265"/>
        <w:gridCol w:w="392"/>
      </w:tblGrid>
      <w:tr>
        <w:trPr/>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shd w:fill="00497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FFFFFF"/>
                <w:sz w:val="20"/>
              </w:rPr>
            </w:pPr>
            <w:r>
              <w:rPr>
                <w:rFonts w:ascii="Times New Roman;serif" w:hAnsi="Times New Roman;serif"/>
                <w:b w:val="false"/>
                <w:color w:val="FFFFFF"/>
                <w:sz w:val="20"/>
              </w:rPr>
              <w:t>Sequential (Q1 2026 vs. Q4 2025)</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shd w:fill="00497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FFFFFF"/>
                <w:sz w:val="20"/>
              </w:rPr>
            </w:pPr>
            <w:r>
              <w:rPr>
                <w:rFonts w:ascii="Times New Roman;serif" w:hAnsi="Times New Roman;serif"/>
                <w:b w:val="false"/>
                <w:color w:val="FFFFFF"/>
                <w:sz w:val="20"/>
              </w:rPr>
              <w:t>YoY (Q1 2026 vs. Q1 2025)</w:t>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FFFFFF"/>
                <w:sz w:val="20"/>
              </w:rPr>
            </w:pPr>
            <w:r>
              <w:rPr>
                <w:rFonts w:ascii="Times New Roman;serif" w:hAnsi="Times New Roman;serif"/>
                <w:b w:val="false"/>
                <w:color w:val="FFFFFF"/>
                <w:sz w:val="20"/>
              </w:rPr>
              <w:t>San Mateo Throughput Volumes</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40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Q4 2025</w:t>
            </w:r>
          </w:p>
        </w:tc>
        <w:tc>
          <w:tcPr>
            <w:tcW w:w="40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Sequential Change</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2026</w:t>
            </w:r>
          </w:p>
        </w:tc>
        <w:tc>
          <w:tcPr>
            <w:tcW w:w="36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Q1 2025</w:t>
            </w:r>
          </w:p>
        </w:tc>
        <w:tc>
          <w:tcPr>
            <w:tcW w:w="36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FFFFFF"/>
                <w:sz w:val="20"/>
              </w:rPr>
            </w:pPr>
            <w:r>
              <w:rPr>
                <w:rFonts w:ascii="Times New Roman;serif" w:hAnsi="Times New Roman;serif"/>
                <w:b w:val="false"/>
                <w:color w:val="FFFFFF"/>
                <w:sz w:val="20"/>
              </w:rPr>
              <w:t>YoY Change</w:t>
            </w:r>
          </w:p>
        </w:tc>
      </w:tr>
      <w:tr>
        <w:trPr/>
        <w:tc>
          <w:tcPr>
            <w:tcW w:w="2066"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FFFFFF"/>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gathering, MMcf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processing, MMcf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gathering and transportation, Bbl per day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water handling, Bbl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420,800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8"/>
        </w:rPr>
      </w:pPr>
      <w:r>
        <w:rPr>
          <w:rFonts w:ascii="Times New Roman;serif" w:hAnsi="Times New Roman;serif"/>
          <w:b/>
          <w:color w:val="000000"/>
          <w:sz w:val="28"/>
        </w:rPr>
        <w:t>Second Quarter 2026 Estimates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Second</w:t>
      </w:r>
      <w:r>
        <w:rPr>
          <w:color w:val="0A0A0A"/>
          <w:u w:val="single"/>
        </w:rPr>
        <w:t xml:space="preserve"> </w:t>
      </w:r>
      <w:r>
        <w:rPr>
          <w:rFonts w:ascii="Times New Roman;serif" w:hAnsi="Times New Roman;serif"/>
          <w:b/>
          <w:color w:val="0A0A0A"/>
          <w:sz w:val="22"/>
          <w:u w:val="single"/>
        </w:rPr>
        <w:t xml:space="preserve">Quarter </w:t>
      </w:r>
      <w:r>
        <w:rPr>
          <w:rFonts w:ascii="Times New Roman;serif" w:hAnsi="Times New Roman;serif"/>
          <w:b/>
          <w:color w:val="000000"/>
          <w:sz w:val="22"/>
          <w:u w:val="single"/>
        </w:rPr>
        <w:t>2026</w:t>
      </w:r>
      <w:r>
        <w:rPr>
          <w:color w:val="0A0A0A"/>
          <w:u w:val="single"/>
        </w:rPr>
        <w:t xml:space="preserve"> </w:t>
      </w:r>
      <w:r>
        <w:rPr>
          <w:rFonts w:ascii="Times New Roman;serif" w:hAnsi="Times New Roman;serif"/>
          <w:b/>
          <w:color w:val="0A0A0A"/>
          <w:sz w:val="22"/>
          <w:u w:val="single"/>
        </w:rPr>
        <w:t>Estimated Oil, Natural Gas and Total BOE Production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noted in the table below, Matador anticipates sequential oil production growth of ~3% to a quarterly record of ~124,000 barrels per day in the second quarter of 2026, primarily as a result of the 25 net operated wells turned to sales in late February and in March. This increase is expected despite the second quarter production forecast being revised lower due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expected elective shut-in of volumes due to weak Waha pricing of ~8,000 BOE per day (20% oil),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expected scheduled maintenance on third-party treatment plants of ~2,000 BOE per day (60% oil), including maintenance originally expected in the first quarter but deferred until the second quarter as noted above. </w:t>
      </w:r>
    </w:p>
    <w:p>
      <w:pPr>
        <w:pStyle w:val="TextBody"/>
        <w:bidi w:val="0"/>
        <w:spacing w:before="0" w:after="0"/>
        <w:jc w:val="left"/>
        <w:rPr/>
      </w:pPr>
      <w:r>
        <w:rPr/>
      </w:r>
    </w:p>
    <w:tbl>
      <w:tblPr>
        <w:tblW w:w="7354" w:type="dxa"/>
        <w:jc w:val="left"/>
        <w:tblInd w:w="0" w:type="dxa"/>
        <w:tblLayout w:type="fixed"/>
        <w:tblCellMar>
          <w:top w:w="28" w:type="dxa"/>
          <w:left w:w="28" w:type="dxa"/>
          <w:bottom w:w="28" w:type="dxa"/>
          <w:right w:w="28" w:type="dxa"/>
        </w:tblCellMar>
      </w:tblPr>
      <w:tblGrid>
        <w:gridCol w:w="342"/>
        <w:gridCol w:w="300"/>
        <w:gridCol w:w="302"/>
        <w:gridCol w:w="569"/>
        <w:gridCol w:w="569"/>
        <w:gridCol w:w="571"/>
        <w:gridCol w:w="569"/>
        <w:gridCol w:w="569"/>
        <w:gridCol w:w="572"/>
        <w:gridCol w:w="679"/>
        <w:gridCol w:w="679"/>
        <w:gridCol w:w="681"/>
        <w:gridCol w:w="279"/>
        <w:gridCol w:w="279"/>
        <w:gridCol w:w="39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0" w:type="dxa"/>
            <w:gridSpan w:val="12"/>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Q1 and Q2 2026 Production Comparison</w:t>
            </w:r>
          </w:p>
        </w:tc>
      </w:tr>
      <w:tr>
        <w:trPr/>
        <w:tc>
          <w:tcPr>
            <w:tcW w:w="94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Period</w:t>
            </w:r>
          </w:p>
        </w:tc>
        <w:tc>
          <w:tcPr>
            <w:tcW w:w="1709"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Total Production,</w:t>
              <w:br/>
              <w:t>BOE per day</w:t>
            </w:r>
          </w:p>
        </w:tc>
        <w:tc>
          <w:tcPr>
            <w:tcW w:w="1710"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Oil Production,</w:t>
              <w:br/>
              <w:t>Bbl per day</w:t>
            </w:r>
          </w:p>
        </w:tc>
        <w:tc>
          <w:tcPr>
            <w:tcW w:w="2039"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Average Daily</w:t>
              <w:br/>
              <w:t>Natural Gas Production,</w:t>
              <w:br/>
              <w:t>MMcf per day</w:t>
            </w:r>
          </w:p>
        </w:tc>
        <w:tc>
          <w:tcPr>
            <w:tcW w:w="952" w:type="dxa"/>
            <w:gridSpan w:val="3"/>
            <w:tcBorders>
              <w:top w:val="single" w:sz="8" w:space="0" w:color="FFFFFF"/>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20"/>
              </w:rPr>
            </w:pPr>
            <w:r>
              <w:rPr>
                <w:rFonts w:ascii="Times New Roman;serif" w:hAnsi="Times New Roman;serif"/>
                <w:b w:val="false"/>
                <w:color w:val="FFFFFF"/>
                <w:sz w:val="20"/>
              </w:rPr>
              <w:t>% Oil</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2026</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207,594</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120,277</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523.9</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2026E</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206,000 to 212,000</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123,000 to 125,000</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498.0 to 522.0</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Estimated Wells Turned to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 May 6, 2026, Matador expects to turn to sales 23 to 28 net operated horizontal wells in the Delaware Basin during the second quarter of 2026, including Matador’s first 3.4-mile lateral wells as part of a 13-well batch drilled on our Eastern Antelope Ridge acreage, acquired from Ameredev in 2024.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Estimated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Matador expects D/C/E and midstream CapEx for the second quarter of 2026 will be approximately $430 to $460 million. Total expected CapEx of $858 to $888 million for the first half of 2026 is consistent with our expectations of 55 to 60% in the first half of 2026 due to an increased number of large-batch and longer-lateral completions, as noted in the Company’s February earnings report. The midpoint of guidance for the second quarter of $445 million is a 4% increase, as compared to $428 million in the first quarter of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First Quarter 2026 Earnings Conference Call</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2"/>
          <w:shd w:fill="FFFFFF" w:val="clear"/>
        </w:rPr>
        <w:t xml:space="preserve">The Company will host a live conference call on Thursday, May 7, 2026, at 10:00 a.m. Central Time to review its first quarter 2026 financial results and operational highlights. To access the live conference call by phone, you can use the following link </w:t>
      </w:r>
      <w:r>
        <w:rPr>
          <w:rFonts w:ascii="Times New Roman;serif" w:hAnsi="Times New Roman;serif"/>
          <w:b w:val="false"/>
          <w:color w:val="000000"/>
          <w:sz w:val="22"/>
        </w:rPr>
        <w:t>https://register-conf.media-server.com/register/BI7d538819bdaa42289984ae6f563b48cd</w:t>
      </w:r>
      <w:r>
        <w:rPr>
          <w:color w:val="000000"/>
          <w:shd w:fill="FFFFFF" w:val="clear"/>
        </w:rPr>
        <w:t xml:space="preserve"> </w:t>
      </w:r>
      <w:r>
        <w:rPr>
          <w:rFonts w:ascii="Times New Roman;serif" w:hAnsi="Times New Roman;serif"/>
          <w:b w:val="false"/>
          <w:color w:val="000000"/>
          <w:sz w:val="22"/>
          <w:shd w:fill="FFFFFF" w:val="clear"/>
        </w:rPr>
        <w:t xml:space="preserve">and </w:t>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you will be provided with dial in details. To avoid delays, it is recommended that participants dial into the conference call 15 minutes ahead of the scheduled start time.</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shd w:fill="FFFFFF" w:val="clear"/>
        </w:rPr>
        <w:t>The live conference</w:t>
      </w:r>
      <w:r>
        <w:rPr>
          <w:color w:val="000000"/>
        </w:rPr>
        <w:t xml:space="preserve"> </w:t>
      </w:r>
      <w:r>
        <w:rPr>
          <w:rFonts w:ascii="Times New Roman;serif" w:hAnsi="Times New Roman;serif"/>
          <w:b w:val="false"/>
          <w:color w:val="000000"/>
          <w:sz w:val="22"/>
        </w:rPr>
        <w:t>call will also be available through the Company’s website at www.matadorresources.com on the Events and Presentations page under the Investor Relations tab. The replay for the event will be available on the Company’s website at www.matadorresources.com on the Events and Presentations page under the Investor Relations tab for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About Matador Resources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For more information about Matador Resources Company, visit </w:t>
      </w:r>
      <w:r>
        <w:rPr>
          <w:rFonts w:ascii="Times New Roman;serif" w:hAnsi="Times New Roman;serif"/>
          <w:b w:val="false"/>
          <w:color w:val="000000"/>
          <w:sz w:val="22"/>
          <w:u w:val="single"/>
        </w:rPr>
        <w:t>www.matadorresources.com</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Forward-Looking Statements</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val="false"/>
          <w:color w:val="000000"/>
          <w:sz w:val="22"/>
        </w:rPr>
        <w:t xml:space="preserve">This press release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the payment of dividends, the amount and timing of share repurchases,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forward-looking statements involve certain risks and uncertainties, including, but not limited to, disruption from Matador’s acquisitions or dispositions making it more difficult to maintain business and operational relationships; significant transaction costs associated with Matador’s acquisitions or dispositions; the risk of litigation and/or regulatory actions related to Matador’s acquisitions or dispositions, as well as the following risks related to financial and operational performance: general economic conditions; Matador’s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Matador’s midstream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w:t>
      </w:r>
      <w:r>
        <w:rPr>
          <w:rFonts w:ascii="Times New Roman;serif" w:hAnsi="Times New Roman;serif"/>
          <w:b w:val="false"/>
          <w:color w:val="000000"/>
          <w:sz w:val="24"/>
        </w:rPr>
        <w:t>or the construction, expansion or operation of Matador’s midstream assets</w:t>
      </w:r>
      <w:r>
        <w:rPr>
          <w:rFonts w:ascii="Times New Roman;serif" w:hAnsi="Times New Roman;serif"/>
          <w:b w:val="false"/>
          <w:color w:val="000000"/>
          <w:sz w:val="22"/>
        </w:rPr>
        <w:t xml:space="preserve">; delays and other difficulties related to regulatory and governmental approvals and restrictions; impact on Matador’s operations due to seismic events; its ability to make acquisitions on economically acceptable terms; its ability to integrate acquisitions; availability of sufficient capital to execute its business plan, including from future cash flows, capital markets, available borrowing capacity under its revolving credit facilities and otherwise; the operating results of and the availability of any potential distributions from our joint ventures; weather conditions, environmental conditions and natural disasters; the impact of the One Big Beautiful Bill Act; and the other factors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that could cause actual results to differ materially from those anticipated or implied in the forward-looking statements. For further discussions of risks and uncertainties, you should refer to Matador’s filings with the Securities and Exchange Commission (“SEC”), including the “Risk Factors” section of Matador’s most recent Annual Report on Form 10-K and any subsequent Quarterly Reports on Form 10-Q. Matador undertakes no obligation to update these forward-looking statements to reflect events or circumstances occurring after the date of this press release, except as required by law, including the securities laws of the United States and the rules and regulations of the SEC. You are cautioned not to place undue reliance on these forward-looking statements, which speak only as of the date of this press release. All forward-looking statements are qualified in their entirety by this cautionary statement.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8"/>
        </w:rPr>
        <w:t>Contact Information</w:t>
      </w:r>
      <w:r>
        <w:rPr>
          <w:color w:val="000000"/>
        </w:rPr>
        <w:t>    </w:t>
      </w:r>
    </w:p>
    <w:p>
      <w:pPr>
        <w:pStyle w:val="TextBody"/>
        <w:bidi w:val="0"/>
        <w:spacing w:before="0" w:after="0"/>
        <w:jc w:val="left"/>
        <w:rPr/>
      </w:pPr>
      <w:r>
        <w:rPr/>
      </w:r>
    </w:p>
    <w:tbl>
      <w:tblPr>
        <w:tblW w:w="9773" w:type="dxa"/>
        <w:jc w:val="left"/>
        <w:tblInd w:w="0" w:type="dxa"/>
        <w:tblLayout w:type="fixed"/>
        <w:tblCellMar>
          <w:top w:w="28" w:type="dxa"/>
          <w:left w:w="28" w:type="dxa"/>
          <w:bottom w:w="28" w:type="dxa"/>
          <w:right w:w="28" w:type="dxa"/>
        </w:tblCellMar>
      </w:tblPr>
      <w:tblGrid>
        <w:gridCol w:w="1455"/>
        <w:gridCol w:w="1278"/>
        <w:gridCol w:w="1287"/>
        <w:gridCol w:w="109"/>
        <w:gridCol w:w="109"/>
        <w:gridCol w:w="109"/>
        <w:gridCol w:w="1683"/>
        <w:gridCol w:w="1683"/>
        <w:gridCol w:w="1688"/>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Mac Schmitz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P. Calvert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(972) 371-5225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(972) 371-5443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investors@matadorresources.com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8"/>
        </w:rPr>
      </w:pPr>
      <w:r>
        <w:rPr>
          <w:rFonts w:ascii="Times New Roman;serif" w:hAnsi="Times New Roman;serif"/>
          <w:b/>
          <w:color w:val="000000"/>
          <w:sz w:val="28"/>
        </w:rPr>
        <w:t>Selected Financial and Operating Items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Sequential and year-over-year quarterly comparisons of selected financial and operating items are shown in the following table:</w:t>
      </w:r>
    </w:p>
    <w:tbl>
      <w:tblPr>
        <w:tblW w:w="10205" w:type="dxa"/>
        <w:jc w:val="left"/>
        <w:tblInd w:w="0" w:type="dxa"/>
        <w:tblLayout w:type="fixed"/>
        <w:tblCellMar>
          <w:top w:w="28" w:type="dxa"/>
          <w:left w:w="28" w:type="dxa"/>
          <w:bottom w:w="28" w:type="dxa"/>
          <w:right w:w="28" w:type="dxa"/>
        </w:tblCellMar>
      </w:tblPr>
      <w:tblGrid>
        <w:gridCol w:w="1614"/>
        <w:gridCol w:w="1397"/>
        <w:gridCol w:w="1401"/>
        <w:gridCol w:w="109"/>
        <w:gridCol w:w="109"/>
        <w:gridCol w:w="109"/>
        <w:gridCol w:w="109"/>
        <w:gridCol w:w="196"/>
        <w:gridCol w:w="556"/>
        <w:gridCol w:w="109"/>
        <w:gridCol w:w="109"/>
        <w:gridCol w:w="109"/>
        <w:gridCol w:w="109"/>
        <w:gridCol w:w="245"/>
        <w:gridCol w:w="698"/>
        <w:gridCol w:w="136"/>
        <w:gridCol w:w="109"/>
        <w:gridCol w:w="109"/>
        <w:gridCol w:w="109"/>
        <w:gridCol w:w="196"/>
        <w:gridCol w:w="556"/>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61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vMerge w:val="restart"/>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5"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4412" w:type="dxa"/>
            <w:gridSpan w:val="3"/>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Production Volumes: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(MBbl)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(Bcf)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oil equivalent (MBOE)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Daily Production Volumes:</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Oil (Bbl/d)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oil equivalent (BOE/d)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Sales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without realized derivatives (per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with realized derivatives (per Bbl)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without realized derivatives (per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with realized derivatives (per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Oil and natural gas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Third-party midstream 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Realized (loss) gain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General and administrative</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Total</w:t>
            </w:r>
            <w:r>
              <w:rPr>
                <w:rFonts w:ascii="Times New Roman;serif" w:hAnsi="Times New Roman;serif"/>
                <w:b w:val="false"/>
                <w:color w:val="000000"/>
                <w:sz w:val="1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sales of purchased natural gas</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(loss) income (millions)</w:t>
            </w:r>
            <w:r>
              <w:rPr>
                <w:rFonts w:ascii="Times New Roman;serif" w:hAnsi="Times New Roman;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earnings per common share (diluted)</w:t>
            </w:r>
            <w:r>
              <w:rPr>
                <w:rFonts w:ascii="Times New Roman;serif" w:hAnsi="Times New Roman;serif"/>
                <w:b w:val="false"/>
                <w:color w:val="000000"/>
                <w:sz w:val="10"/>
              </w:rPr>
              <w:t xml:space="preserve">(5)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income (millions)</w:t>
            </w:r>
            <w:r>
              <w:rPr>
                <w:rFonts w:ascii="Times New Roman;serif" w:hAnsi="Times New Roman;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earnings per common share (diluted)</w:t>
            </w:r>
            <w:r>
              <w:rPr>
                <w:rFonts w:ascii="Times New Roman;serif" w:hAnsi="Times New Roman;serif"/>
                <w:b w:val="false"/>
                <w:color w:val="000000"/>
                <w:sz w:val="10"/>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(millions)</w:t>
            </w:r>
            <w:r>
              <w:rPr>
                <w:rFonts w:ascii="Times New Roman;serif" w:hAnsi="Times New Roman;serif"/>
                <w:b w:val="false"/>
                <w:color w:val="000000"/>
                <w:sz w:val="10"/>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operating activities (millions)</w:t>
            </w:r>
            <w:r>
              <w:rPr>
                <w:rFonts w:ascii="Times New Roman;serif" w:hAnsi="Times New Roman;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free cash flow (millions)</w:t>
            </w:r>
            <w:r>
              <w:rPr>
                <w:rFonts w:ascii="Times New Roman;serif" w:hAnsi="Times New Roman;serif"/>
                <w:b w:val="false"/>
                <w:color w:val="000000"/>
                <w:sz w:val="10"/>
              </w:rPr>
              <w:t>(5)(10)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net income (millions)</w:t>
            </w:r>
            <w:r>
              <w:rPr>
                <w:rFonts w:ascii="Times New Roman;serif" w:hAnsi="Times New Roman;serif"/>
                <w:b w:val="false"/>
                <w:color w:val="000000"/>
                <w:sz w:val="1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Adjusted EBITDA (millions)</w:t>
            </w:r>
            <w:r>
              <w:rPr>
                <w:rFonts w:ascii="Times New Roman;serif" w:hAnsi="Times New Roman;serif"/>
                <w:b w:val="false"/>
                <w:color w:val="000000"/>
                <w:sz w:val="10"/>
              </w:rPr>
              <w:t>(8)(11)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net cash provided by operating activities (millions)</w:t>
            </w:r>
            <w:r>
              <w:rPr>
                <w:rFonts w:ascii="Times New Roman;serif" w:hAnsi="Times New Roman;serif"/>
                <w:b w:val="false"/>
                <w:color w:val="000000"/>
                <w:sz w:val="1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adjusted free cash flow (millions)</w:t>
            </w:r>
            <w:r>
              <w:rPr>
                <w:rFonts w:ascii="Times New Roman;serif" w:hAnsi="Times New Roman;serif"/>
                <w:b w:val="false"/>
                <w:color w:val="000000"/>
                <w:sz w:val="10"/>
              </w:rPr>
              <w:t>(9)(10)(11)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Matador Combined Midstream Adjusted EBITDA (millions)</w:t>
            </w:r>
            <w:r>
              <w:rPr>
                <w:rFonts w:ascii="Times New Roman;serif" w:hAnsi="Times New Roman;serif"/>
                <w:b w:val="false"/>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D/C/E capital expenditures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Midstream capital expenditures (millions)</w:t>
            </w:r>
            <w:r>
              <w:rPr>
                <w:rFonts w:ascii="Times New Roman;serif" w:hAnsi="Times New Roman;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Production volumes reported in two streams: oil and natural gas, including both dry and liquids-rich natural gas.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(2) Includes approximately $0.24, $0.19 and $0.22 per BOE of non-cash, stock-based compensation expense in the first quarter of 2026, the fourth quarter of 2025 and the first quarter of 2025, respectively.</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(3) Total does not include the impact of purchased natural gas or immaterial accretion expenses.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(4) Net sales of purchased natural gas reflect those natural gas purchase transactions that the Company periodically enters into with third parties whereby the Company purchases natural gas and (i) subsequently sells the natural gas to other purchasers or (ii) processes the natural gas at San Mateo’s cryogenic natural gas processing plants and subsequently sells the residue natural gas and natural gas liquids to other purchasers. Such amounts reflect revenues from sales of purchased natural gas of $80.8 million, $61.3 million and $62.8 million less expenses of $42.3 million, $25.4 million and $54.1 million in the first quarter of 2026, the fourth quarter of 2025 and the first quarter of 2025, respectively.</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(5) Attributable to Matador Resources Company shareholders.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(6) Adjusted net income is a non-GAAP financial measure. For a definition of adjusted net income and a reconciliation of adjusted net income (non-GAAP) to net (loss) income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(7) Adjusted earnings per diluted common share is a non-GAAP financial measure. For a definition of adjusted earnings per diluted common share and a reconciliation of adjusted earnings per diluted common share (non-GAAP) to earnings per diluted common share (GAAP), please see “Supplemental Non-GAAP Financial Measures.”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(8) Adjusted EBITDA is a non-GAAP financial measure. For a definition of Adjusted EBITDA and a reconciliation of Adjusted EBITDA (non-GAAP) to net (loss) income (GAAP) and net cash provided by operating activities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(9) As reported for each period on a consolidated basis, including 100% of San Mateo’s net cash provided by operating activities.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(10) Adjusted free cash flow is a non-GAAP financial measure. For a definition of adjusted free cash flow and a reconciliation of adjusted free cash flow (non-GAAP) to net cash provided by operating activities (GAAP), please see “Supplemental Non-GAAP Financial Measures.”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(11) Represents 100% of San Mateo’s net income, Adjusted EBITDA, net cash provided by operating activities or adjusted free cash flow for each period reported.</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(12) Represents activity associated with San Mateo and Matador’s wholly-owned midstream assets.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(13) Includes Matador’s share of estimated capital expenditures for San Mateo and other wholly-owned midstream projects.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Matador Resources Company and Subsidiaries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CONDENSED CONSOLIDATED BALANCE SHEETS - UNAUDITED</w:t>
      </w:r>
      <w:r>
        <w:rPr>
          <w:color w:val="FF0000"/>
        </w:rPr>
        <w:t xml:space="preserve"> </w:t>
      </w:r>
    </w:p>
    <w:tbl>
      <w:tblPr>
        <w:tblW w:w="10205" w:type="dxa"/>
        <w:jc w:val="left"/>
        <w:tblInd w:w="0" w:type="dxa"/>
        <w:tblLayout w:type="fixed"/>
        <w:tblCellMar>
          <w:top w:w="28" w:type="dxa"/>
          <w:left w:w="28" w:type="dxa"/>
          <w:bottom w:w="28" w:type="dxa"/>
          <w:right w:w="28" w:type="dxa"/>
        </w:tblCellMar>
      </w:tblPr>
      <w:tblGrid>
        <w:gridCol w:w="356"/>
        <w:gridCol w:w="312"/>
        <w:gridCol w:w="312"/>
        <w:gridCol w:w="2389"/>
        <w:gridCol w:w="1771"/>
        <w:gridCol w:w="1832"/>
        <w:gridCol w:w="196"/>
        <w:gridCol w:w="961"/>
        <w:gridCol w:w="109"/>
        <w:gridCol w:w="109"/>
        <w:gridCol w:w="109"/>
        <w:gridCol w:w="109"/>
        <w:gridCol w:w="196"/>
        <w:gridCol w:w="961"/>
        <w:gridCol w:w="109"/>
        <w:gridCol w:w="109"/>
        <w:gridCol w:w="109"/>
        <w:gridCol w:w="156"/>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par value and share data)</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(7,687,846)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and equipment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vAlign w:val="center"/>
          </w:tcPr>
          <w:p>
            <w:pPr>
              <w:pStyle w:val="TableContents"/>
              <w:bidi w:val="0"/>
              <w:spacing w:before="0" w:after="283"/>
              <w:jc w:val="left"/>
              <w:rPr>
                <w:sz w:val="4"/>
                <w:szCs w:val="4"/>
              </w:rPr>
            </w:pPr>
            <w:r>
              <w:rPr>
                <w:sz w:val="4"/>
                <w:szCs w:val="4"/>
              </w:rPr>
            </w:r>
          </w:p>
        </w:tc>
        <w:tc>
          <w:tcPr>
            <w:tcW w:w="59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 $0.01 par value, 160,000,000 shares authorized; 124,446,843 and 124,409,739 shares issued; and 124,205,978 and 124,262,322 shares outstanding,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240,865 and 147,417 shares,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Matador Resources Company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5,913,085 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59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Matador Resources Company and Subsidiaries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OPERATIONS - UNAUDITED</w:t>
      </w:r>
    </w:p>
    <w:tbl>
      <w:tblPr>
        <w:tblW w:w="10205" w:type="dxa"/>
        <w:jc w:val="left"/>
        <w:tblInd w:w="0" w:type="dxa"/>
        <w:tblLayout w:type="fixed"/>
        <w:tblCellMar>
          <w:top w:w="28" w:type="dxa"/>
          <w:left w:w="28" w:type="dxa"/>
          <w:bottom w:w="28" w:type="dxa"/>
          <w:right w:w="28" w:type="dxa"/>
        </w:tblCellMar>
      </w:tblPr>
      <w:tblGrid>
        <w:gridCol w:w="453"/>
        <w:gridCol w:w="396"/>
        <w:gridCol w:w="396"/>
        <w:gridCol w:w="1889"/>
        <w:gridCol w:w="1801"/>
        <w:gridCol w:w="1841"/>
        <w:gridCol w:w="211"/>
        <w:gridCol w:w="826"/>
        <w:gridCol w:w="109"/>
        <w:gridCol w:w="109"/>
        <w:gridCol w:w="109"/>
        <w:gridCol w:w="109"/>
        <w:gridCol w:w="211"/>
        <w:gridCol w:w="826"/>
        <w:gridCol w:w="109"/>
        <w:gridCol w:w="109"/>
        <w:gridCol w:w="109"/>
        <w:gridCol w:w="109"/>
        <w:gridCol w:w="109"/>
        <w:gridCol w:w="109"/>
        <w:gridCol w:w="109"/>
        <w:gridCol w:w="156"/>
      </w:tblGrid>
      <w:tr>
        <w:trPr/>
        <w:tc>
          <w:tcPr>
            <w:tcW w:w="4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55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55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Matador Resources Company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CASH FLOWS - UNAUDITED</w:t>
      </w:r>
    </w:p>
    <w:tbl>
      <w:tblPr>
        <w:tblW w:w="9918" w:type="dxa"/>
        <w:jc w:val="left"/>
        <w:tblInd w:w="0" w:type="dxa"/>
        <w:tblLayout w:type="fixed"/>
        <w:tblCellMar>
          <w:top w:w="28" w:type="dxa"/>
          <w:left w:w="28" w:type="dxa"/>
          <w:bottom w:w="28" w:type="dxa"/>
          <w:right w:w="28" w:type="dxa"/>
        </w:tblCellMar>
      </w:tblPr>
      <w:tblGrid>
        <w:gridCol w:w="211"/>
        <w:gridCol w:w="185"/>
        <w:gridCol w:w="185"/>
        <w:gridCol w:w="2028"/>
        <w:gridCol w:w="2028"/>
        <w:gridCol w:w="2079"/>
        <w:gridCol w:w="196"/>
        <w:gridCol w:w="721"/>
        <w:gridCol w:w="109"/>
        <w:gridCol w:w="109"/>
        <w:gridCol w:w="109"/>
        <w:gridCol w:w="109"/>
        <w:gridCol w:w="196"/>
        <w:gridCol w:w="736"/>
        <w:gridCol w:w="109"/>
        <w:gridCol w:w="109"/>
        <w:gridCol w:w="109"/>
        <w:gridCol w:w="109"/>
        <w:gridCol w:w="109"/>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on derivatives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provision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 and other debt-related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changes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San Mateo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amend credit facilities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unsecured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senior unsecured notes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senior unsecured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sale-leaseback financing obligation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related to formation of San Mateo</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613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Supplemental Non-GAAP Financial Measures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EBITDA</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non-GAAP financial measure of Adjusted EBITDA. Adjusted EBITDA is a supplemental non-GAAP financial measure that is used by management and external users of the Company’s consolidated financial statements, such as securities analysts, investors, lenders and rating agencies. “GAAP” means Generally Accepted Accounting Principles in the United States of America. The Company believes Adjusted EBITDA helps it evaluate its operating performance and compare its results of operations from period to period without regard to its financing methods or capital structure. The Company defines, on a consolidated basis and for San Mateo,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(loss) income or net cash provided by operating activities as determined by GAAP. All references to Matador’s Adjusted EBITDA are those values attributable to Matador Resources Company shareholders after giving effect to Adjusted EBITDA attributable to third-party non-controlling interests, including in San Mateo.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should not be considered an alternative to, or more meaningful than, net (loss) income or net cash provided by operating activities as determined in accordance with GAAP or as an indicator of the Company’s operating performance or liquidity. Certain items excluded from Adjusted EBITDA are significant components of understanding and assessing a company’s financial performance, such as a company’s cost of capital and tax structure. Adjusted EBITDA may not be comparable to similarly titled measures of another company because all companies may not calculate Adjusted EBITDA in the same manner. The following table presents the calculation of Adjusted EBITDA and the reconciliation of Adjusted EBITDA to the GAAP financial measures of net (loss) income and net cash provided by operating activities, respectively, that are of a historical nature. Where references are pro forma, forward-looking, preliminary or prospective in nature, and not based on historical fact, the table does not provide a reconciliation. The Company could not provide such reconciliation without undue hardship because such Adjusted EBITDA numbers are estimations, approximations and/or ranges. In addition, it would be difficult for the Company to present a detailed reconciliation on account of many unknown variables for the reconciling items, including future income taxes, full-cost ceiling impairments, unrealized gains or losses on derivatives and gains or losses on asset sales and impairment. For the same reasons, the Company is unable to address the probable significance of the unavailable information, which could be material to future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 Matador Resources Company</w:t>
      </w:r>
    </w:p>
    <w:tbl>
      <w:tblPr>
        <w:tblW w:w="9819" w:type="dxa"/>
        <w:jc w:val="left"/>
        <w:tblInd w:w="0" w:type="dxa"/>
        <w:tblLayout w:type="fixed"/>
        <w:tblCellMar>
          <w:top w:w="28" w:type="dxa"/>
          <w:left w:w="28" w:type="dxa"/>
          <w:bottom w:w="28" w:type="dxa"/>
          <w:right w:w="28" w:type="dxa"/>
        </w:tblCellMar>
      </w:tblPr>
      <w:tblGrid>
        <w:gridCol w:w="1952"/>
        <w:gridCol w:w="1719"/>
        <w:gridCol w:w="1728"/>
        <w:gridCol w:w="196"/>
        <w:gridCol w:w="736"/>
        <w:gridCol w:w="109"/>
        <w:gridCol w:w="109"/>
        <w:gridCol w:w="109"/>
        <w:gridCol w:w="109"/>
        <w:gridCol w:w="206"/>
        <w:gridCol w:w="774"/>
        <w:gridCol w:w="114"/>
        <w:gridCol w:w="109"/>
        <w:gridCol w:w="109"/>
        <w:gridCol w:w="109"/>
        <w:gridCol w:w="196"/>
        <w:gridCol w:w="736"/>
        <w:gridCol w:w="109"/>
        <w:gridCol w:w="109"/>
        <w:gridCol w:w="109"/>
        <w:gridCol w:w="10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left w:val="single" w:sz="8" w:space="0" w:color="000000"/>
            </w:tcBorders>
            <w:shd w:fill="CCEE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(Loss)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Matador Resources Company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on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non-recurring expense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Adjusted 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525,889 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Matador Resources Company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34"/>
        <w:gridCol w:w="1830"/>
        <w:gridCol w:w="1829"/>
        <w:gridCol w:w="196"/>
        <w:gridCol w:w="736"/>
        <w:gridCol w:w="109"/>
        <w:gridCol w:w="109"/>
        <w:gridCol w:w="109"/>
        <w:gridCol w:w="109"/>
        <w:gridCol w:w="204"/>
        <w:gridCol w:w="767"/>
        <w:gridCol w:w="113"/>
        <w:gridCol w:w="109"/>
        <w:gridCol w:w="109"/>
        <w:gridCol w:w="109"/>
        <w:gridCol w:w="196"/>
        <w:gridCol w:w="736"/>
        <w:gridCol w:w="109"/>
        <w:gridCol w:w="109"/>
        <w:gridCol w:w="109"/>
        <w:gridCol w:w="109"/>
        <w:gridCol w:w="109"/>
        <w:gridCol w:w="156"/>
      </w:tblGrid>
      <w:tr>
        <w:trPr/>
        <w:tc>
          <w:tcPr>
            <w:tcW w:w="213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Cash Provided by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non-cash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and non-recurring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non-controlling interest in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Matador Resources Company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i/>
          <w:color w:val="000000"/>
          <w:sz w:val="22"/>
        </w:rPr>
      </w:pPr>
      <w:r>
        <w:rPr>
          <w:rFonts w:ascii="Times New Roman;serif" w:hAnsi="Times New Roman;serif"/>
          <w:b w:val="false"/>
          <w:i/>
          <w:color w:val="000000"/>
          <w:sz w:val="22"/>
        </w:rPr>
        <w:t>Adjusted EBITDA – San Mateo (100%)</w:t>
      </w:r>
    </w:p>
    <w:tbl>
      <w:tblPr>
        <w:tblW w:w="8665" w:type="dxa"/>
        <w:jc w:val="left"/>
        <w:tblInd w:w="0" w:type="dxa"/>
        <w:tblLayout w:type="fixed"/>
        <w:tblCellMar>
          <w:top w:w="28" w:type="dxa"/>
          <w:left w:w="28" w:type="dxa"/>
          <w:bottom w:w="28" w:type="dxa"/>
          <w:right w:w="28" w:type="dxa"/>
        </w:tblCellMar>
      </w:tblPr>
      <w:tblGrid>
        <w:gridCol w:w="1603"/>
        <w:gridCol w:w="1409"/>
        <w:gridCol w:w="1413"/>
        <w:gridCol w:w="196"/>
        <w:gridCol w:w="646"/>
        <w:gridCol w:w="109"/>
        <w:gridCol w:w="109"/>
        <w:gridCol w:w="109"/>
        <w:gridCol w:w="109"/>
        <w:gridCol w:w="225"/>
        <w:gridCol w:w="744"/>
        <w:gridCol w:w="125"/>
        <w:gridCol w:w="109"/>
        <w:gridCol w:w="109"/>
        <w:gridCol w:w="109"/>
        <w:gridCol w:w="196"/>
        <w:gridCol w:w="646"/>
        <w:gridCol w:w="109"/>
        <w:gridCol w:w="109"/>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Non-recurring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85"/>
        <w:gridCol w:w="1898"/>
        <w:gridCol w:w="1899"/>
        <w:gridCol w:w="196"/>
        <w:gridCol w:w="646"/>
        <w:gridCol w:w="109"/>
        <w:gridCol w:w="109"/>
        <w:gridCol w:w="109"/>
        <w:gridCol w:w="109"/>
        <w:gridCol w:w="221"/>
        <w:gridCol w:w="731"/>
        <w:gridCol w:w="122"/>
        <w:gridCol w:w="109"/>
        <w:gridCol w:w="109"/>
        <w:gridCol w:w="109"/>
        <w:gridCol w:w="196"/>
        <w:gridCol w:w="646"/>
        <w:gridCol w:w="109"/>
        <w:gridCol w:w="109"/>
        <w:gridCol w:w="109"/>
        <w:gridCol w:w="109"/>
        <w:gridCol w:w="109"/>
        <w:gridCol w:w="157"/>
      </w:tblGrid>
      <w:tr>
        <w:trPr/>
        <w:tc>
          <w:tcPr>
            <w:tcW w:w="218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Cash Provided by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non-cash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CCEEFF" w:val="clear"/>
            <w:tcMar>
              <w:top w:w="0" w:type="dxa"/>
              <w:left w:w="3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and non-recurring expense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74,125 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98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i/>
          <w:color w:val="000000"/>
          <w:sz w:val="22"/>
        </w:rPr>
      </w:pPr>
      <w:r>
        <w:rPr>
          <w:rFonts w:ascii="Times New Roman;serif" w:hAnsi="Times New Roman;serif"/>
          <w:b w:val="false"/>
          <w:i/>
          <w:color w:val="000000"/>
          <w:sz w:val="22"/>
        </w:rPr>
        <w:t>Adjusted EBITDA – Combined Midstream (100%)</w:t>
      </w:r>
    </w:p>
    <w:tbl>
      <w:tblPr>
        <w:tblW w:w="9469"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59"/>
        <w:gridCol w:w="856"/>
        <w:gridCol w:w="144"/>
        <w:gridCol w:w="109"/>
        <w:gridCol w:w="109"/>
        <w:gridCol w:w="109"/>
        <w:gridCol w:w="309"/>
        <w:gridCol w:w="1019"/>
        <w:gridCol w:w="172"/>
        <w:gridCol w:w="109"/>
        <w:gridCol w:w="109"/>
        <w:gridCol w:w="109"/>
        <w:gridCol w:w="257"/>
        <w:gridCol w:w="847"/>
        <w:gridCol w:w="201"/>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4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Matador Midstream</w:t>
            </w:r>
            <w:r>
              <w:rPr>
                <w:rFonts w:ascii="Times New Roman;serif" w:hAnsi="Times New Roman;serif"/>
                <w:b/>
                <w:color w:val="000000"/>
                <w:sz w:val="10"/>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Adjusted EBITDA Reconciliation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3,520 </w:t>
            </w:r>
          </w:p>
        </w:tc>
        <w:tc>
          <w:tcPr>
            <w:tcW w:w="20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20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0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 attributable to Matador Midstream</w:t>
            </w:r>
            <w:r>
              <w:rPr>
                <w:rFonts w:ascii="Times New Roman;serif" w:hAnsi="Times New Roman;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20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attributable to San Mateo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60,373 </w:t>
            </w:r>
          </w:p>
        </w:tc>
        <w:tc>
          <w:tcPr>
            <w:tcW w:w="20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 Combined Midstream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65,017 </w:t>
            </w:r>
          </w:p>
        </w:tc>
        <w:tc>
          <w:tcPr>
            <w:tcW w:w="20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bottom w:val="single" w:sz="8" w:space="0" w:color="000000"/>
              <w:right w:val="single" w:sz="8"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activity associated with Matador’s wholly-owned midstream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Net Income and Adjusted Earnings Per Diluted Common Share</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non-GAAP financial measures of adjusted net income and adjusted earnings per diluted common share. These non-GAAP items are measured as net (loss) income attributable to Matador Resources Company shareholders, adjusted for dollar and per share impact of certain items, including unrealized gains or losses on derivatives, the impact of full-cost ceiling impairment charges, if any, and non-recurring transaction costs for certain acquisitions or other non-recurring income or expense items, along with the related tax effect for all periods. This non-GAAP financial information is provided as additional information for investors and is not in accordance with, or an alternative to, GAAP financial measures. Additionally, these non-GAAP financial measures may be different than similar measures used by other companies. The Company believes the presentation of adjusted net income and adjusted earnings per diluted common share provides useful information to investors, as it provides them an additional relevant comparison of the Company’s performance across periods and to the performance of the Company’s peers. In addition, these non-GAAP financial measures reflect adjustments for items of income and expense that are often excluded by securities analysts and other users of the Company’s financial statements in evaluating the Company’s performance. The table below reconciles adjusted net income and adjusted earnings per diluted common share to their most directly comparable GAAP measure of net (loss) income attributable to Matador Resources Company shareholders.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7"/>
        <w:gridCol w:w="1719"/>
        <w:gridCol w:w="1731"/>
        <w:gridCol w:w="196"/>
        <w:gridCol w:w="736"/>
        <w:gridCol w:w="109"/>
        <w:gridCol w:w="109"/>
        <w:gridCol w:w="109"/>
        <w:gridCol w:w="109"/>
        <w:gridCol w:w="204"/>
        <w:gridCol w:w="766"/>
        <w:gridCol w:w="113"/>
        <w:gridCol w:w="109"/>
        <w:gridCol w:w="109"/>
        <w:gridCol w:w="109"/>
        <w:gridCol w:w="196"/>
        <w:gridCol w:w="736"/>
        <w:gridCol w:w="109"/>
        <w:gridCol w:w="109"/>
        <w:gridCol w:w="109"/>
        <w:gridCol w:w="109"/>
        <w:gridCol w:w="109"/>
        <w:gridCol w:w="109"/>
        <w:gridCol w:w="109"/>
        <w:gridCol w:w="109"/>
        <w:gridCol w:w="156"/>
      </w:tblGrid>
      <w:tr>
        <w:trPr/>
        <w:tc>
          <w:tcPr>
            <w:tcW w:w="201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67" w:type="dxa"/>
            <w:gridSpan w:val="3"/>
            <w:tcBorders>
              <w:left w:val="single" w:sz="8" w:space="0" w:color="000000"/>
            </w:tcBorders>
            <w:shd w:fill="CCEEFF" w:val="clear"/>
            <w:tcMar>
              <w:top w:w="0" w:type="dxa"/>
              <w:left w:w="20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Unaudited Adjusted Net Income and Adjusted Earnings Per Share Reconciliation to </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Net (Loss)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Matador Resources Company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tax (benefit)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attributable to Matador Resources Company shareholders before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non-recurring and unrealized charges to income before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Unrealized loss (gain) on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on asset sales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non-recurring expense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attributable to Matador Resources Company shareholders before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Income tax expense</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attributable to Matador Resources Company shareholders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 without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options and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Adjusted earnings per share attributable to Matador Resources Company </w:t>
              <w:br/>
              <w:t>shareholders (non-GAAP)</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5"/>
            <w:tcBorders/>
          </w:tcPr>
          <w:p>
            <w:pPr>
              <w:pStyle w:val="TableContents"/>
              <w:bidi w:val="0"/>
              <w:spacing w:before="0" w:after="283"/>
              <w:jc w:val="left"/>
              <w:rPr>
                <w:sz w:val="4"/>
                <w:szCs w:val="4"/>
              </w:rPr>
            </w:pPr>
            <w:r>
              <w:rPr>
                <w:sz w:val="4"/>
                <w:szCs w:val="4"/>
              </w:rPr>
            </w:r>
          </w:p>
        </w:tc>
      </w:tr>
      <w:tr>
        <w:trPr/>
        <w:tc>
          <w:tcPr>
            <w:tcW w:w="9286"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Estimated using federal statutory tax rate in effect for the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Adjusted Free Cash Flow</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the non-GAAP financial measure of adjusted free cash flow. This non-GAAP item is measured, on a consolidated basis for the Company and for San Mateo, as net cash provided by operating activities, adjusted for changes in working capital and cash performance incentives that are not included as operating cash flows, less cash flows used for capital expenditures, adjusted for changes in capital accruals. On a consolidated basis, these numbers are also adjusted for the cash flows related to non-controlling interest in subsidiaries that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represent cash flows not attributable to Matador shareholders. Adjusted free cash flow should not be considered an alternative to, or more meaningful than, net cash provided by operating activities as determined in accordance with GAAP or an indicator of the Company’s liquidity. Adjusted free cash flow is used by the Company, securities analysts and investors as an indicator of the Company’s ability to manage its operating cash flow, internally fund its D/C/E capital expenditures, pay dividends and service or incur additional debt, without regard to the timing of settlement of either operating assets and liabilities or accounts payable related to capital expenditures. Additionally, this non-GAAP financial measure may be different than similar measures used by other companies. The Company believes the presentation of adjusted free cash flow provides useful information to investors, as it provides them an additional relevant comparison of the Company’s performance, sources and uses of capital associated with its operations across periods and to the performance of the Company’s peers. In addition, this non-GAAP financial measure reflects adjustments for items of cash flows that are often excluded by securities analysts and other users of the Company’s financial statements in evaluating the Company’s cash spend.</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reconciles adjusted free cash flow to its most directly comparable GAAP measure of net cash provided by operating activities. All references to Matador’s adjusted free cash flow are those values attributable to Matador shareholders after giving effect to adjusted free cash flow attributable to third-party non-controlling interests, including in San Mateo.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Free Cash Flow - Matador Resources Company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8"/>
        <w:gridCol w:w="1389"/>
        <w:gridCol w:w="1392"/>
        <w:gridCol w:w="196"/>
        <w:gridCol w:w="736"/>
        <w:gridCol w:w="109"/>
        <w:gridCol w:w="109"/>
        <w:gridCol w:w="109"/>
        <w:gridCol w:w="109"/>
        <w:gridCol w:w="201"/>
        <w:gridCol w:w="758"/>
        <w:gridCol w:w="111"/>
        <w:gridCol w:w="109"/>
        <w:gridCol w:w="109"/>
        <w:gridCol w:w="109"/>
        <w:gridCol w:w="196"/>
        <w:gridCol w:w="736"/>
        <w:gridCol w:w="109"/>
        <w:gridCol w:w="109"/>
        <w:gridCol w:w="109"/>
        <w:gridCol w:w="109"/>
        <w:gridCol w:w="196"/>
        <w:gridCol w:w="871"/>
        <w:gridCol w:w="109"/>
        <w:gridCol w:w="109"/>
        <w:gridCol w:w="109"/>
        <w:gridCol w:w="159"/>
      </w:tblGrid>
      <w:tr>
        <w:trPr/>
        <w:tc>
          <w:tcPr>
            <w:tcW w:w="173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discretionary cash flow attributable to non-controlling interest in subsidiaries</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incentives received from Five Point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discretionary cash flow</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448,929 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capital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San Mateo accrual-based capital expenditures related to non-controlling interest in subsidiaries</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accrual-based capital expenditures</w:t>
            </w:r>
            <w:r>
              <w:rPr>
                <w:rFonts w:ascii="Times New Roman;serif" w:hAnsi="Times New Roman;serif"/>
                <w:b w:val="false"/>
                <w:color w:val="000000"/>
                <w:sz w:val="10"/>
              </w:rPr>
              <w:t>(3)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distributions from San Mateo to Matador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Five Point’s 49% interest in San Mateo discretionary cash flow, as computed below.</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Five Point’s 49% interest in accrual-based San Mateo capital expenditures, as computed below.</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(3)Represents drilling, completion and equipping costs, Matador’s share of San Mateo capital expenditures plus 100% of other midstream capital expenditures not associated with San Mateo.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Free Cash Flow - San Mateo (100%)</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9387" w:type="dxa"/>
        <w:jc w:val="left"/>
        <w:tblInd w:w="0" w:type="dxa"/>
        <w:tblLayout w:type="fixed"/>
        <w:tblCellMar>
          <w:top w:w="28" w:type="dxa"/>
          <w:left w:w="28" w:type="dxa"/>
          <w:bottom w:w="28" w:type="dxa"/>
          <w:right w:w="28" w:type="dxa"/>
        </w:tblCellMar>
      </w:tblPr>
      <w:tblGrid>
        <w:gridCol w:w="1429"/>
        <w:gridCol w:w="1256"/>
        <w:gridCol w:w="1259"/>
        <w:gridCol w:w="196"/>
        <w:gridCol w:w="646"/>
        <w:gridCol w:w="109"/>
        <w:gridCol w:w="109"/>
        <w:gridCol w:w="109"/>
        <w:gridCol w:w="109"/>
        <w:gridCol w:w="225"/>
        <w:gridCol w:w="744"/>
        <w:gridCol w:w="125"/>
        <w:gridCol w:w="109"/>
        <w:gridCol w:w="109"/>
        <w:gridCol w:w="109"/>
        <w:gridCol w:w="196"/>
        <w:gridCol w:w="646"/>
        <w:gridCol w:w="109"/>
        <w:gridCol w:w="109"/>
        <w:gridCol w:w="109"/>
        <w:gridCol w:w="109"/>
        <w:gridCol w:w="206"/>
        <w:gridCol w:w="774"/>
        <w:gridCol w:w="114"/>
        <w:gridCol w:w="109"/>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San Mateo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San Mateo operating assets and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San Mateo discretionary cash flow</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San Mateo capital accruals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accrual-based capital expenditures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Mateo adjusted free cash flow</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9229</Words>
  <Characters>53800</Characters>
  <CharactersWithSpaces>62240</CharactersWithSpaces>
  <Paragraphs>1469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