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pPr>
      <w:r>
        <w:rPr>
          <w:color w:val="000000"/>
        </w:rPr>
        <w:t>  </w:t>
      </w:r>
      <w:r>
        <w:rPr>
          <w:rFonts w:ascii="Times New Roman;serif" w:hAnsi="Times New Roman;serif"/>
          <w:b/>
          <w:color w:val="000000"/>
          <w:sz w:val="16"/>
        </w:rPr>
        <w:t>_________________________________</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July 22, 2026 </w:t>
      </w:r>
    </w:p>
    <w:p>
      <w:pPr>
        <w:pStyle w:val="TextBody"/>
        <w:bidi w:val="0"/>
        <w:spacing w:lineRule="auto" w:line="288" w:before="0" w:after="0"/>
        <w:jc w:val="center"/>
        <w:rPr/>
      </w:pPr>
      <w:r>
        <w:rPr>
          <w:color w:val="000000"/>
        </w:rPr>
        <w:t> </w:t>
      </w:r>
      <w:r>
        <w:rPr>
          <w:rFonts w:ascii="Times New Roman;serif" w:hAnsi="Times New Roman;serif"/>
          <w:b/>
          <w:color w:val="000000"/>
          <w:sz w:val="24"/>
        </w:rPr>
        <w:t>_________________________________</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 xml:space="preserve">Matador Resources Company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pPr>
      <w:r>
        <w:rPr>
          <w:color w:val="000000"/>
        </w:rPr>
        <w:t>   </w:t>
      </w:r>
      <w:r>
        <w:rPr>
          <w:rFonts w:ascii="Times New Roman;serif" w:hAnsi="Times New Roman;serif"/>
          <w:b/>
          <w:color w:val="000000"/>
          <w:sz w:val="24"/>
        </w:rPr>
        <w:t>_________________________________</w:t>
      </w:r>
    </w:p>
    <w:tbl>
      <w:tblPr>
        <w:tblW w:w="5271" w:type="dxa"/>
        <w:jc w:val="center"/>
        <w:tblInd w:w="0" w:type="dxa"/>
        <w:tblLayout w:type="fixed"/>
        <w:tblCellMar>
          <w:top w:w="28" w:type="dxa"/>
          <w:left w:w="28" w:type="dxa"/>
          <w:bottom w:w="28" w:type="dxa"/>
          <w:right w:w="28" w:type="dxa"/>
        </w:tblCellMar>
      </w:tblPr>
      <w:tblGrid>
        <w:gridCol w:w="746"/>
        <w:gridCol w:w="658"/>
        <w:gridCol w:w="665"/>
        <w:gridCol w:w="109"/>
        <w:gridCol w:w="109"/>
        <w:gridCol w:w="109"/>
        <w:gridCol w:w="353"/>
        <w:gridCol w:w="353"/>
        <w:gridCol w:w="358"/>
        <w:gridCol w:w="109"/>
        <w:gridCol w:w="109"/>
        <w:gridCol w:w="109"/>
        <w:gridCol w:w="433"/>
        <w:gridCol w:w="433"/>
        <w:gridCol w:w="618"/>
      </w:tblGrid>
      <w:tr>
        <w:trPr/>
        <w:tc>
          <w:tcPr>
            <w:tcW w:w="7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001-35410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27-4662601</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3853" w:type="dxa"/>
        <w:jc w:val="center"/>
        <w:tblInd w:w="0" w:type="dxa"/>
        <w:tblLayout w:type="fixed"/>
        <w:tblCellMar>
          <w:top w:w="28" w:type="dxa"/>
          <w:left w:w="28" w:type="dxa"/>
          <w:bottom w:w="28" w:type="dxa"/>
          <w:right w:w="28" w:type="dxa"/>
        </w:tblCellMar>
      </w:tblPr>
      <w:tblGrid>
        <w:gridCol w:w="688"/>
        <w:gridCol w:w="603"/>
        <w:gridCol w:w="608"/>
        <w:gridCol w:w="341"/>
        <w:gridCol w:w="341"/>
        <w:gridCol w:w="343"/>
        <w:gridCol w:w="272"/>
        <w:gridCol w:w="272"/>
        <w:gridCol w:w="385"/>
      </w:tblGrid>
      <w:tr>
        <w:trPr/>
        <w:tc>
          <w:tcPr>
            <w:tcW w:w="68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5400 LBJ Freeway, </w:t>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Suite 1500</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75240</w:t>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Dallas, </w:t>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(972) 371-5200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86" w:type="dxa"/>
        <w:jc w:val="center"/>
        <w:tblInd w:w="0" w:type="dxa"/>
        <w:tblLayout w:type="fixed"/>
        <w:tblCellMar>
          <w:top w:w="28" w:type="dxa"/>
          <w:left w:w="28" w:type="dxa"/>
          <w:bottom w:w="28" w:type="dxa"/>
          <w:right w:w="28" w:type="dxa"/>
        </w:tblCellMar>
      </w:tblPr>
      <w:tblGrid>
        <w:gridCol w:w="1263"/>
        <w:gridCol w:w="1108"/>
        <w:gridCol w:w="1123"/>
        <w:gridCol w:w="109"/>
        <w:gridCol w:w="109"/>
        <w:gridCol w:w="109"/>
        <w:gridCol w:w="474"/>
        <w:gridCol w:w="474"/>
        <w:gridCol w:w="476"/>
        <w:gridCol w:w="109"/>
        <w:gridCol w:w="109"/>
        <w:gridCol w:w="109"/>
        <w:gridCol w:w="970"/>
        <w:gridCol w:w="970"/>
        <w:gridCol w:w="1374"/>
      </w:tblGrid>
      <w:tr>
        <w:trPr/>
        <w:tc>
          <w:tcPr>
            <w:tcW w:w="126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MTDR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270" w:type="dxa"/>
        <w:jc w:val="left"/>
        <w:tblInd w:w="0" w:type="dxa"/>
        <w:tblLayout w:type="fixed"/>
        <w:tblCellMar>
          <w:top w:w="28" w:type="dxa"/>
          <w:left w:w="28" w:type="dxa"/>
          <w:bottom w:w="28" w:type="dxa"/>
          <w:right w:w="28" w:type="dxa"/>
        </w:tblCellMar>
      </w:tblPr>
      <w:tblGrid>
        <w:gridCol w:w="332"/>
        <w:gridCol w:w="291"/>
        <w:gridCol w:w="293"/>
        <w:gridCol w:w="688"/>
        <w:gridCol w:w="688"/>
        <w:gridCol w:w="9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Attached hereto as Exhibit 99.1 is a press release issued by Matador Resources Company (the “Company”) on July 22, 2026, announcing the declaration of a quarterly cash dividend on its common stock.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dividend is being paid pursuant to the dividend policy (the “Policy”) adopted by the Company’s Board of Directors (the “Board”) in October 2025. The payment of future dividends will be made at the discretion of the Board and will depend on the Company’s results of operations, cash flows, financial position and capital requirements, as well as general business conditions, legal, tax and regulatory restrictions and other factors the Board deems relevant at the time it determines to declare such dividends.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Item 7.01, including Exhibit 99.1, shall not be deemed to be “filed” for the purposes of Section 18 of the Securities Exchange Act of 1934, as amended, and will not be incorporated by reference into any filing under the Securities Act of 1933, as amended, unless specifically identified therein as being incorporated therein by reference.</w:t>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tbl>
      <w:tblPr>
        <w:tblW w:w="8517" w:type="dxa"/>
        <w:jc w:val="center"/>
        <w:tblInd w:w="0" w:type="dxa"/>
        <w:tblLayout w:type="fixed"/>
        <w:tblCellMar>
          <w:top w:w="28" w:type="dxa"/>
          <w:left w:w="28" w:type="dxa"/>
          <w:bottom w:w="28" w:type="dxa"/>
          <w:right w:w="28" w:type="dxa"/>
        </w:tblCellMar>
      </w:tblPr>
      <w:tblGrid>
        <w:gridCol w:w="391"/>
        <w:gridCol w:w="344"/>
        <w:gridCol w:w="345"/>
        <w:gridCol w:w="109"/>
        <w:gridCol w:w="109"/>
        <w:gridCol w:w="109"/>
        <w:gridCol w:w="2078"/>
        <w:gridCol w:w="2078"/>
        <w:gridCol w:w="295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7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3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20260722mtdrxex991dividend.htm">
              <w:r>
                <w:rPr>
                  <w:rStyle w:val="InternetLink"/>
                  <w:rFonts w:ascii="Times New Roman;serif" w:hAnsi="Times New Roman;serif"/>
                  <w:b w:val="false"/>
                  <w:color w:val="0000FF"/>
                  <w:sz w:val="20"/>
                  <w:u w:val="single"/>
                </w:rPr>
                <w:t>Press Release, dated July 22, 2026.</w:t>
              </w:r>
            </w:hyperlink>
          </w:p>
        </w:tc>
      </w:tr>
      <w:tr>
        <w:trPr/>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(included as Exhibit 101).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529"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09"/>
        <w:gridCol w:w="109"/>
        <w:gridCol w:w="109"/>
        <w:gridCol w:w="109"/>
        <w:gridCol w:w="109"/>
        <w:gridCol w:w="109"/>
        <w:gridCol w:w="360"/>
        <w:gridCol w:w="360"/>
        <w:gridCol w:w="360"/>
        <w:gridCol w:w="360"/>
        <w:gridCol w:w="360"/>
        <w:gridCol w:w="360"/>
        <w:gridCol w:w="488"/>
        <w:gridCol w:w="488"/>
        <w:gridCol w:w="703"/>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MATADOR RESOURCES COMPANY</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Bryan A. Erman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Bryan A. Erman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Co-President</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MATADOR RESOURCES COMPANY DECLARES QUARTERLY CASH DIVIDEND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DALLAS, Texas, July 22, 2026 -- Matador Resources Company (NYSE: MTDR) (“Matador”) today announced that its Board of Directors declared a quarterly cash dividend of $0.375 per share of common stock payable on September 8, 2026 to shareholders of record as of August 10, 2026. </w:t>
      </w:r>
    </w:p>
    <w:p>
      <w:pPr>
        <w:pStyle w:val="TextBody"/>
        <w:bidi w:val="0"/>
        <w:spacing w:before="0" w:after="0"/>
        <w:jc w:val="left"/>
        <w:rPr/>
      </w:pPr>
      <w:r>
        <w:rPr/>
      </w:r>
    </w:p>
    <w:p>
      <w:pPr>
        <w:pStyle w:val="TextBody"/>
        <w:bidi w:val="0"/>
        <w:spacing w:lineRule="auto" w:line="264" w:before="0" w:after="0"/>
        <w:jc w:val="left"/>
        <w:rPr>
          <w:rFonts w:ascii="Times New Roman;serif" w:hAnsi="Times New Roman;serif"/>
          <w:b/>
          <w:color w:val="000000"/>
          <w:sz w:val="22"/>
        </w:rPr>
      </w:pPr>
      <w:r>
        <w:rPr>
          <w:rFonts w:ascii="Times New Roman;serif" w:hAnsi="Times New Roman;serif"/>
          <w:b/>
          <w:color w:val="000000"/>
          <w:sz w:val="22"/>
        </w:rPr>
        <w:t>About Matador Resources Company</w:t>
      </w:r>
    </w:p>
    <w:p>
      <w:pPr>
        <w:pStyle w:val="TextBody"/>
        <w:bidi w:val="0"/>
        <w:spacing w:before="0" w:after="0"/>
        <w:jc w:val="left"/>
        <w:rPr/>
      </w:pPr>
      <w:r>
        <w:rPr/>
      </w:r>
    </w:p>
    <w:p>
      <w:pPr>
        <w:pStyle w:val="TextBody"/>
        <w:bidi w:val="0"/>
        <w:spacing w:lineRule="auto" w:line="304" w:before="0" w:after="0"/>
        <w:jc w:val="left"/>
        <w:rPr>
          <w:rFonts w:ascii="Times New Roman;serif" w:hAnsi="Times New Roman;serif"/>
          <w:b w:val="false"/>
          <w:color w:val="000000"/>
          <w:sz w:val="22"/>
        </w:rPr>
      </w:pPr>
      <w:r>
        <w:rPr>
          <w:rFonts w:ascii="Times New Roman;serif" w:hAnsi="Times New Roman;serif"/>
          <w:b w:val="false"/>
          <w:color w:val="000000"/>
          <w:sz w:val="22"/>
        </w:rPr>
        <w:t>Matador is an independent energy company engaged in the exploration, development, production and acquisition of oil and natural gas resources in the United States, with an emphasis on oil and natural gas shale and other unconventional plays. Its current operations are focused primarily on the oil and liquids-rich portion of the Wolfcamp and Bone Spring plays in the Delaware Basin in Southeast New Mexico and West Texas. Matador also operates in the Haynesville shale and Cotton Valley plays in Northwest Louisiana. Additionally, Matador conducts midstream operations in support of its exploration, development and production operations and provides natural gas processing, oil transportation services, natural gas, oil and produced water gathering services and produced water disposal services to third parties.</w:t>
      </w:r>
    </w:p>
    <w:p>
      <w:pPr>
        <w:pStyle w:val="TextBody"/>
        <w:bidi w:val="0"/>
        <w:spacing w:before="0" w:after="0"/>
        <w:jc w:val="left"/>
        <w:rPr/>
      </w:pPr>
      <w:r>
        <w:rPr/>
      </w:r>
    </w:p>
    <w:p>
      <w:pPr>
        <w:pStyle w:val="TextBody"/>
        <w:bidi w:val="0"/>
        <w:spacing w:lineRule="auto" w:line="304" w:before="0" w:after="0"/>
        <w:jc w:val="left"/>
        <w:rPr>
          <w:rFonts w:ascii="Times New Roman;serif" w:hAnsi="Times New Roman;serif"/>
          <w:b w:val="false"/>
          <w:color w:val="000000"/>
          <w:sz w:val="22"/>
        </w:rPr>
      </w:pPr>
      <w:r>
        <w:rPr>
          <w:rFonts w:ascii="Times New Roman;serif" w:hAnsi="Times New Roman;serif"/>
          <w:b w:val="false"/>
          <w:color w:val="000000"/>
          <w:sz w:val="22"/>
        </w:rPr>
        <w:t>For more information, visit Matador Resources Company at www.matadorresources.com.</w:t>
      </w:r>
    </w:p>
    <w:p>
      <w:pPr>
        <w:pStyle w:val="TextBody"/>
        <w:bidi w:val="0"/>
        <w:spacing w:before="0" w:after="0"/>
        <w:jc w:val="left"/>
        <w:rPr/>
      </w:pPr>
      <w:r>
        <w:rPr/>
      </w:r>
    </w:p>
    <w:p>
      <w:pPr>
        <w:pStyle w:val="TextBody"/>
        <w:bidi w:val="0"/>
        <w:spacing w:lineRule="auto" w:line="264" w:before="0" w:after="0"/>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before="0" w:after="0"/>
        <w:jc w:val="left"/>
        <w:rPr/>
      </w:pPr>
      <w:r>
        <w:rPr/>
      </w:r>
    </w:p>
    <w:p>
      <w:pPr>
        <w:pStyle w:val="TextBody"/>
        <w:bidi w:val="0"/>
        <w:spacing w:lineRule="auto" w:line="256"/>
        <w:jc w:val="left"/>
        <w:rPr>
          <w:rFonts w:ascii="Times New Roman;serif" w:hAnsi="Times New Roman;serif"/>
          <w:b w:val="false"/>
          <w:color w:val="000000"/>
          <w:sz w:val="22"/>
        </w:rPr>
      </w:pPr>
      <w:r>
        <w:rPr>
          <w:rFonts w:ascii="Times New Roman;serif" w:hAnsi="Times New Roman;serif"/>
          <w:b w:val="false"/>
          <w:color w:val="000000"/>
          <w:sz w:val="22"/>
        </w:rPr>
        <w:t xml:space="preserve">This press release includes “forward-looking statements” within the meaning of Section 27A of the Securities Act of 1933, as amended, and Section 21E of the Securities Exchange Act of 1934, as amended. “Forward-looking statements” are statements related to future, not past, events. Forward-looking statements are based on current expectations and include any statement that does not directly relate to a current or historical fact. In this context, forward-looking statements often address expected future business and financial performance, and often contain words such as “could,” “believe,” “would,” “anticipate,” “intend,” “estimate,” “expect,” “may,” “should,” “continue,” “plan,” “predict,” “potential,” “project,” “hypothetical,” “forecasted” and similar expressions that are intended to identify forward-looking statements, although not all forward-looking statements contain such identifying words. Such forward-looking statements include, but are not limited to, statements about guidance, projected or forecasted financial and operating results, future liquidity, the payment of dividends, share repurchases, results in certain basins, objectives, project timing, expectations and intentions, regulatory and governmental actions and other statements that are not historical facts. Actual results and future events could differ materially from those anticipated in such statements, and such forward-looking statements may not prove to be accurate. These forward-looking statements involve certain risks and uncertainties, including, but not limited to, disruption from Matador’s acquisitions or dispositions making it more difficult to maintain business and operational relationships; significant transaction costs associated with Matador’s acquisitions or dispositions; the risk of litigation and/or regulatory actions related to Matador’s acquisitions or dispositions, as well as the following risks related to financial and operational performance: general economic conditions; Matador’s ability to execute its business plan, including whether its drilling program is successful; changes in oil, natural gas and natural gas liquids prices and the demand for oil, natural gas and natural gas liquids; its ability to replace reserves and efficiently develop current reserves; the operating results of Matador’s midstream oil, natural gas and water gathering and transportation systems, pipelines and facilities, the acquiring of third-party business and the drilling of any additional salt water disposal wells; costs of operations; delays and other difficulties related to producing oil, natural gas and natural gas liquids; delays and other difficulties related to regulatory and governmental approvals and restrictions; impact on Matador’s operations due to seismic events; its ability to make acquisitions on economically acceptable terms; its ability to integrate acquisitions; availability of sufficient capital to execute its business plan, including from future cash flows, capital markets, available borrowing capacity under its revolving credit facilities and otherwise; the operating results of and the availability of any potential distributions from our joint ventures; weather and environmental conditions; and the other factors that could cause actual results to differ materially from those anticipated or implied in the forward-looking statements. For further discussions of risks and uncertainties, you should refer to Matador’s filings with the Securities and Exchange Commission (“SEC”), including the “Risk Factors” section of Matador’s most recent Annual Report on Form 10-K and any subsequent Quarterly Reports on Form 10-Q. Matador undertakes no obligation to update these forward-looking statements to reflect events or circumstances occurring after the date of this press release, except as required by law, including the securities laws of the United States and the rules and </w:t>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56" w:before="0" w:after="0"/>
        <w:jc w:val="left"/>
        <w:rPr>
          <w:rFonts w:ascii="Times New Roman;serif" w:hAnsi="Times New Roman;serif"/>
          <w:b w:val="false"/>
          <w:color w:val="000000"/>
          <w:sz w:val="22"/>
        </w:rPr>
      </w:pPr>
      <w:r>
        <w:rPr>
          <w:rFonts w:ascii="Times New Roman;serif" w:hAnsi="Times New Roman;serif"/>
          <w:b w:val="false"/>
          <w:color w:val="000000"/>
          <w:sz w:val="22"/>
        </w:rPr>
        <w:t>regulations of the SEC. You are cautioned not to place undue reliance on these forward-looking statements, which speak only as of the date of this press release. All forward-looking statements are qualified in their entirety by this cautionary statement.</w:t>
      </w:r>
    </w:p>
    <w:p>
      <w:pPr>
        <w:pStyle w:val="TextBody"/>
        <w:bidi w:val="0"/>
        <w:spacing w:before="0" w:after="0"/>
        <w:jc w:val="left"/>
        <w:rPr/>
      </w:pPr>
      <w:r>
        <w:rPr/>
      </w:r>
    </w:p>
    <w:p>
      <w:pPr>
        <w:pStyle w:val="TextBody"/>
        <w:bidi w:val="0"/>
        <w:spacing w:lineRule="auto" w:line="264" w:before="0" w:after="0"/>
        <w:jc w:val="left"/>
        <w:rPr/>
      </w:pPr>
      <w:r>
        <w:rPr>
          <w:rFonts w:ascii="Times New Roman;serif" w:hAnsi="Times New Roman;serif"/>
          <w:b/>
          <w:color w:val="000000"/>
          <w:sz w:val="22"/>
        </w:rPr>
        <w:t>Contact Information</w:t>
      </w:r>
      <w:r>
        <w:rPr>
          <w:color w:val="000000"/>
        </w:rPr>
        <w:t xml:space="preserve"> </w:t>
      </w:r>
    </w:p>
    <w:p>
      <w:pPr>
        <w:pStyle w:val="TextBody"/>
        <w:bidi w:val="0"/>
        <w:spacing w:before="0" w:after="0"/>
        <w:jc w:val="left"/>
        <w:rPr/>
      </w:pPr>
      <w:r>
        <w:rPr/>
      </w:r>
    </w:p>
    <w:p>
      <w:pPr>
        <w:pStyle w:val="TextBody"/>
        <w:bidi w:val="0"/>
        <w:spacing w:lineRule="auto" w:line="304" w:before="0" w:after="0"/>
        <w:jc w:val="left"/>
        <w:rPr>
          <w:rFonts w:ascii="Times New Roman;serif" w:hAnsi="Times New Roman;serif"/>
          <w:b w:val="false"/>
          <w:color w:val="000000"/>
          <w:sz w:val="22"/>
        </w:rPr>
      </w:pPr>
      <w:r>
        <w:rPr>
          <w:rFonts w:ascii="Times New Roman;serif" w:hAnsi="Times New Roman;serif"/>
          <w:b w:val="false"/>
          <w:color w:val="000000"/>
          <w:sz w:val="22"/>
        </w:rPr>
        <w:t>Mac Schmitz</w:t>
      </w:r>
    </w:p>
    <w:p>
      <w:pPr>
        <w:pStyle w:val="TextBody"/>
        <w:bidi w:val="0"/>
        <w:spacing w:lineRule="auto" w:line="304" w:before="0" w:after="0"/>
        <w:jc w:val="left"/>
        <w:rPr/>
      </w:pPr>
      <w:r>
        <w:rPr>
          <w:rFonts w:ascii="Times New Roman;serif" w:hAnsi="Times New Roman;serif"/>
          <w:b w:val="false"/>
          <w:color w:val="000000"/>
          <w:sz w:val="22"/>
        </w:rPr>
        <w:t>Senior Vice President – Investor Relations</w:t>
      </w:r>
      <w:r>
        <w:rPr>
          <w:color w:val="000000"/>
        </w:rPr>
        <w:t xml:space="preserve"> </w:t>
      </w:r>
    </w:p>
    <w:p>
      <w:pPr>
        <w:pStyle w:val="TextBody"/>
        <w:bidi w:val="0"/>
        <w:spacing w:lineRule="auto" w:line="304"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investors@matadorresources.com </w:t>
      </w:r>
    </w:p>
    <w:p>
      <w:pPr>
        <w:pStyle w:val="TextBody"/>
        <w:bidi w:val="0"/>
        <w:spacing w:lineRule="auto" w:line="304"/>
        <w:jc w:val="left"/>
        <w:rPr>
          <w:rFonts w:ascii="Times New Roman;serif" w:hAnsi="Times New Roman;serif"/>
          <w:b w:val="false"/>
          <w:color w:val="000000"/>
          <w:sz w:val="22"/>
        </w:rPr>
      </w:pPr>
      <w:r>
        <w:rPr>
          <w:rFonts w:ascii="Times New Roman;serif" w:hAnsi="Times New Roman;serif"/>
          <w:b w:val="false"/>
          <w:color w:val="000000"/>
          <w:sz w:val="22"/>
        </w:rPr>
        <w:t>(972) 371-5225</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1342</Words>
  <Characters>8055</Characters>
  <CharactersWithSpaces>9355</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