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431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43128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Colodney Benjamin 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LBJ FREEWAY</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Matador Resources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MTDR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03/31/2026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454"/>
        <w:spacing w:after="0"/>
        <w:rPr>
          <w:sz w:val="20"/>
          <w:szCs w:val="20"/>
          <w:color w:val="auto"/>
        </w:rPr>
      </w:pPr>
      <w:r>
        <w:rPr>
          <w:rFonts w:ascii="Times New Roman" w:cs="Times New Roman" w:eastAsia="Times New Roman" w:hAnsi="Times New Roman"/>
          <w:sz w:val="17"/>
          <w:szCs w:val="17"/>
          <w:color w:val="0000FF"/>
        </w:rPr>
        <w:t>SVP &amp; Chief Accounting Officer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6"/>
          </w:tcPr>
          <w:p>
            <w:pPr>
              <w:jc w:val="right"/>
              <w:ind w:right="156"/>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2380" w:type="dxa"/>
            <w:vAlign w:val="bottom"/>
            <w:gridSpan w:val="5"/>
            <w:vMerge w:val="restart"/>
          </w:tcPr>
          <w:p>
            <w:pPr>
              <w:ind w:left="260"/>
              <w:spacing w:after="0"/>
              <w:rPr>
                <w:sz w:val="20"/>
                <w:szCs w:val="20"/>
                <w:color w:val="auto"/>
              </w:rPr>
            </w:pPr>
            <w:r>
              <w:rPr>
                <w:rFonts w:ascii="Arial" w:cs="Arial" w:eastAsia="Arial" w:hAnsi="Arial"/>
                <w:sz w:val="13"/>
                <w:szCs w:val="13"/>
                <w:color w:val="auto"/>
              </w:rPr>
              <w:t>Form filed by One Reporting Person</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75240</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380" w:type="dxa"/>
            <w:vAlign w:val="bottom"/>
            <w:gridSpan w:val="5"/>
            <w:vMerge w:val="continue"/>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8"/>
            <w:vMerge w:val="restart"/>
          </w:tcPr>
          <w:p>
            <w:pPr>
              <w:ind w:left="2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8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26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20" w:type="dxa"/>
            <w:vAlign w:val="bottom"/>
            <w:gridSpan w:val="3"/>
          </w:tcPr>
          <w:p>
            <w:pPr>
              <w:ind w:left="6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Represents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held of</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53.41</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record 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2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0000FF"/>
              </w:rPr>
              <w:t>05/29/2026</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250</w:t>
            </w:r>
          </w:p>
        </w:tc>
        <w:tc>
          <w:tcPr>
            <w:tcW w:w="68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0000FF"/>
              </w:rPr>
              <w:t>2,650</w:t>
            </w:r>
          </w:p>
        </w:tc>
        <w:tc>
          <w:tcPr>
            <w:tcW w:w="34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reporting</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person's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03/31/2026</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447</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64.84</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00"/>
              <w:spacing w:after="0" w:line="312" w:lineRule="exact"/>
              <w:rPr>
                <w:sz w:val="20"/>
                <w:szCs w:val="20"/>
                <w:color w:val="auto"/>
              </w:rPr>
            </w:pPr>
            <w:r>
              <w:rPr>
                <w:rFonts w:ascii="Times New Roman" w:cs="Times New Roman" w:eastAsia="Times New Roman" w:hAnsi="Times New Roman"/>
                <w:sz w:val="33"/>
                <w:szCs w:val="33"/>
                <w:color w:val="0000FF"/>
                <w:w w:val="99"/>
                <w:vertAlign w:val="subscript"/>
              </w:rPr>
              <w:t>9,603</w:t>
            </w:r>
            <w:r>
              <w:rPr>
                <w:rFonts w:ascii="Times New Roman" w:cs="Times New Roman" w:eastAsia="Times New Roman" w:hAnsi="Times New Roman"/>
                <w:sz w:val="11"/>
                <w:szCs w:val="11"/>
                <w:color w:val="008000"/>
                <w:w w:val="99"/>
              </w:rPr>
              <w:t>(1)(2)(3)(4)</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0"/>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60" w:type="dxa"/>
            <w:vAlign w:val="bottom"/>
          </w:tcPr>
          <w:p>
            <w:pPr>
              <w:spacing w:after="0"/>
              <w:rPr>
                <w:sz w:val="15"/>
                <w:szCs w:val="15"/>
                <w:color w:val="auto"/>
              </w:rPr>
            </w:pPr>
          </w:p>
        </w:tc>
        <w:tc>
          <w:tcPr>
            <w:tcW w:w="1040" w:type="dxa"/>
            <w:vAlign w:val="bottom"/>
            <w:vMerge w:val="restart"/>
          </w:tcPr>
          <w:p>
            <w:pPr>
              <w:jc w:val="right"/>
              <w:ind w:right="132"/>
              <w:spacing w:after="0"/>
              <w:rPr>
                <w:sz w:val="20"/>
                <w:szCs w:val="20"/>
                <w:color w:val="auto"/>
              </w:rPr>
            </w:pPr>
            <w:r>
              <w:rPr>
                <w:rFonts w:ascii="Times New Roman" w:cs="Times New Roman" w:eastAsia="Times New Roman" w:hAnsi="Times New Roman"/>
                <w:sz w:val="13"/>
                <w:szCs w:val="13"/>
                <w:color w:val="0000FF"/>
              </w:rPr>
              <w:t>05/01/2026</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15"/>
                <w:szCs w:val="15"/>
                <w:color w:val="auto"/>
              </w:rPr>
            </w:pPr>
          </w:p>
        </w:tc>
        <w:tc>
          <w:tcPr>
            <w:tcW w:w="8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1,000</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w:t>
            </w:r>
          </w:p>
        </w:tc>
        <w:tc>
          <w:tcPr>
            <w:tcW w:w="60" w:type="dxa"/>
            <w:vAlign w:val="bottom"/>
          </w:tcPr>
          <w:p>
            <w:pPr>
              <w:spacing w:after="0"/>
              <w:rPr>
                <w:sz w:val="15"/>
                <w:szCs w:val="15"/>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color w:val="0000FF"/>
              </w:rPr>
              <w:t>1,000</w:t>
            </w: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60" w:type="dxa"/>
            <w:vAlign w:val="bottom"/>
          </w:tcPr>
          <w:p>
            <w:pPr>
              <w:spacing w:after="0"/>
              <w:rPr>
                <w:sz w:val="15"/>
                <w:szCs w:val="15"/>
                <w:color w:val="auto"/>
              </w:rPr>
            </w:pPr>
          </w:p>
        </w:tc>
        <w:tc>
          <w:tcPr>
            <w:tcW w:w="1040" w:type="dxa"/>
            <w:vAlign w:val="bottom"/>
            <w:vMerge w:val="restart"/>
          </w:tcPr>
          <w:p>
            <w:pPr>
              <w:jc w:val="right"/>
              <w:ind w:right="132"/>
              <w:spacing w:after="0"/>
              <w:rPr>
                <w:sz w:val="20"/>
                <w:szCs w:val="20"/>
                <w:color w:val="auto"/>
              </w:rPr>
            </w:pPr>
            <w:r>
              <w:rPr>
                <w:rFonts w:ascii="Times New Roman" w:cs="Times New Roman" w:eastAsia="Times New Roman" w:hAnsi="Times New Roman"/>
                <w:sz w:val="13"/>
                <w:szCs w:val="13"/>
                <w:color w:val="0000FF"/>
              </w:rPr>
              <w:t>05/01/2026</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15"/>
                <w:szCs w:val="15"/>
                <w:color w:val="auto"/>
              </w:rPr>
            </w:pPr>
          </w:p>
        </w:tc>
        <w:tc>
          <w:tcPr>
            <w:tcW w:w="8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1,072</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1,072</w:t>
            </w:r>
          </w:p>
        </w:tc>
        <w:tc>
          <w:tcPr>
            <w:tcW w:w="60" w:type="dxa"/>
            <w:vAlign w:val="bottom"/>
          </w:tcPr>
          <w:p>
            <w:pPr>
              <w:spacing w:after="0"/>
              <w:rPr>
                <w:sz w:val="15"/>
                <w:szCs w:val="15"/>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color w:val="0000FF"/>
              </w:rPr>
              <w:t>2,146</w:t>
            </w: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-2282190</wp:posOffset>
            </wp:positionV>
            <wp:extent cx="29210" cy="2287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872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acquired pursuant to the Issuer's Employee Stock Purchase Plan. Such acquisitions are exempt under Rule 16b-3.</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3,000 shares of restricted stock granted to the reporting person on October 29, 2024 that vest on May 1, 2027.</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3,218 shares of restricted stock granted to the reporting person on July 21, 2025 that vest on May 1, 2028.</w:t>
      </w:r>
    </w:p>
    <w:p>
      <w:pPr>
        <w:spacing w:after="0" w:line="45" w:lineRule="exact"/>
        <w:rPr>
          <w:rFonts w:ascii="Times New Roman" w:cs="Times New Roman" w:eastAsia="Times New Roman" w:hAnsi="Times New Roman"/>
          <w:sz w:val="13"/>
          <w:szCs w:val="13"/>
          <w:color w:val="008000"/>
        </w:rPr>
      </w:pPr>
    </w:p>
    <w:p>
      <w:pPr>
        <w:ind w:left="40" w:right="5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in connection with the reporting person's net share settlement to satisfy tax liability upon the vesting of 1,000 shares of restricted stock that were granted to the reporting person on March 31, 2023. No shares were sold by the reporting person to satisfy this tax liability.</w:t>
      </w:r>
    </w:p>
    <w:p>
      <w:pPr>
        <w:spacing w:after="0" w:line="15" w:lineRule="exact"/>
        <w:rPr>
          <w:rFonts w:ascii="Times New Roman" w:cs="Times New Roman" w:eastAsia="Times New Roman" w:hAnsi="Times New Roman"/>
          <w:sz w:val="13"/>
          <w:szCs w:val="13"/>
          <w:color w:val="008000"/>
        </w:rPr>
      </w:pPr>
    </w:p>
    <w:p>
      <w:pPr>
        <w:ind w:left="40" w:right="2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unit is the economic equivalent of one share of the Issuer's common stock. As required by the terms of the award, upon the May 1, 2026 partial vesting of such award, the reporting person settled the phantom units for cash at a rate of $63.44 per unit based upon the closing price of the Issuer's common stock on April 30, 2026. No shares of common stock were issued to nor sold by the reporting person pursuant to this transaction.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units vest in equal installments on May 1, 2025, May 1, 2026 and May 1, 2027.</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units vest in equal annual installments on May 1, 2026, May 1, 2027 and May 1, 2028.</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Benjamin T. Colodney,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2547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5476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Derek E. Gabriel as attorney-</w:t>
      </w:r>
      <w:r>
        <w:rPr>
          <w:sz w:val="20"/>
          <w:szCs w:val="20"/>
          <w:color w:val="auto"/>
        </w:rPr>
        <w:tab/>
      </w:r>
      <w:r>
        <w:rPr>
          <w:rFonts w:ascii="Times New Roman" w:cs="Times New Roman" w:eastAsia="Times New Roman" w:hAnsi="Times New Roman"/>
          <w:sz w:val="16"/>
          <w:szCs w:val="16"/>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280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003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9"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2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SECTION 16</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0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color w:val="auto"/>
        </w:rPr>
        <w:t>KNOW ALL MEN BY THESE PRESENTS, that the undersigned hereby constitutes and appoints each of Joseph Wm. Foran, Bryan A. Erman and Derek E. Gabriel, signing singly, the undersigned’s true and lawful attorney-in-fact to:</w:t>
      </w:r>
    </w:p>
    <w:p>
      <w:pPr>
        <w:spacing w:after="0" w:line="199" w:lineRule="exact"/>
        <w:rPr>
          <w:sz w:val="20"/>
          <w:szCs w:val="20"/>
          <w:color w:val="auto"/>
        </w:rPr>
      </w:pPr>
    </w:p>
    <w:p>
      <w:pPr>
        <w:ind w:left="620" w:right="140" w:hanging="304"/>
        <w:spacing w:after="0"/>
        <w:tabs>
          <w:tab w:leader="none" w:pos="616"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Matador Resources Company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19"/>
          <w:szCs w:val="19"/>
          <w:color w:val="auto"/>
        </w:rPr>
        <w:t>”), Forms 3, 4 and 5 in accordance with Section 16(a) of the Securities Exchange Act of 1934, as amended, and the rules thereunder;</w:t>
      </w:r>
    </w:p>
    <w:p>
      <w:pPr>
        <w:spacing w:after="0" w:line="207" w:lineRule="exact"/>
        <w:rPr>
          <w:rFonts w:ascii="Times New Roman" w:cs="Times New Roman" w:eastAsia="Times New Roman" w:hAnsi="Times New Roman"/>
          <w:sz w:val="21"/>
          <w:szCs w:val="21"/>
          <w:color w:val="auto"/>
        </w:rPr>
      </w:pPr>
    </w:p>
    <w:p>
      <w:pPr>
        <w:ind w:left="620" w:right="60" w:hanging="304"/>
        <w:spacing w:after="0" w:line="244" w:lineRule="auto"/>
        <w:tabs>
          <w:tab w:leader="none" w:pos="60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without limitation the filing of a Form ID or any other documents necessary or appropriate to enable the undersigned to file the Forms 3, 4, or 5 electronically with the SEC; and</w:t>
      </w:r>
    </w:p>
    <w:p>
      <w:pPr>
        <w:spacing w:after="0" w:line="203" w:lineRule="exact"/>
        <w:rPr>
          <w:rFonts w:ascii="Times New Roman" w:cs="Times New Roman" w:eastAsia="Times New Roman" w:hAnsi="Times New Roman"/>
          <w:sz w:val="19"/>
          <w:szCs w:val="19"/>
          <w:color w:val="auto"/>
        </w:rPr>
      </w:pPr>
    </w:p>
    <w:p>
      <w:pPr>
        <w:ind w:left="620" w:right="40" w:hanging="304"/>
        <w:spacing w:after="0" w:line="244" w:lineRule="auto"/>
        <w:tabs>
          <w:tab w:leader="none" w:pos="60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This Power of Attorney revokes all prior Powers of Attorney with respect to the matters herein and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22</w:t>
      </w:r>
      <w:r>
        <w:rPr>
          <w:rFonts w:ascii="Times New Roman" w:cs="Times New Roman" w:eastAsia="Times New Roman" w:hAnsi="Times New Roman"/>
          <w:sz w:val="11"/>
          <w:szCs w:val="11"/>
          <w:color w:val="auto"/>
        </w:rPr>
        <w:t>nd</w:t>
      </w:r>
      <w:r>
        <w:rPr>
          <w:rFonts w:ascii="Times New Roman" w:cs="Times New Roman" w:eastAsia="Times New Roman" w:hAnsi="Times New Roman"/>
          <w:sz w:val="19"/>
          <w:szCs w:val="19"/>
          <w:color w:val="auto"/>
        </w:rPr>
        <w:t xml:space="preserve"> day of April,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Benjamin T. Colodney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Benjamin T. Colodney</w:t>
      </w:r>
    </w:p>
    <w:sectPr>
      <w:pgSz w:w="11900" w:h="16838" w:orient="portrait"/>
      <w:cols w:equalWidth="0" w:num="1">
        <w:col w:w="10960"/>
      </w:cols>
      <w:pgMar w:left="460" w:top="135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74755" TargetMode="External"/><Relationship Id="rId14" Type="http://schemas.openxmlformats.org/officeDocument/2006/relationships/hyperlink" Target="http://www.sec.gov/cgi-bin/browse-edgar?action=getcompany&amp;CIK=00015200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2026-06-02T18:08:40Z</dcterms:created>
  <dcterms:modified xsi:type="dcterms:W3CDTF">2026-06-02T18:08:40Z</dcterms:modified>
</cp:coreProperties>
</file>