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4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Foran Joseph Wm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LBJ FREEWAY</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Matador Resources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MTDR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Chairman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744"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74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06/09/2026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2,000</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53.07</w:t>
            </w:r>
          </w:p>
        </w:tc>
        <w:tc>
          <w:tcPr>
            <w:tcW w:w="114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11,479</w:t>
            </w:r>
            <w:r>
              <w:rPr>
                <w:rFonts w:ascii="Times New Roman" w:cs="Times New Roman" w:eastAsia="Times New Roman" w:hAnsi="Times New Roman"/>
                <w:sz w:val="11"/>
                <w:szCs w:val="11"/>
                <w:color w:val="008000"/>
                <w:w w:val="84"/>
              </w:rPr>
              <w:t>(1)(2)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534,381</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2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499,032</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2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1,105,913</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2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1,137,182</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2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1,347,912</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2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35,123</w:t>
            </w:r>
            <w:r>
              <w:rPr>
                <w:rFonts w:ascii="Times New Roman" w:cs="Times New Roman" w:eastAsia="Times New Roman" w:hAnsi="Times New Roman"/>
                <w:sz w:val="22"/>
                <w:szCs w:val="22"/>
                <w:color w:val="008000"/>
                <w:w w:val="97"/>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2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35,123</w:t>
            </w:r>
            <w:r>
              <w:rPr>
                <w:rFonts w:ascii="Times New Roman" w:cs="Times New Roman" w:eastAsia="Times New Roman" w:hAnsi="Times New Roman"/>
                <w:sz w:val="22"/>
                <w:szCs w:val="22"/>
                <w:color w:val="008000"/>
                <w:w w:val="97"/>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2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46,787</w:t>
            </w:r>
            <w:r>
              <w:rPr>
                <w:rFonts w:ascii="Times New Roman" w:cs="Times New Roman" w:eastAsia="Times New Roman" w:hAnsi="Times New Roman"/>
                <w:sz w:val="22"/>
                <w:szCs w:val="22"/>
                <w:color w:val="008000"/>
                <w:w w:val="97"/>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2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46,787</w:t>
            </w:r>
            <w:r>
              <w:rPr>
                <w:rFonts w:ascii="Times New Roman" w:cs="Times New Roman" w:eastAsia="Times New Roman" w:hAnsi="Times New Roman"/>
                <w:sz w:val="22"/>
                <w:szCs w:val="22"/>
                <w:color w:val="008000"/>
                <w:w w:val="97"/>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2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92,009</w:t>
            </w:r>
            <w:r>
              <w:rPr>
                <w:rFonts w:ascii="Times New Roman" w:cs="Times New Roman" w:eastAsia="Times New Roman" w:hAnsi="Times New Roman"/>
                <w:sz w:val="22"/>
                <w:szCs w:val="22"/>
                <w:color w:val="008000"/>
                <w:w w:val="97"/>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2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92,009</w:t>
            </w:r>
            <w:r>
              <w:rPr>
                <w:rFonts w:ascii="Times New Roman" w:cs="Times New Roman" w:eastAsia="Times New Roman" w:hAnsi="Times New Roman"/>
                <w:sz w:val="22"/>
                <w:szCs w:val="22"/>
                <w:color w:val="008000"/>
                <w:w w:val="97"/>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2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238,200</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2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238,200</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242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vMerge w:val="continue"/>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20" w:type="dxa"/>
            <w:vAlign w:val="bottom"/>
            <w:tcBorders>
              <w:top w:val="single" w:sz="8" w:color="808080"/>
            </w:tcBorders>
            <w:shd w:val="clear" w:color="auto" w:fill="2C2C2C"/>
          </w:tcPr>
          <w:p>
            <w:pPr>
              <w:spacing w:after="0" w:line="20" w:lineRule="exact"/>
              <w:rPr>
                <w:sz w:val="1"/>
                <w:szCs w:val="1"/>
                <w:color w:val="auto"/>
              </w:rPr>
            </w:pPr>
          </w:p>
        </w:tc>
        <w:tc>
          <w:tcPr>
            <w:tcW w:w="17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9" w:right="359" w:bottom="74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1"/>
          </w:tcPr>
          <w:p>
            <w:pPr>
              <w:jc w:val="center"/>
              <w:ind w:right="822"/>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120" w:type="dxa"/>
            <w:vAlign w:val="bottom"/>
            <w:gridSpan w:val="2"/>
          </w:tcPr>
          <w:p>
            <w:pPr>
              <w:ind w:left="60"/>
              <w:spacing w:after="0"/>
              <w:rPr>
                <w:sz w:val="20"/>
                <w:szCs w:val="20"/>
                <w:color w:val="auto"/>
              </w:rPr>
            </w:pPr>
            <w:r>
              <w:rPr>
                <w:rFonts w:ascii="Arial" w:cs="Arial" w:eastAsia="Arial" w:hAnsi="Arial"/>
                <w:sz w:val="2"/>
                <w:szCs w:val="2"/>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840" w:type="dxa"/>
            <w:vAlign w:val="bottom"/>
            <w:gridSpan w:val="7"/>
          </w:tcPr>
          <w:p>
            <w:pPr>
              <w:jc w:val="center"/>
              <w:ind w:left="4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8"/>
                <w:szCs w:val="8"/>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460"/>
              <w:spacing w:after="0" w:line="100" w:lineRule="exact"/>
              <w:rPr>
                <w:sz w:val="20"/>
                <w:szCs w:val="20"/>
                <w:color w:val="auto"/>
              </w:rPr>
            </w:pPr>
            <w:r>
              <w:rPr>
                <w:rFonts w:ascii="Arial" w:cs="Arial" w:eastAsia="Arial" w:hAnsi="Arial"/>
                <w:sz w:val="11"/>
                <w:szCs w:val="11"/>
                <w:b w:val="1"/>
                <w:bCs w:val="1"/>
                <w:color w:val="auto"/>
              </w:rPr>
              <w:t>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7. Title and</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6"/>
                <w:szCs w:val="6"/>
                <w:color w:val="auto"/>
              </w:rPr>
            </w:pP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Number</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Amount of</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6"/>
                <w:szCs w:val="6"/>
                <w:color w:val="auto"/>
              </w:rPr>
            </w:pP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Date</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Expiration</w:t>
            </w: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of</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54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(Month/Day/Year)</w:t>
            </w: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Securities</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Code  V</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(A)   (D)</w:t>
            </w:r>
          </w:p>
        </w:tc>
        <w:tc>
          <w:tcPr>
            <w:tcW w:w="80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Exercisable</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Date</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Title  Shares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vMerge w:val="continue"/>
          </w:tcPr>
          <w:p>
            <w:pPr>
              <w:spacing w:after="0"/>
              <w:rPr>
                <w:sz w:val="7"/>
                <w:szCs w:val="7"/>
                <w:color w:val="auto"/>
              </w:rPr>
            </w:pPr>
          </w:p>
        </w:tc>
        <w:tc>
          <w:tcPr>
            <w:tcW w:w="800" w:type="dxa"/>
            <w:vAlign w:val="bottom"/>
            <w:tcBorders>
              <w:bottom w:val="single" w:sz="8" w:color="2C2C2C"/>
            </w:tcBorders>
            <w:vMerge w:val="continue"/>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vMerge w:val="continue"/>
          </w:tcPr>
          <w:p>
            <w:pPr>
              <w:spacing w:after="0"/>
              <w:rPr>
                <w:sz w:val="7"/>
                <w:szCs w:val="7"/>
                <w:color w:val="auto"/>
              </w:rPr>
            </w:pPr>
          </w:p>
        </w:tc>
        <w:tc>
          <w:tcPr>
            <w:tcW w:w="820" w:type="dxa"/>
            <w:vAlign w:val="bottom"/>
            <w:tcBorders>
              <w:bottom w:val="single" w:sz="8" w:color="2C2C2C"/>
            </w:tcBorders>
          </w:tcPr>
          <w:p>
            <w:pPr>
              <w:ind w:left="60"/>
              <w:spacing w:after="0" w:line="80" w:lineRule="exact"/>
              <w:rPr>
                <w:sz w:val="20"/>
                <w:szCs w:val="20"/>
                <w:color w:val="auto"/>
              </w:rPr>
            </w:pPr>
            <w:r>
              <w:rPr>
                <w:rFonts w:ascii="Arial" w:cs="Arial" w:eastAsia="Arial" w:hAnsi="Arial"/>
                <w:sz w:val="8"/>
                <w:szCs w:val="8"/>
                <w:b w:val="1"/>
                <w:bCs w:val="1"/>
                <w:color w:val="auto"/>
              </w:rPr>
              <w:t>8)</w:t>
            </w:r>
          </w:p>
        </w:tc>
        <w:tc>
          <w:tcPr>
            <w:tcW w:w="740" w:type="dxa"/>
            <w:vAlign w:val="bottom"/>
            <w:tcBorders>
              <w:bottom w:val="single" w:sz="8" w:color="2C2C2C"/>
            </w:tcBorders>
          </w:tcPr>
          <w:p>
            <w:pPr>
              <w:ind w:left="80"/>
              <w:spacing w:after="0" w:line="80" w:lineRule="exact"/>
              <w:rPr>
                <w:sz w:val="20"/>
                <w:szCs w:val="20"/>
                <w:color w:val="auto"/>
              </w:rPr>
            </w:pPr>
            <w:r>
              <w:rPr>
                <w:rFonts w:ascii="Arial" w:cs="Arial" w:eastAsia="Arial" w:hAnsi="Arial"/>
                <w:sz w:val="8"/>
                <w:szCs w:val="8"/>
                <w:b w:val="1"/>
                <w:bCs w:val="1"/>
                <w:color w:val="auto"/>
              </w:rPr>
              <w:t>Securities</w:t>
            </w: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ind w:left="60"/>
              <w:spacing w:after="0" w:line="80" w:lineRule="exact"/>
              <w:rPr>
                <w:sz w:val="20"/>
                <w:szCs w:val="20"/>
                <w:color w:val="auto"/>
              </w:rPr>
            </w:pPr>
            <w:r>
              <w:rPr>
                <w:rFonts w:ascii="Arial" w:cs="Arial" w:eastAsia="Arial" w:hAnsi="Arial"/>
                <w:sz w:val="8"/>
                <w:szCs w:val="8"/>
                <w:b w:val="1"/>
                <w:bCs w:val="1"/>
                <w:color w:val="auto"/>
              </w:rPr>
              <w:t>Underlying</w:t>
            </w:r>
          </w:p>
        </w:tc>
        <w:tc>
          <w:tcPr>
            <w:tcW w:w="640" w:type="dxa"/>
            <w:vAlign w:val="bottom"/>
            <w:tcBorders>
              <w:bottom w:val="single" w:sz="8" w:color="2C2C2C"/>
            </w:tcBorders>
            <w:vMerge w:val="continue"/>
          </w:tcPr>
          <w:p>
            <w:pPr>
              <w:spacing w:after="0"/>
              <w:rPr>
                <w:sz w:val="7"/>
                <w:szCs w:val="7"/>
                <w:color w:val="auto"/>
              </w:rPr>
            </w:pPr>
          </w:p>
        </w:tc>
        <w:tc>
          <w:tcPr>
            <w:tcW w:w="96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Derivative</w:t>
            </w: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Acquired</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Derivative</w:t>
            </w:r>
          </w:p>
        </w:tc>
        <w:tc>
          <w:tcPr>
            <w:tcW w:w="640" w:type="dxa"/>
            <w:vAlign w:val="bottom"/>
          </w:tcPr>
          <w:p>
            <w:pPr>
              <w:spacing w:after="0"/>
              <w:rPr>
                <w:sz w:val="6"/>
                <w:szCs w:val="6"/>
                <w:color w:val="auto"/>
              </w:rPr>
            </w:pP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Owned</w:t>
            </w:r>
          </w:p>
        </w:tc>
        <w:tc>
          <w:tcPr>
            <w:tcW w:w="7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or Indirect</w:t>
            </w:r>
          </w:p>
        </w:tc>
        <w:tc>
          <w:tcPr>
            <w:tcW w:w="78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(Instr. 4)</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00" w:type="dxa"/>
            <w:vAlign w:val="bottom"/>
            <w:gridSpan w:val="3"/>
          </w:tcPr>
          <w:p>
            <w:pPr>
              <w:ind w:left="20"/>
              <w:spacing w:after="0" w:line="80" w:lineRule="exact"/>
              <w:rPr>
                <w:sz w:val="20"/>
                <w:szCs w:val="20"/>
                <w:color w:val="auto"/>
              </w:rPr>
            </w:pPr>
            <w:r>
              <w:rPr>
                <w:rFonts w:ascii="Arial" w:cs="Arial" w:eastAsia="Arial" w:hAnsi="Arial"/>
                <w:sz w:val="9"/>
                <w:szCs w:val="9"/>
                <w:b w:val="1"/>
                <w:bCs w:val="1"/>
                <w:color w:val="auto"/>
              </w:rPr>
              <w:t>Explanation of Responses:</w:t>
            </w: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6"/>
                <w:szCs w:val="6"/>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Following</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ind w:left="60"/>
              <w:spacing w:after="0" w:line="78" w:lineRule="exact"/>
              <w:rPr>
                <w:sz w:val="20"/>
                <w:szCs w:val="20"/>
                <w:color w:val="auto"/>
              </w:rPr>
            </w:pPr>
            <w:r>
              <w:rPr>
                <w:rFonts w:ascii="Arial" w:cs="Arial" w:eastAsia="Arial" w:hAnsi="Arial"/>
                <w:sz w:val="8"/>
                <w:szCs w:val="8"/>
                <w:b w:val="1"/>
                <w:bCs w:val="1"/>
                <w:color w:val="auto"/>
              </w:rPr>
              <w:t>Security</w:t>
            </w: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58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58064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22"/>
        </w:trPr>
        <w:tc>
          <w:tcPr>
            <w:tcW w:w="1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008000"/>
              </w:rPr>
              <w:t>1.</w:t>
            </w:r>
          </w:p>
        </w:tc>
        <w:tc>
          <w:tcPr>
            <w:tcW w:w="1076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008000"/>
                <w:w w:val="93"/>
              </w:rPr>
              <w:t>The price reported is a weighted average price. These shares were purchased in multiple</w:t>
            </w:r>
            <w:r>
              <w:rPr>
                <w:rFonts w:ascii="Arial" w:cs="Arial" w:eastAsia="Arial" w:hAnsi="Arial"/>
                <w:sz w:val="11"/>
                <w:szCs w:val="11"/>
                <w:b w:val="1"/>
                <w:bCs w:val="1"/>
                <w:color w:val="000000"/>
                <w:w w:val="93"/>
              </w:rPr>
              <w:t>Disposed</w:t>
            </w:r>
            <w:r>
              <w:rPr>
                <w:rFonts w:ascii="Times New Roman" w:cs="Times New Roman" w:eastAsia="Times New Roman" w:hAnsi="Times New Roman"/>
                <w:sz w:val="13"/>
                <w:szCs w:val="13"/>
                <w:color w:val="008000"/>
                <w:w w:val="93"/>
              </w:rPr>
              <w:t>transactions at prices ranging from $53.05</w:t>
            </w:r>
            <w:r>
              <w:rPr>
                <w:rFonts w:ascii="Arial" w:cs="Arial" w:eastAsia="Arial" w:hAnsi="Arial"/>
                <w:sz w:val="11"/>
                <w:szCs w:val="11"/>
                <w:b w:val="1"/>
                <w:bCs w:val="1"/>
                <w:color w:val="000000"/>
                <w:w w:val="93"/>
              </w:rPr>
              <w:t>and</w:t>
            </w:r>
            <w:r>
              <w:rPr>
                <w:rFonts w:ascii="Times New Roman" w:cs="Times New Roman" w:eastAsia="Times New Roman" w:hAnsi="Times New Roman"/>
                <w:sz w:val="13"/>
                <w:szCs w:val="13"/>
                <w:color w:val="008000"/>
                <w:w w:val="93"/>
              </w:rPr>
              <w:t>to</w:t>
            </w:r>
            <w:r>
              <w:rPr>
                <w:rFonts w:ascii="Arial" w:cs="Arial" w:eastAsia="Arial" w:hAnsi="Arial"/>
                <w:sz w:val="11"/>
                <w:szCs w:val="11"/>
                <w:b w:val="1"/>
                <w:bCs w:val="1"/>
                <w:color w:val="000000"/>
                <w:w w:val="93"/>
              </w:rPr>
              <w:t>4)</w:t>
            </w:r>
            <w:r>
              <w:rPr>
                <w:rFonts w:ascii="Times New Roman" w:cs="Times New Roman" w:eastAsia="Times New Roman" w:hAnsi="Times New Roman"/>
                <w:sz w:val="13"/>
                <w:szCs w:val="13"/>
                <w:color w:val="008000"/>
                <w:w w:val="93"/>
              </w:rPr>
              <w:t>$53.13 per share, inclusive</w:t>
            </w:r>
            <w:r>
              <w:rPr>
                <w:rFonts w:ascii="Arial" w:cs="Arial" w:eastAsia="Arial" w:hAnsi="Arial"/>
                <w:sz w:val="11"/>
                <w:szCs w:val="11"/>
                <w:b w:val="1"/>
                <w:bCs w:val="1"/>
                <w:color w:val="000000"/>
                <w:w w:val="93"/>
              </w:rPr>
              <w:t>Reported</w:t>
            </w:r>
            <w:r>
              <w:rPr>
                <w:rFonts w:ascii="Times New Roman" w:cs="Times New Roman" w:eastAsia="Times New Roman" w:hAnsi="Times New Roman"/>
                <w:sz w:val="13"/>
                <w:szCs w:val="13"/>
                <w:color w:val="008000"/>
                <w:w w:val="93"/>
              </w:rPr>
              <w:t>.Thereporting person shall provide to</w:t>
            </w:r>
          </w:p>
        </w:tc>
        <w:tc>
          <w:tcPr>
            <w:tcW w:w="0" w:type="dxa"/>
            <w:vAlign w:val="bottom"/>
          </w:tcPr>
          <w:p>
            <w:pPr>
              <w:spacing w:after="0"/>
              <w:rPr>
                <w:sz w:val="1"/>
                <w:szCs w:val="1"/>
                <w:color w:val="auto"/>
              </w:rPr>
            </w:pPr>
          </w:p>
        </w:tc>
      </w:tr>
      <w:tr>
        <w:trPr>
          <w:trHeight w:val="120"/>
        </w:trPr>
        <w:tc>
          <w:tcPr>
            <w:tcW w:w="1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620" w:type="dxa"/>
            <w:vAlign w:val="bottom"/>
          </w:tcPr>
          <w:p>
            <w:pPr>
              <w:ind w:left="160"/>
              <w:spacing w:after="0" w:line="120"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60" w:type="dxa"/>
            <w:vAlign w:val="bottom"/>
          </w:tcPr>
          <w:p>
            <w:pPr>
              <w:ind w:left="1400"/>
              <w:spacing w:after="0" w:line="120" w:lineRule="exact"/>
              <w:rPr>
                <w:sz w:val="20"/>
                <w:szCs w:val="20"/>
                <w:color w:val="auto"/>
              </w:rPr>
            </w:pPr>
            <w:r>
              <w:rPr>
                <w:rFonts w:ascii="Arial" w:cs="Arial" w:eastAsia="Arial" w:hAnsi="Arial"/>
                <w:sz w:val="12"/>
                <w:szCs w:val="12"/>
                <w:b w:val="1"/>
                <w:bCs w:val="1"/>
                <w:color w:val="auto"/>
              </w:rPr>
              <w:t>Transaction(s)</w:t>
            </w:r>
          </w:p>
        </w:tc>
        <w:tc>
          <w:tcPr>
            <w:tcW w:w="0" w:type="dxa"/>
            <w:vAlign w:val="bottom"/>
          </w:tcPr>
          <w:p>
            <w:pPr>
              <w:spacing w:after="0"/>
              <w:rPr>
                <w:sz w:val="1"/>
                <w:szCs w:val="1"/>
                <w:color w:val="auto"/>
              </w:rPr>
            </w:pPr>
          </w:p>
        </w:tc>
      </w:tr>
      <w:tr>
        <w:trPr>
          <w:trHeight w:val="27"/>
        </w:trPr>
        <w:tc>
          <w:tcPr>
            <w:tcW w:w="10880" w:type="dxa"/>
            <w:vAlign w:val="bottom"/>
            <w:gridSpan w:val="6"/>
          </w:tcPr>
          <w:p>
            <w:pPr>
              <w:spacing w:after="0" w:line="27" w:lineRule="exact"/>
              <w:rPr>
                <w:sz w:val="20"/>
                <w:szCs w:val="20"/>
                <w:color w:val="auto"/>
              </w:rPr>
            </w:pPr>
            <w:r>
              <w:rPr>
                <w:rFonts w:ascii="Times New Roman" w:cs="Times New Roman" w:eastAsia="Times New Roman" w:hAnsi="Times New Roman"/>
                <w:sz w:val="3"/>
                <w:szCs w:val="3"/>
                <w:color w:val="008000"/>
              </w:rPr>
              <w:t>the Securities and Exchange Commission, the Issuer or any security holder of the Issuer, upon request, full information regarding the number of shares purchased at each separate price.</w:t>
            </w:r>
          </w:p>
        </w:tc>
        <w:tc>
          <w:tcPr>
            <w:tcW w:w="0" w:type="dxa"/>
            <w:vAlign w:val="bottom"/>
          </w:tcPr>
          <w:p>
            <w:pPr>
              <w:spacing w:after="0" w:line="20" w:lineRule="exact"/>
              <w:rPr>
                <w:sz w:val="1"/>
                <w:szCs w:val="1"/>
                <w:color w:val="auto"/>
              </w:rPr>
            </w:pPr>
          </w:p>
        </w:tc>
      </w:tr>
      <w:tr>
        <w:trPr>
          <w:trHeight w:val="107"/>
        </w:trPr>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2.</w:t>
            </w:r>
          </w:p>
        </w:tc>
        <w:tc>
          <w:tcPr>
            <w:tcW w:w="4360" w:type="dxa"/>
            <w:vAlign w:val="bottom"/>
          </w:tcPr>
          <w:p>
            <w:pPr>
              <w:spacing w:after="0"/>
              <w:rPr>
                <w:sz w:val="9"/>
                <w:szCs w:val="9"/>
                <w:color w:val="auto"/>
              </w:rPr>
            </w:pPr>
          </w:p>
        </w:tc>
        <w:tc>
          <w:tcPr>
            <w:tcW w:w="1620" w:type="dxa"/>
            <w:vAlign w:val="bottom"/>
          </w:tcPr>
          <w:p>
            <w:pPr>
              <w:ind w:left="160"/>
              <w:spacing w:after="0" w:line="107"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60" w:type="dxa"/>
            <w:vAlign w:val="bottom"/>
          </w:tcPr>
          <w:p>
            <w:pPr>
              <w:ind w:left="1400"/>
              <w:spacing w:after="0" w:line="107"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93"/>
        </w:trPr>
        <w:tc>
          <w:tcPr>
            <w:tcW w:w="120" w:type="dxa"/>
            <w:vAlign w:val="bottom"/>
            <w:vMerge w:val="continue"/>
          </w:tcPr>
          <w:p>
            <w:pPr>
              <w:spacing w:after="0"/>
              <w:rPr>
                <w:sz w:val="8"/>
                <w:szCs w:val="8"/>
                <w:color w:val="auto"/>
              </w:rPr>
            </w:pPr>
          </w:p>
        </w:tc>
        <w:tc>
          <w:tcPr>
            <w:tcW w:w="7100" w:type="dxa"/>
            <w:vAlign w:val="bottom"/>
            <w:gridSpan w:val="4"/>
          </w:tcPr>
          <w:p>
            <w:pPr>
              <w:ind w:left="20"/>
              <w:spacing w:after="0" w:line="93" w:lineRule="exact"/>
              <w:rPr>
                <w:sz w:val="20"/>
                <w:szCs w:val="20"/>
                <w:color w:val="auto"/>
              </w:rPr>
            </w:pPr>
            <w:r>
              <w:rPr>
                <w:rFonts w:ascii="Times New Roman" w:cs="Times New Roman" w:eastAsia="Times New Roman" w:hAnsi="Times New Roman"/>
                <w:sz w:val="10"/>
                <w:szCs w:val="10"/>
                <w:color w:val="008000"/>
              </w:rPr>
              <w:t>Includes shares acquired pursuant to the Issuer's Employee Stock Purchase Plan. Such acquisitions are exempt under Rule 16b-3.</w:t>
            </w:r>
          </w:p>
        </w:tc>
        <w:tc>
          <w:tcPr>
            <w:tcW w:w="3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620" w:type="dxa"/>
            <w:vAlign w:val="bottom"/>
          </w:tcPr>
          <w:p>
            <w:pPr>
              <w:ind w:left="160"/>
              <w:spacing w:after="0" w:line="68" w:lineRule="exact"/>
              <w:rPr>
                <w:sz w:val="20"/>
                <w:szCs w:val="20"/>
                <w:color w:val="auto"/>
              </w:rPr>
            </w:pPr>
            <w:r>
              <w:rPr>
                <w:rFonts w:ascii="Arial" w:cs="Arial" w:eastAsia="Arial" w:hAnsi="Arial"/>
                <w:sz w:val="7"/>
                <w:szCs w:val="7"/>
                <w:b w:val="1"/>
                <w:bCs w:val="1"/>
                <w:color w:val="auto"/>
              </w:rPr>
              <w:t>and 5)</w:t>
            </w: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008000"/>
              </w:rPr>
              <w:t>3.</w:t>
            </w:r>
          </w:p>
        </w:tc>
        <w:tc>
          <w:tcPr>
            <w:tcW w:w="10760" w:type="dxa"/>
            <w:vAlign w:val="bottom"/>
            <w:gridSpan w:val="5"/>
          </w:tcPr>
          <w:p>
            <w:pPr>
              <w:ind w:left="20"/>
              <w:spacing w:after="0" w:line="133" w:lineRule="exact"/>
              <w:rPr>
                <w:sz w:val="20"/>
                <w:szCs w:val="20"/>
                <w:color w:val="auto"/>
              </w:rPr>
            </w:pPr>
            <w:r>
              <w:rPr>
                <w:rFonts w:ascii="Times New Roman" w:cs="Times New Roman" w:eastAsia="Times New Roman" w:hAnsi="Times New Roman"/>
                <w:sz w:val="13"/>
                <w:szCs w:val="13"/>
                <w:color w:val="008000"/>
              </w:rPr>
              <w:t>The reporting person states that neither the filing of this statement nor anything herein shall be deemed an admission that such person is, for purposes of Section 16 of the Securities Exchange Act of</w:t>
            </w: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40"/>
        </w:trPr>
        <w:tc>
          <w:tcPr>
            <w:tcW w:w="10880" w:type="dxa"/>
            <w:vAlign w:val="bottom"/>
            <w:gridSpan w:val="6"/>
          </w:tcPr>
          <w:p>
            <w:pPr>
              <w:spacing w:after="0" w:line="40" w:lineRule="exact"/>
              <w:rPr>
                <w:sz w:val="20"/>
                <w:szCs w:val="20"/>
                <w:color w:val="auto"/>
              </w:rPr>
            </w:pPr>
            <w:r>
              <w:rPr>
                <w:rFonts w:ascii="Times New Roman" w:cs="Times New Roman" w:eastAsia="Times New Roman" w:hAnsi="Times New Roman"/>
                <w:sz w:val="4"/>
                <w:szCs w:val="4"/>
                <w:color w:val="008000"/>
              </w:rPr>
              <w:t>1934, as amended, or otherwise, the beneficial owner of these shares. The reporting person disclaims beneficial ownership of these shares, except to the extent of his pecuniary interest therein.</w:t>
            </w:r>
          </w:p>
        </w:tc>
        <w:tc>
          <w:tcPr>
            <w:tcW w:w="0" w:type="dxa"/>
            <w:vAlign w:val="bottom"/>
          </w:tcPr>
          <w:p>
            <w:pPr>
              <w:spacing w:after="0" w:line="20" w:lineRule="exact"/>
              <w:rPr>
                <w:sz w:val="1"/>
                <w:szCs w:val="1"/>
                <w:color w:val="auto"/>
              </w:rPr>
            </w:pPr>
          </w:p>
        </w:tc>
      </w:tr>
      <w:tr>
        <w:trPr>
          <w:trHeight w:val="93"/>
        </w:trPr>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4.</w:t>
            </w:r>
          </w:p>
        </w:tc>
        <w:tc>
          <w:tcPr>
            <w:tcW w:w="43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6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or</w:t>
            </w:r>
          </w:p>
        </w:tc>
        <w:tc>
          <w:tcPr>
            <w:tcW w:w="0" w:type="dxa"/>
            <w:vAlign w:val="bottom"/>
          </w:tcPr>
          <w:p>
            <w:pPr>
              <w:spacing w:after="0"/>
              <w:rPr>
                <w:sz w:val="1"/>
                <w:szCs w:val="1"/>
                <w:color w:val="auto"/>
              </w:rPr>
            </w:pPr>
          </w:p>
        </w:tc>
      </w:tr>
      <w:tr>
        <w:trPr>
          <w:trHeight w:val="107"/>
        </w:trPr>
        <w:tc>
          <w:tcPr>
            <w:tcW w:w="120" w:type="dxa"/>
            <w:vAlign w:val="bottom"/>
            <w:vMerge w:val="continue"/>
          </w:tcPr>
          <w:p>
            <w:pPr>
              <w:spacing w:after="0"/>
              <w:rPr>
                <w:sz w:val="9"/>
                <w:szCs w:val="9"/>
                <w:color w:val="auto"/>
              </w:rPr>
            </w:pPr>
          </w:p>
        </w:tc>
        <w:tc>
          <w:tcPr>
            <w:tcW w:w="10760" w:type="dxa"/>
            <w:vAlign w:val="bottom"/>
            <w:gridSpan w:val="5"/>
          </w:tcPr>
          <w:p>
            <w:pPr>
              <w:ind w:left="20"/>
              <w:spacing w:after="0" w:line="107" w:lineRule="exact"/>
              <w:rPr>
                <w:sz w:val="20"/>
                <w:szCs w:val="20"/>
                <w:color w:val="auto"/>
              </w:rPr>
            </w:pPr>
            <w:r>
              <w:rPr>
                <w:rFonts w:ascii="Times New Roman" w:cs="Times New Roman" w:eastAsia="Times New Roman" w:hAnsi="Times New Roman"/>
                <w:sz w:val="12"/>
                <w:szCs w:val="12"/>
                <w:color w:val="008000"/>
              </w:rPr>
              <w:t>Represents shares held of record by the Foran 2012 Savings Trust for which the reporting person's spouse is a trustee. Includes shares held by the trust following a contribution of shares by the reporting</w:t>
            </w:r>
          </w:p>
        </w:tc>
        <w:tc>
          <w:tcPr>
            <w:tcW w:w="0" w:type="dxa"/>
            <w:vAlign w:val="bottom"/>
          </w:tcPr>
          <w:p>
            <w:pPr>
              <w:spacing w:after="0"/>
              <w:rPr>
                <w:sz w:val="1"/>
                <w:szCs w:val="1"/>
                <w:color w:val="auto"/>
              </w:rPr>
            </w:pPr>
          </w:p>
        </w:tc>
      </w:tr>
      <w:tr>
        <w:trPr>
          <w:trHeight w:val="39"/>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8000"/>
              </w:rPr>
              <w:t>person to the trust, pursuant to the terms thereof.</w:t>
            </w: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60" w:type="dxa"/>
            <w:vAlign w:val="bottom"/>
          </w:tcPr>
          <w:p>
            <w:pPr>
              <w:ind w:left="80"/>
              <w:spacing w:after="0" w:line="40" w:lineRule="exact"/>
              <w:rPr>
                <w:sz w:val="20"/>
                <w:szCs w:val="20"/>
                <w:color w:val="auto"/>
              </w:rPr>
            </w:pPr>
            <w:r>
              <w:rPr>
                <w:rFonts w:ascii="Arial" w:cs="Arial" w:eastAsia="Arial" w:hAnsi="Arial"/>
                <w:sz w:val="4"/>
                <w:szCs w:val="4"/>
                <w:b w:val="1"/>
                <w:bCs w:val="1"/>
                <w:color w:val="auto"/>
              </w:rPr>
              <w:t>Number</w:t>
            </w:r>
          </w:p>
        </w:tc>
        <w:tc>
          <w:tcPr>
            <w:tcW w:w="0" w:type="dxa"/>
            <w:vAlign w:val="bottom"/>
          </w:tcPr>
          <w:p>
            <w:pPr>
              <w:spacing w:after="0" w:line="20" w:lineRule="exact"/>
              <w:rPr>
                <w:sz w:val="1"/>
                <w:szCs w:val="1"/>
                <w:color w:val="auto"/>
              </w:rPr>
            </w:pPr>
          </w:p>
        </w:tc>
      </w:tr>
      <w:tr>
        <w:trPr>
          <w:trHeight w:val="133"/>
        </w:trPr>
        <w:tc>
          <w:tcPr>
            <w:tcW w:w="4480" w:type="dxa"/>
            <w:vAlign w:val="bottom"/>
            <w:gridSpan w:val="2"/>
            <w:vMerge w:val="continue"/>
          </w:tcPr>
          <w:p>
            <w:pPr>
              <w:spacing w:after="0"/>
              <w:rPr>
                <w:sz w:val="11"/>
                <w:szCs w:val="11"/>
                <w:color w:val="auto"/>
              </w:rPr>
            </w:pPr>
          </w:p>
        </w:tc>
        <w:tc>
          <w:tcPr>
            <w:tcW w:w="1620" w:type="dxa"/>
            <w:vAlign w:val="bottom"/>
          </w:tcPr>
          <w:p>
            <w:pPr>
              <w:ind w:left="88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3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121"/>
        </w:trPr>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5.</w:t>
            </w:r>
          </w:p>
        </w:tc>
        <w:tc>
          <w:tcPr>
            <w:tcW w:w="4360" w:type="dxa"/>
            <w:vAlign w:val="bottom"/>
          </w:tcPr>
          <w:p>
            <w:pPr>
              <w:ind w:left="3680"/>
              <w:spacing w:after="0" w:line="121" w:lineRule="exact"/>
              <w:rPr>
                <w:sz w:val="20"/>
                <w:szCs w:val="20"/>
                <w:color w:val="auto"/>
              </w:rPr>
            </w:pPr>
            <w:r>
              <w:rPr>
                <w:rFonts w:ascii="Arial" w:cs="Arial" w:eastAsia="Arial" w:hAnsi="Arial"/>
                <w:sz w:val="12"/>
                <w:szCs w:val="12"/>
                <w:b w:val="1"/>
                <w:bCs w:val="1"/>
                <w:color w:val="auto"/>
              </w:rPr>
              <w:t>Code  V</w:t>
            </w:r>
          </w:p>
        </w:tc>
        <w:tc>
          <w:tcPr>
            <w:tcW w:w="1620" w:type="dxa"/>
            <w:vAlign w:val="bottom"/>
          </w:tcPr>
          <w:p>
            <w:pPr>
              <w:ind w:left="160"/>
              <w:spacing w:after="0" w:line="121" w:lineRule="exact"/>
              <w:rPr>
                <w:sz w:val="20"/>
                <w:szCs w:val="20"/>
                <w:color w:val="auto"/>
              </w:rPr>
            </w:pPr>
            <w:r>
              <w:rPr>
                <w:rFonts w:ascii="Arial" w:cs="Arial" w:eastAsia="Arial" w:hAnsi="Arial"/>
                <w:sz w:val="12"/>
                <w:szCs w:val="12"/>
                <w:b w:val="1"/>
                <w:bCs w:val="1"/>
                <w:color w:val="auto"/>
              </w:rPr>
              <w:t>(A)   (D)   Exercisable</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Title</w:t>
            </w:r>
          </w:p>
        </w:tc>
        <w:tc>
          <w:tcPr>
            <w:tcW w:w="36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Shares</w:t>
            </w:r>
          </w:p>
        </w:tc>
        <w:tc>
          <w:tcPr>
            <w:tcW w:w="0" w:type="dxa"/>
            <w:vAlign w:val="bottom"/>
          </w:tcPr>
          <w:p>
            <w:pPr>
              <w:spacing w:after="0"/>
              <w:rPr>
                <w:sz w:val="1"/>
                <w:szCs w:val="1"/>
                <w:color w:val="auto"/>
              </w:rPr>
            </w:pPr>
          </w:p>
        </w:tc>
      </w:tr>
      <w:tr>
        <w:trPr>
          <w:trHeight w:val="81"/>
        </w:trPr>
        <w:tc>
          <w:tcPr>
            <w:tcW w:w="120" w:type="dxa"/>
            <w:vAlign w:val="bottom"/>
            <w:vMerge w:val="continue"/>
          </w:tcPr>
          <w:p>
            <w:pPr>
              <w:spacing w:after="0"/>
              <w:rPr>
                <w:sz w:val="7"/>
                <w:szCs w:val="7"/>
                <w:color w:val="auto"/>
              </w:rPr>
            </w:pPr>
          </w:p>
        </w:tc>
        <w:tc>
          <w:tcPr>
            <w:tcW w:w="10760" w:type="dxa"/>
            <w:vAlign w:val="bottom"/>
            <w:gridSpan w:val="5"/>
          </w:tcPr>
          <w:p>
            <w:pPr>
              <w:ind w:left="20"/>
              <w:spacing w:after="0" w:line="82" w:lineRule="exact"/>
              <w:rPr>
                <w:sz w:val="20"/>
                <w:szCs w:val="20"/>
                <w:color w:val="auto"/>
              </w:rPr>
            </w:pPr>
            <w:r>
              <w:rPr>
                <w:rFonts w:ascii="Times New Roman" w:cs="Times New Roman" w:eastAsia="Times New Roman" w:hAnsi="Times New Roman"/>
                <w:sz w:val="9"/>
                <w:szCs w:val="9"/>
                <w:color w:val="008000"/>
              </w:rPr>
              <w:t>Represents shares held of record by the Foran 2012 Security Trust for which the reporting person is the trustee. Includes shares held by the trust following a contribution of shares by the reporting</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3"/>
          <w:szCs w:val="13"/>
          <w:color w:val="008000"/>
        </w:rPr>
        <w:t>person's spouse to the trust, pursuant to the terms thereof.</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6. Represents shares held of record by Sage Resources, Ltd., which is a limited partnership owned by the reporting person's family, including the reporting person.</w:t>
      </w:r>
    </w:p>
    <w:p>
      <w:pPr>
        <w:spacing w:after="0" w:line="50" w:lineRule="exact"/>
        <w:rPr>
          <w:sz w:val="20"/>
          <w:szCs w:val="20"/>
          <w:color w:val="auto"/>
        </w:rPr>
      </w:pPr>
    </w:p>
    <w:p>
      <w:pPr>
        <w:ind w:left="40" w:right="340"/>
        <w:spacing w:after="0" w:line="253" w:lineRule="auto"/>
        <w:rPr>
          <w:sz w:val="20"/>
          <w:szCs w:val="20"/>
          <w:color w:val="auto"/>
        </w:rPr>
      </w:pPr>
      <w:r>
        <w:rPr>
          <w:rFonts w:ascii="Times New Roman" w:cs="Times New Roman" w:eastAsia="Times New Roman" w:hAnsi="Times New Roman"/>
          <w:sz w:val="13"/>
          <w:szCs w:val="13"/>
          <w:color w:val="008000"/>
        </w:rPr>
        <w:t>7. Represents shares held of record collectively by the LRF 2011 Non-GST Trust, WJF 2011 Non-GST Trust, JNF 2011 Non-GST Trust, SIF 2011 Non-GST Trust and MCF 2011 Non-GST Trust (collectively, the "2011 Non-GST Trusts"). The reporting person and his spouse, as settlors of each of the 2011 Non-GST Trusts, retain the power of substitution with respect to the property of the 2011 Non-GST Trusts.</w:t>
      </w:r>
    </w:p>
    <w:p>
      <w:pPr>
        <w:spacing w:after="0" w:line="20" w:lineRule="exact"/>
        <w:rPr>
          <w:sz w:val="20"/>
          <w:szCs w:val="20"/>
          <w:color w:val="auto"/>
        </w:rPr>
      </w:pPr>
    </w:p>
    <w:p>
      <w:pPr>
        <w:ind w:left="40" w:right="240"/>
        <w:spacing w:after="0" w:line="272" w:lineRule="auto"/>
        <w:rPr>
          <w:sz w:val="20"/>
          <w:szCs w:val="20"/>
          <w:color w:val="auto"/>
        </w:rPr>
      </w:pPr>
      <w:r>
        <w:rPr>
          <w:rFonts w:ascii="Times New Roman" w:cs="Times New Roman" w:eastAsia="Times New Roman" w:hAnsi="Times New Roman"/>
          <w:sz w:val="13"/>
          <w:szCs w:val="13"/>
          <w:color w:val="008000"/>
        </w:rPr>
        <w:t>8. Represents shares held of record collectively by the LRF 2020 Non-GST Trust, WJF 2020 Non-GST Trust, SIF 2020 Non-GST Trust and MCF 2020 Non-GST Trust (collectively, the "2020 Non-GST Trusts"). The reporting person and his spouse, as settlors of each of the 2020 Non-GST Trusts, retain the power of substitution with respect to the property of the 2020 Non-GST Trusts.</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9. Represents shares held of record by the JWF 2024-2 GRAT, for which the reporting person is the trustee and over which the reporting person has sole voting and investment power.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10. Represents shares held of record by the NNF 2024-2 GRAT, for which the reporting person is the trustee and over which the reporting person has sole voting and investment power.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11. Represents shares held of record by the JWF 2025-1 GRAT, for which the reporting person is the trustee and over which the reporting person has sole voting and investment power.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12. Represents shares held of record by the NNF 2025-1 GRAT, for which the reporting person is the trustee and over which the reporting person has sole voting and investment power.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13. Represents shares held of record by the JWF 2025-2 GRAT, for which the reporting person is the trustee and over which the reporting person has sole voting and investment power.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14. Represents shares held of record by the NNF 2025-2 GRAT, for which the reporting person is the trustee and over which the reporting person has sole voting and investment power.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15. Represents shares held of record by the JWF 2026-1 GRAT, for which the reporting person is the trustee and over which the reporting person has sole voting and investment power.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16. Represents shares held of record by the NNF 2026-1 GRAT, for which the reporting person is the trustee and over which the reporting person has sole voting and investment power.</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Joseph Wm. Foran,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24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Derek E. Gabriel as attorney-</w:t>
        <w:tab/>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0655" TargetMode="External"/><Relationship Id="rId14" Type="http://schemas.openxmlformats.org/officeDocument/2006/relationships/hyperlink" Target="http://www.sec.gov/cgi-bin/browse-edgar?action=getcompany&amp;CIK=00015200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2026-06-11T06:18:15Z</dcterms:created>
  <dcterms:modified xsi:type="dcterms:W3CDTF">2026-06-11T06:18:15Z</dcterms:modified>
</cp:coreProperties>
</file>